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charts/chart1.xml" ContentType="application/vnd.openxmlformats-officedocument.drawingml.chart+xml"/>
  <Override PartName="/word/charts/chart2.xml" ContentType="application/vnd.openxmlformats-officedocument.drawingml.chart+xml"/>
  <Override PartName="/word/theme/themeOverride1.xml" ContentType="application/vnd.openxmlformats-officedocument.themeOverride+xml"/>
  <Override PartName="/word/charts/chart3.xml" ContentType="application/vnd.openxmlformats-officedocument.drawingml.chart+xml"/>
  <Override PartName="/word/theme/themeOverride2.xml" ContentType="application/vnd.openxmlformats-officedocument.themeOverride+xml"/>
  <Override PartName="/word/charts/chart4.xml" ContentType="application/vnd.openxmlformats-officedocument.drawingml.chart+xml"/>
  <Override PartName="/word/theme/themeOverride3.xml" ContentType="application/vnd.openxmlformats-officedocument.themeOverride+xml"/>
  <Override PartName="/word/charts/chart5.xml" ContentType="application/vnd.openxmlformats-officedocument.drawingml.chart+xml"/>
  <Override PartName="/word/theme/themeOverride4.xml" ContentType="application/vnd.openxmlformats-officedocument.themeOverride+xml"/>
  <Override PartName="/word/charts/chart6.xml" ContentType="application/vnd.openxmlformats-officedocument.drawingml.chart+xml"/>
  <Override PartName="/word/theme/themeOverride5.xml" ContentType="application/vnd.openxmlformats-officedocument.themeOverride+xml"/>
  <Override PartName="/word/charts/chart7.xml" ContentType="application/vnd.openxmlformats-officedocument.drawingml.chart+xml"/>
  <Override PartName="/word/theme/themeOverride6.xml" ContentType="application/vnd.openxmlformats-officedocument.themeOverride+xml"/>
  <Override PartName="/word/charts/chart8.xml" ContentType="application/vnd.openxmlformats-officedocument.drawingml.chart+xml"/>
  <Override PartName="/word/theme/themeOverride7.xml" ContentType="application/vnd.openxmlformats-officedocument.themeOverride+xml"/>
  <Override PartName="/word/charts/chart9.xml" ContentType="application/vnd.openxmlformats-officedocument.drawingml.chart+xml"/>
  <Override PartName="/word/theme/themeOverride8.xml" ContentType="application/vnd.openxmlformats-officedocument.themeOverride+xml"/>
  <Override PartName="/word/charts/chart10.xml" ContentType="application/vnd.openxmlformats-officedocument.drawingml.chart+xml"/>
  <Override PartName="/word/theme/themeOverride9.xml" ContentType="application/vnd.openxmlformats-officedocument.themeOverride+xml"/>
  <Override PartName="/word/charts/chart11.xml" ContentType="application/vnd.openxmlformats-officedocument.drawingml.chart+xml"/>
  <Override PartName="/word/theme/themeOverride10.xml" ContentType="application/vnd.openxmlformats-officedocument.themeOverride+xml"/>
  <Override PartName="/word/charts/chart12.xml" ContentType="application/vnd.openxmlformats-officedocument.drawingml.chart+xml"/>
  <Override PartName="/word/theme/themeOverride11.xml" ContentType="application/vnd.openxmlformats-officedocument.themeOverride+xml"/>
  <Override PartName="/word/charts/chart13.xml" ContentType="application/vnd.openxmlformats-officedocument.drawingml.chart+xml"/>
  <Override PartName="/word/charts/chart14.xml" ContentType="application/vnd.openxmlformats-officedocument.drawingml.chart+xml"/>
  <Override PartName="/word/theme/themeOverride12.xml" ContentType="application/vnd.openxmlformats-officedocument.themeOverride+xml"/>
  <Override PartName="/word/charts/chart15.xml" ContentType="application/vnd.openxmlformats-officedocument.drawingml.chart+xml"/>
  <Override PartName="/word/theme/themeOverride13.xml" ContentType="application/vnd.openxmlformats-officedocument.themeOverride+xml"/>
  <Override PartName="/word/charts/chart16.xml" ContentType="application/vnd.openxmlformats-officedocument.drawingml.chart+xml"/>
  <Override PartName="/word/theme/themeOverride14.xml" ContentType="application/vnd.openxmlformats-officedocument.themeOverride+xml"/>
  <Override PartName="/word/charts/chart17.xml" ContentType="application/vnd.openxmlformats-officedocument.drawingml.chart+xml"/>
  <Override PartName="/word/theme/themeOverride15.xml" ContentType="application/vnd.openxmlformats-officedocument.themeOverride+xml"/>
  <Override PartName="/word/charts/chart18.xml" ContentType="application/vnd.openxmlformats-officedocument.drawingml.chart+xml"/>
  <Override PartName="/word/theme/themeOverride16.xml" ContentType="application/vnd.openxmlformats-officedocument.themeOverride+xml"/>
  <Override PartName="/word/charts/chart19.xml" ContentType="application/vnd.openxmlformats-officedocument.drawingml.chart+xml"/>
  <Override PartName="/word/theme/themeOverride17.xml" ContentType="application/vnd.openxmlformats-officedocument.themeOverride+xml"/>
  <Override PartName="/word/charts/chart20.xml" ContentType="application/vnd.openxmlformats-officedocument.drawingml.chart+xml"/>
  <Override PartName="/word/charts/chart21.xml" ContentType="application/vnd.openxmlformats-officedocument.drawingml.chart+xml"/>
  <Override PartName="/word/theme/themeOverride18.xml" ContentType="application/vnd.openxmlformats-officedocument.themeOverride+xml"/>
  <Override PartName="/word/charts/chart22.xml" ContentType="application/vnd.openxmlformats-officedocument.drawingml.chart+xml"/>
  <Override PartName="/word/theme/themeOverride19.xml" ContentType="application/vnd.openxmlformats-officedocument.themeOverride+xml"/>
  <Override PartName="/word/charts/chart23.xml" ContentType="application/vnd.openxmlformats-officedocument.drawingml.chart+xml"/>
  <Override PartName="/word/theme/themeOverride20.xml" ContentType="application/vnd.openxmlformats-officedocument.themeOverride+xml"/>
  <Override PartName="/word/charts/chart24.xml" ContentType="application/vnd.openxmlformats-officedocument.drawingml.chart+xml"/>
  <Override PartName="/word/theme/themeOverride21.xml" ContentType="application/vnd.openxmlformats-officedocument.themeOverride+xml"/>
  <Override PartName="/word/charts/chart25.xml" ContentType="application/vnd.openxmlformats-officedocument.drawingml.chart+xml"/>
  <Override PartName="/word/theme/themeOverride22.xml" ContentType="application/vnd.openxmlformats-officedocument.themeOverride+xml"/>
  <Override PartName="/word/charts/chart26.xml" ContentType="application/vnd.openxmlformats-officedocument.drawingml.chart+xml"/>
  <Override PartName="/word/theme/themeOverride23.xml" ContentType="application/vnd.openxmlformats-officedocument.themeOverride+xml"/>
  <Override PartName="/word/charts/chart27.xml" ContentType="application/vnd.openxmlformats-officedocument.drawingml.chart+xml"/>
  <Override PartName="/word/theme/themeOverride24.xml" ContentType="application/vnd.openxmlformats-officedocument.themeOverride+xml"/>
  <Override PartName="/word/charts/chart28.xml" ContentType="application/vnd.openxmlformats-officedocument.drawingml.chart+xml"/>
  <Override PartName="/word/theme/themeOverride25.xml" ContentType="application/vnd.openxmlformats-officedocument.themeOverride+xml"/>
  <Override PartName="/word/charts/chart29.xml" ContentType="application/vnd.openxmlformats-officedocument.drawingml.chart+xml"/>
  <Override PartName="/word/charts/chart30.xml" ContentType="application/vnd.openxmlformats-officedocument.drawingml.chart+xml"/>
  <Override PartName="/word/theme/themeOverride26.xml" ContentType="application/vnd.openxmlformats-officedocument.themeOverride+xml"/>
  <Override PartName="/word/charts/chart31.xml" ContentType="application/vnd.openxmlformats-officedocument.drawingml.chart+xml"/>
  <Override PartName="/word/charts/chart32.xml" ContentType="application/vnd.openxmlformats-officedocument.drawingml.chart+xml"/>
  <Override PartName="/word/theme/themeOverride27.xml" ContentType="application/vnd.openxmlformats-officedocument.themeOverrid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color="FFFFFF" w:themeColor="background1"/>
  <w:body>
    <w:p w:rsidR="00EA2E05" w:rsidRPr="0065598A" w:rsidRDefault="00D90476" w:rsidP="00D90476">
      <w:pPr>
        <w:tabs>
          <w:tab w:val="center" w:pos="5954"/>
        </w:tabs>
        <w:spacing w:line="276" w:lineRule="auto"/>
        <w:jc w:val="center"/>
        <w:rPr>
          <w:rFonts w:asciiTheme="minorHAnsi" w:hAnsiTheme="minorHAnsi"/>
          <w:b/>
          <w:bCs/>
          <w:lang w:val="sq-AL"/>
        </w:rPr>
      </w:pPr>
      <w:r w:rsidRPr="0065598A">
        <w:rPr>
          <w:rFonts w:asciiTheme="majorHAnsi" w:hAnsiTheme="majorHAnsi"/>
          <w:noProof/>
        </w:rPr>
        <w:drawing>
          <wp:inline distT="0" distB="0" distL="0" distR="0" wp14:anchorId="2476035E" wp14:editId="5E6BF7C7">
            <wp:extent cx="6113493" cy="1638300"/>
            <wp:effectExtent l="0" t="0" r="1905" b="0"/>
            <wp:docPr id="296" name="Picture 296" descr="C:\Users\kostandine.dorri\Desktop\logo ministri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kostandine.dorri\Desktop\logo ministria.pn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119574" cy="1639930"/>
                    </a:xfrm>
                    <a:prstGeom prst="rect">
                      <a:avLst/>
                    </a:prstGeom>
                    <a:noFill/>
                    <a:ln>
                      <a:noFill/>
                    </a:ln>
                  </pic:spPr>
                </pic:pic>
              </a:graphicData>
            </a:graphic>
          </wp:inline>
        </w:drawing>
      </w:r>
    </w:p>
    <w:p w:rsidR="00EA2E05" w:rsidRPr="0065598A" w:rsidRDefault="00EA2E05" w:rsidP="00A40986">
      <w:pPr>
        <w:tabs>
          <w:tab w:val="center" w:pos="5954"/>
        </w:tabs>
        <w:spacing w:line="276" w:lineRule="auto"/>
        <w:jc w:val="both"/>
        <w:rPr>
          <w:rFonts w:asciiTheme="minorHAnsi" w:hAnsiTheme="minorHAnsi"/>
          <w:b/>
          <w:bCs/>
          <w:lang w:val="sq-AL"/>
        </w:rPr>
      </w:pPr>
    </w:p>
    <w:p w:rsidR="00EA2E05" w:rsidRPr="0065598A" w:rsidRDefault="00EA2E05" w:rsidP="00A40986">
      <w:pPr>
        <w:tabs>
          <w:tab w:val="center" w:pos="5954"/>
        </w:tabs>
        <w:spacing w:line="276" w:lineRule="auto"/>
        <w:jc w:val="both"/>
        <w:rPr>
          <w:rFonts w:asciiTheme="minorHAnsi" w:hAnsiTheme="minorHAnsi"/>
          <w:b/>
          <w:bCs/>
          <w:lang w:val="sq-AL"/>
        </w:rPr>
      </w:pPr>
    </w:p>
    <w:p w:rsidR="00EA2E05" w:rsidRPr="0065598A" w:rsidRDefault="00EA2E05" w:rsidP="00A40986">
      <w:pPr>
        <w:spacing w:line="276" w:lineRule="auto"/>
        <w:jc w:val="both"/>
        <w:rPr>
          <w:rFonts w:asciiTheme="minorHAnsi" w:hAnsiTheme="minorHAnsi"/>
          <w:b/>
          <w:bCs/>
          <w:color w:val="333333"/>
          <w:lang w:val="sq-AL"/>
        </w:rPr>
      </w:pPr>
    </w:p>
    <w:p w:rsidR="000F540A" w:rsidRPr="0065598A" w:rsidRDefault="000F540A" w:rsidP="00A40986">
      <w:pPr>
        <w:pStyle w:val="Default"/>
        <w:spacing w:line="276" w:lineRule="auto"/>
        <w:jc w:val="center"/>
        <w:rPr>
          <w:rFonts w:asciiTheme="minorHAnsi" w:hAnsiTheme="minorHAnsi"/>
          <w:b/>
          <w:color w:val="800000"/>
          <w:lang w:val="sq-AL"/>
        </w:rPr>
      </w:pPr>
    </w:p>
    <w:p w:rsidR="000F540A" w:rsidRPr="0065598A" w:rsidRDefault="000F540A" w:rsidP="00A40986">
      <w:pPr>
        <w:pStyle w:val="Default"/>
        <w:spacing w:line="276" w:lineRule="auto"/>
        <w:jc w:val="center"/>
        <w:rPr>
          <w:rFonts w:asciiTheme="minorHAnsi" w:hAnsiTheme="minorHAnsi"/>
          <w:b/>
          <w:color w:val="800000"/>
          <w:lang w:val="sq-AL"/>
        </w:rPr>
      </w:pPr>
    </w:p>
    <w:p w:rsidR="000F540A" w:rsidRPr="0065598A" w:rsidRDefault="000F540A" w:rsidP="00A40986">
      <w:pPr>
        <w:pStyle w:val="Default"/>
        <w:spacing w:line="276" w:lineRule="auto"/>
        <w:jc w:val="center"/>
        <w:rPr>
          <w:rFonts w:asciiTheme="minorHAnsi" w:hAnsiTheme="minorHAnsi"/>
          <w:b/>
          <w:color w:val="800000"/>
          <w:lang w:val="sq-AL"/>
        </w:rPr>
      </w:pPr>
    </w:p>
    <w:p w:rsidR="000F540A" w:rsidRPr="0065598A" w:rsidRDefault="000F540A" w:rsidP="00A40986">
      <w:pPr>
        <w:pStyle w:val="Default"/>
        <w:spacing w:line="276" w:lineRule="auto"/>
        <w:jc w:val="center"/>
        <w:rPr>
          <w:rFonts w:asciiTheme="minorHAnsi" w:hAnsiTheme="minorHAnsi"/>
          <w:b/>
          <w:color w:val="800000"/>
          <w:lang w:val="sq-AL"/>
        </w:rPr>
      </w:pPr>
    </w:p>
    <w:p w:rsidR="00EA2E05" w:rsidRPr="0065598A" w:rsidRDefault="00EA2E05" w:rsidP="00A40986">
      <w:pPr>
        <w:pStyle w:val="Default"/>
        <w:spacing w:line="276" w:lineRule="auto"/>
        <w:jc w:val="center"/>
        <w:rPr>
          <w:rFonts w:asciiTheme="minorHAnsi" w:hAnsiTheme="minorHAnsi"/>
          <w:b/>
          <w:color w:val="800000"/>
          <w:lang w:val="sq-AL"/>
        </w:rPr>
      </w:pPr>
      <w:r w:rsidRPr="0065598A">
        <w:rPr>
          <w:rFonts w:asciiTheme="minorHAnsi" w:hAnsiTheme="minorHAnsi"/>
          <w:b/>
          <w:color w:val="800000"/>
          <w:lang w:val="sq-AL"/>
        </w:rPr>
        <w:t>______________</w:t>
      </w:r>
    </w:p>
    <w:p w:rsidR="00FA2FFA" w:rsidRPr="0065598A" w:rsidRDefault="00FA2FFA" w:rsidP="00A40986">
      <w:pPr>
        <w:pStyle w:val="Default"/>
        <w:spacing w:line="276" w:lineRule="auto"/>
        <w:jc w:val="center"/>
        <w:rPr>
          <w:rFonts w:asciiTheme="minorHAnsi" w:hAnsiTheme="minorHAnsi"/>
          <w:b/>
          <w:color w:val="auto"/>
          <w:lang w:val="sq-AL"/>
        </w:rPr>
      </w:pPr>
    </w:p>
    <w:p w:rsidR="00337792" w:rsidRPr="0065598A" w:rsidRDefault="00337792" w:rsidP="00A40986">
      <w:pPr>
        <w:pStyle w:val="Default"/>
        <w:spacing w:line="276" w:lineRule="auto"/>
        <w:jc w:val="center"/>
        <w:rPr>
          <w:rFonts w:asciiTheme="minorHAnsi" w:hAnsiTheme="minorHAnsi"/>
          <w:b/>
          <w:color w:val="C00000"/>
          <w:sz w:val="52"/>
          <w:lang w:val="sq-AL"/>
        </w:rPr>
      </w:pPr>
      <w:r w:rsidRPr="0065598A">
        <w:rPr>
          <w:rFonts w:asciiTheme="minorHAnsi" w:hAnsiTheme="minorHAnsi"/>
          <w:b/>
          <w:color w:val="C00000"/>
          <w:sz w:val="52"/>
          <w:lang w:val="sq-AL"/>
        </w:rPr>
        <w:t xml:space="preserve">RAPORTI I MES-VITIT </w:t>
      </w:r>
    </w:p>
    <w:p w:rsidR="00C81BF8" w:rsidRPr="0065598A" w:rsidRDefault="00337792" w:rsidP="00A40986">
      <w:pPr>
        <w:pStyle w:val="Default"/>
        <w:spacing w:line="276" w:lineRule="auto"/>
        <w:jc w:val="center"/>
        <w:rPr>
          <w:rFonts w:asciiTheme="minorHAnsi" w:hAnsiTheme="minorHAnsi"/>
          <w:b/>
          <w:color w:val="C00000"/>
          <w:sz w:val="52"/>
          <w:lang w:val="sq-AL"/>
        </w:rPr>
      </w:pPr>
      <w:r w:rsidRPr="0065598A">
        <w:rPr>
          <w:rFonts w:asciiTheme="minorHAnsi" w:hAnsiTheme="minorHAnsi"/>
          <w:b/>
          <w:color w:val="C00000"/>
          <w:sz w:val="52"/>
          <w:lang w:val="sq-AL"/>
        </w:rPr>
        <w:t>MBI ZBATIMIN E BUXHETIT 20</w:t>
      </w:r>
      <w:r w:rsidR="00A93433" w:rsidRPr="0065598A">
        <w:rPr>
          <w:rFonts w:asciiTheme="minorHAnsi" w:hAnsiTheme="minorHAnsi"/>
          <w:b/>
          <w:color w:val="C00000"/>
          <w:sz w:val="52"/>
          <w:lang w:val="sq-AL"/>
        </w:rPr>
        <w:t>20</w:t>
      </w:r>
    </w:p>
    <w:p w:rsidR="00AB2DCA" w:rsidRPr="0065598A" w:rsidRDefault="00AB2DCA" w:rsidP="00A40986">
      <w:pPr>
        <w:pStyle w:val="Default"/>
        <w:spacing w:line="276" w:lineRule="auto"/>
        <w:jc w:val="center"/>
        <w:rPr>
          <w:rFonts w:asciiTheme="minorHAnsi" w:hAnsiTheme="minorHAnsi"/>
          <w:b/>
          <w:color w:val="C00000"/>
          <w:lang w:val="sq-AL"/>
        </w:rPr>
      </w:pPr>
    </w:p>
    <w:p w:rsidR="00337792" w:rsidRPr="0065598A" w:rsidRDefault="00337792" w:rsidP="00A40986">
      <w:pPr>
        <w:pStyle w:val="Default"/>
        <w:spacing w:line="276" w:lineRule="auto"/>
        <w:jc w:val="center"/>
        <w:rPr>
          <w:rFonts w:asciiTheme="minorHAnsi" w:hAnsiTheme="minorHAnsi"/>
          <w:b/>
          <w:color w:val="365F91" w:themeColor="accent1" w:themeShade="BF"/>
          <w:sz w:val="40"/>
          <w:lang w:val="sq-AL"/>
        </w:rPr>
      </w:pPr>
      <w:r w:rsidRPr="0065598A">
        <w:rPr>
          <w:rFonts w:asciiTheme="minorHAnsi" w:hAnsiTheme="minorHAnsi"/>
          <w:b/>
          <w:color w:val="365F91" w:themeColor="accent1" w:themeShade="BF"/>
          <w:sz w:val="40"/>
          <w:lang w:val="sq-AL"/>
        </w:rPr>
        <w:t>VLERËSIMI I SITUATËS MAKROEKONOMIKE, FISKALE DHE BUXHETORE PËR 5-MUJORIN 20</w:t>
      </w:r>
      <w:r w:rsidR="00A93433" w:rsidRPr="0065598A">
        <w:rPr>
          <w:rFonts w:asciiTheme="minorHAnsi" w:hAnsiTheme="minorHAnsi"/>
          <w:b/>
          <w:color w:val="365F91" w:themeColor="accent1" w:themeShade="BF"/>
          <w:sz w:val="40"/>
          <w:lang w:val="sq-AL"/>
        </w:rPr>
        <w:t>20</w:t>
      </w:r>
      <w:r w:rsidRPr="0065598A">
        <w:rPr>
          <w:rFonts w:asciiTheme="minorHAnsi" w:hAnsiTheme="minorHAnsi"/>
          <w:b/>
          <w:color w:val="365F91" w:themeColor="accent1" w:themeShade="BF"/>
          <w:sz w:val="40"/>
          <w:lang w:val="sq-AL"/>
        </w:rPr>
        <w:t xml:space="preserve">, </w:t>
      </w:r>
    </w:p>
    <w:p w:rsidR="00AB2DCA" w:rsidRPr="0065598A" w:rsidRDefault="00337792" w:rsidP="00A40986">
      <w:pPr>
        <w:pStyle w:val="Default"/>
        <w:spacing w:line="276" w:lineRule="auto"/>
        <w:jc w:val="center"/>
        <w:rPr>
          <w:rFonts w:asciiTheme="minorHAnsi" w:hAnsiTheme="minorHAnsi"/>
          <w:b/>
          <w:color w:val="365F91" w:themeColor="accent1" w:themeShade="BF"/>
          <w:sz w:val="40"/>
          <w:lang w:val="sq-AL"/>
        </w:rPr>
      </w:pPr>
      <w:r w:rsidRPr="0065598A">
        <w:rPr>
          <w:rFonts w:asciiTheme="minorHAnsi" w:hAnsiTheme="minorHAnsi"/>
          <w:b/>
          <w:color w:val="365F91" w:themeColor="accent1" w:themeShade="BF"/>
          <w:sz w:val="40"/>
          <w:lang w:val="sq-AL"/>
        </w:rPr>
        <w:t>DHE PRITSHMËRITË PËR 12-MUJORIN 20</w:t>
      </w:r>
      <w:r w:rsidR="00A93433" w:rsidRPr="0065598A">
        <w:rPr>
          <w:rFonts w:asciiTheme="minorHAnsi" w:hAnsiTheme="minorHAnsi"/>
          <w:b/>
          <w:color w:val="365F91" w:themeColor="accent1" w:themeShade="BF"/>
          <w:sz w:val="40"/>
          <w:lang w:val="sq-AL"/>
        </w:rPr>
        <w:t>20</w:t>
      </w:r>
    </w:p>
    <w:p w:rsidR="00EA2E05" w:rsidRPr="0065598A" w:rsidRDefault="00EA2E05" w:rsidP="00A40986">
      <w:pPr>
        <w:pStyle w:val="Default"/>
        <w:spacing w:line="276" w:lineRule="auto"/>
        <w:jc w:val="center"/>
        <w:rPr>
          <w:rFonts w:asciiTheme="minorHAnsi" w:hAnsiTheme="minorHAnsi"/>
          <w:color w:val="auto"/>
          <w:lang w:val="sq-AL"/>
        </w:rPr>
      </w:pPr>
      <w:r w:rsidRPr="0065598A">
        <w:rPr>
          <w:rFonts w:asciiTheme="minorHAnsi" w:hAnsiTheme="minorHAnsi"/>
          <w:b/>
          <w:color w:val="800000"/>
          <w:lang w:val="sq-AL"/>
        </w:rPr>
        <w:t>______________________________</w:t>
      </w:r>
    </w:p>
    <w:p w:rsidR="00EA2E05" w:rsidRPr="0065598A" w:rsidRDefault="00EA2E05" w:rsidP="00A40986">
      <w:pPr>
        <w:pStyle w:val="Default"/>
        <w:spacing w:line="276" w:lineRule="auto"/>
        <w:jc w:val="center"/>
        <w:rPr>
          <w:rFonts w:asciiTheme="minorHAnsi" w:hAnsiTheme="minorHAnsi" w:cs="Arial"/>
          <w:color w:val="auto"/>
          <w:lang w:val="sq-AL"/>
        </w:rPr>
      </w:pPr>
    </w:p>
    <w:p w:rsidR="000F540A" w:rsidRPr="0065598A" w:rsidRDefault="000F540A" w:rsidP="00A40986">
      <w:pPr>
        <w:pStyle w:val="Default"/>
        <w:spacing w:line="276" w:lineRule="auto"/>
        <w:jc w:val="both"/>
        <w:rPr>
          <w:rFonts w:asciiTheme="minorHAnsi" w:hAnsiTheme="minorHAnsi" w:cs="Arial"/>
          <w:color w:val="auto"/>
          <w:lang w:val="sq-AL"/>
        </w:rPr>
      </w:pPr>
    </w:p>
    <w:p w:rsidR="000F540A" w:rsidRPr="0065598A" w:rsidRDefault="000F540A" w:rsidP="00A40986">
      <w:pPr>
        <w:pStyle w:val="Default"/>
        <w:spacing w:line="276" w:lineRule="auto"/>
        <w:jc w:val="both"/>
        <w:rPr>
          <w:rFonts w:asciiTheme="minorHAnsi" w:hAnsiTheme="minorHAnsi" w:cs="Arial"/>
          <w:color w:val="auto"/>
          <w:lang w:val="sq-AL"/>
        </w:rPr>
      </w:pPr>
    </w:p>
    <w:p w:rsidR="00A4451F" w:rsidRPr="0065598A" w:rsidRDefault="00A4451F" w:rsidP="00A40986">
      <w:pPr>
        <w:spacing w:line="276" w:lineRule="auto"/>
        <w:jc w:val="both"/>
        <w:rPr>
          <w:rFonts w:asciiTheme="minorHAnsi" w:hAnsiTheme="minorHAnsi" w:cs="Arial"/>
          <w:lang w:val="sq-AL"/>
        </w:rPr>
      </w:pPr>
    </w:p>
    <w:p w:rsidR="00EA2E05" w:rsidRPr="0065598A" w:rsidRDefault="00EA2E05" w:rsidP="00A40986">
      <w:pPr>
        <w:spacing w:line="276" w:lineRule="auto"/>
        <w:jc w:val="both"/>
        <w:rPr>
          <w:rFonts w:asciiTheme="minorHAnsi" w:hAnsiTheme="minorHAnsi" w:cs="Arial"/>
          <w:lang w:val="sq-AL"/>
        </w:rPr>
      </w:pPr>
    </w:p>
    <w:p w:rsidR="00EA2E05" w:rsidRPr="0065598A" w:rsidRDefault="00EA2E05" w:rsidP="00A40986">
      <w:pPr>
        <w:spacing w:line="276" w:lineRule="auto"/>
        <w:jc w:val="both"/>
        <w:rPr>
          <w:rFonts w:asciiTheme="minorHAnsi" w:hAnsiTheme="minorHAnsi" w:cs="Arial"/>
          <w:lang w:val="sq-AL"/>
        </w:rPr>
      </w:pPr>
    </w:p>
    <w:p w:rsidR="00EA2E05" w:rsidRPr="0065598A" w:rsidRDefault="00EA2E05" w:rsidP="00A40986">
      <w:pPr>
        <w:spacing w:line="276" w:lineRule="auto"/>
        <w:jc w:val="both"/>
        <w:rPr>
          <w:rFonts w:asciiTheme="minorHAnsi" w:hAnsiTheme="minorHAnsi" w:cs="Arial"/>
          <w:lang w:val="sq-AL"/>
        </w:rPr>
      </w:pPr>
    </w:p>
    <w:p w:rsidR="00EA2E05" w:rsidRPr="0065598A" w:rsidRDefault="00EA2E05" w:rsidP="00A40986">
      <w:pPr>
        <w:spacing w:line="276" w:lineRule="auto"/>
        <w:jc w:val="both"/>
        <w:rPr>
          <w:rFonts w:asciiTheme="minorHAnsi" w:hAnsiTheme="minorHAnsi" w:cs="Arial"/>
          <w:lang w:val="sq-AL"/>
        </w:rPr>
      </w:pPr>
    </w:p>
    <w:p w:rsidR="00EA2E05" w:rsidRPr="0065598A" w:rsidRDefault="00EA2E05" w:rsidP="00A40986">
      <w:pPr>
        <w:spacing w:line="276" w:lineRule="auto"/>
        <w:jc w:val="both"/>
        <w:rPr>
          <w:rFonts w:asciiTheme="minorHAnsi" w:hAnsiTheme="minorHAnsi" w:cs="Arial"/>
          <w:lang w:val="sq-AL"/>
        </w:rPr>
      </w:pPr>
    </w:p>
    <w:p w:rsidR="00EA2E05" w:rsidRPr="0065598A" w:rsidRDefault="00EA2E05" w:rsidP="00A40986">
      <w:pPr>
        <w:spacing w:line="276" w:lineRule="auto"/>
        <w:jc w:val="both"/>
        <w:rPr>
          <w:rFonts w:asciiTheme="minorHAnsi" w:hAnsiTheme="minorHAnsi" w:cs="Arial"/>
          <w:lang w:val="sq-AL"/>
        </w:rPr>
      </w:pPr>
    </w:p>
    <w:p w:rsidR="00EA2E05" w:rsidRPr="0065598A" w:rsidRDefault="00EA2E05" w:rsidP="00A40986">
      <w:pPr>
        <w:spacing w:line="276" w:lineRule="auto"/>
        <w:jc w:val="both"/>
        <w:rPr>
          <w:rFonts w:asciiTheme="minorHAnsi" w:hAnsiTheme="minorHAnsi" w:cs="Arial"/>
          <w:lang w:val="sq-AL"/>
        </w:rPr>
      </w:pPr>
    </w:p>
    <w:p w:rsidR="00EA2E05" w:rsidRPr="0065598A" w:rsidRDefault="00EA2E05" w:rsidP="00A40986">
      <w:pPr>
        <w:spacing w:line="276" w:lineRule="auto"/>
        <w:jc w:val="both"/>
        <w:rPr>
          <w:rFonts w:asciiTheme="minorHAnsi" w:hAnsiTheme="minorHAnsi" w:cs="Arial"/>
          <w:lang w:val="sq-AL"/>
        </w:rPr>
      </w:pPr>
    </w:p>
    <w:p w:rsidR="00EA2E05" w:rsidRPr="0065598A" w:rsidRDefault="00E97958" w:rsidP="00A40986">
      <w:pPr>
        <w:spacing w:line="276" w:lineRule="auto"/>
        <w:jc w:val="both"/>
        <w:rPr>
          <w:rFonts w:asciiTheme="minorHAnsi" w:hAnsiTheme="minorHAnsi" w:cs="Arial"/>
          <w:b/>
          <w:color w:val="C00000"/>
          <w:sz w:val="32"/>
          <w:lang w:val="sq-AL"/>
        </w:rPr>
      </w:pPr>
      <w:r w:rsidRPr="0065598A">
        <w:rPr>
          <w:rFonts w:asciiTheme="minorHAnsi" w:hAnsiTheme="minorHAnsi" w:cs="Arial"/>
          <w:b/>
          <w:color w:val="C00000"/>
          <w:sz w:val="32"/>
          <w:lang w:val="sq-AL"/>
        </w:rPr>
        <w:t xml:space="preserve">Tiranë, </w:t>
      </w:r>
      <w:r w:rsidR="00337792" w:rsidRPr="0065598A">
        <w:rPr>
          <w:rFonts w:asciiTheme="minorHAnsi" w:hAnsiTheme="minorHAnsi" w:cs="Arial"/>
          <w:b/>
          <w:color w:val="C00000"/>
          <w:sz w:val="32"/>
          <w:lang w:val="sq-AL"/>
        </w:rPr>
        <w:t xml:space="preserve">Qershor </w:t>
      </w:r>
      <w:r w:rsidRPr="0065598A">
        <w:rPr>
          <w:rFonts w:asciiTheme="minorHAnsi" w:hAnsiTheme="minorHAnsi" w:cs="Arial"/>
          <w:b/>
          <w:color w:val="C00000"/>
          <w:sz w:val="32"/>
          <w:lang w:val="sq-AL"/>
        </w:rPr>
        <w:t>20</w:t>
      </w:r>
      <w:r w:rsidR="00A93433" w:rsidRPr="0065598A">
        <w:rPr>
          <w:rFonts w:asciiTheme="minorHAnsi" w:hAnsiTheme="minorHAnsi" w:cs="Arial"/>
          <w:b/>
          <w:color w:val="C00000"/>
          <w:sz w:val="32"/>
          <w:lang w:val="sq-AL"/>
        </w:rPr>
        <w:t>20</w:t>
      </w:r>
    </w:p>
    <w:bookmarkStart w:id="0" w:name="_Toc449351139" w:displacedByCustomXml="next"/>
    <w:sdt>
      <w:sdtPr>
        <w:rPr>
          <w:rFonts w:ascii="Times New Roman" w:eastAsia="Times New Roman" w:hAnsi="Times New Roman" w:cs="Times New Roman"/>
          <w:b w:val="0"/>
          <w:bCs w:val="0"/>
          <w:noProof w:val="0"/>
          <w:color w:val="auto"/>
          <w:sz w:val="24"/>
          <w:u w:val="none"/>
          <w:lang w:val="en-US"/>
        </w:rPr>
        <w:id w:val="2053270720"/>
        <w:docPartObj>
          <w:docPartGallery w:val="Table of Contents"/>
          <w:docPartUnique/>
        </w:docPartObj>
      </w:sdtPr>
      <w:sdtEndPr>
        <w:rPr>
          <w:rFonts w:asciiTheme="minorHAnsi" w:hAnsiTheme="minorHAnsi"/>
          <w:szCs w:val="28"/>
        </w:rPr>
      </w:sdtEndPr>
      <w:sdtContent>
        <w:p w:rsidR="007A09E2" w:rsidRPr="0065598A" w:rsidRDefault="007A09E2" w:rsidP="004719C1">
          <w:pPr>
            <w:pStyle w:val="TOCHeading"/>
            <w:rPr>
              <w:rFonts w:ascii="Times New Roman" w:eastAsia="Times New Roman" w:hAnsi="Times New Roman" w:cs="Times New Roman"/>
              <w:b w:val="0"/>
              <w:bCs w:val="0"/>
              <w:noProof w:val="0"/>
              <w:color w:val="auto"/>
              <w:sz w:val="24"/>
              <w:u w:val="none"/>
            </w:rPr>
          </w:pPr>
        </w:p>
        <w:p w:rsidR="00EE2069" w:rsidRPr="0065598A" w:rsidRDefault="00EF5147" w:rsidP="00BB3F3F">
          <w:pPr>
            <w:pStyle w:val="TOCHeading"/>
            <w:spacing w:before="0" w:line="480" w:lineRule="auto"/>
            <w:ind w:right="-360"/>
            <w:jc w:val="center"/>
            <w:rPr>
              <w:rFonts w:asciiTheme="minorHAnsi" w:hAnsiTheme="minorHAnsi"/>
              <w:noProof w:val="0"/>
              <w:sz w:val="32"/>
              <w:szCs w:val="28"/>
              <w:u w:val="none"/>
            </w:rPr>
          </w:pPr>
          <w:r w:rsidRPr="0065598A">
            <w:rPr>
              <w:rFonts w:asciiTheme="minorHAnsi" w:hAnsiTheme="minorHAnsi"/>
              <w:noProof w:val="0"/>
              <w:sz w:val="32"/>
              <w:szCs w:val="28"/>
              <w:u w:val="none"/>
            </w:rPr>
            <w:t xml:space="preserve">P </w:t>
          </w:r>
          <w:r w:rsidR="002F0689" w:rsidRPr="0065598A">
            <w:rPr>
              <w:rFonts w:asciiTheme="minorHAnsi" w:hAnsiTheme="minorHAnsi"/>
              <w:noProof w:val="0"/>
              <w:sz w:val="32"/>
              <w:szCs w:val="28"/>
              <w:u w:val="none"/>
            </w:rPr>
            <w:t>Ë</w:t>
          </w:r>
          <w:r w:rsidRPr="0065598A">
            <w:rPr>
              <w:rFonts w:asciiTheme="minorHAnsi" w:hAnsiTheme="minorHAnsi"/>
              <w:noProof w:val="0"/>
              <w:sz w:val="32"/>
              <w:szCs w:val="28"/>
              <w:u w:val="none"/>
            </w:rPr>
            <w:t xml:space="preserve"> R M B A J T J A</w:t>
          </w:r>
        </w:p>
        <w:p w:rsidR="004008C0" w:rsidRDefault="00EE2069">
          <w:pPr>
            <w:pStyle w:val="TOC1"/>
            <w:rPr>
              <w:rFonts w:asciiTheme="minorHAnsi" w:eastAsiaTheme="minorEastAsia" w:hAnsiTheme="minorHAnsi" w:cstheme="minorBidi"/>
              <w:b w:val="0"/>
              <w:sz w:val="22"/>
              <w:szCs w:val="22"/>
            </w:rPr>
          </w:pPr>
          <w:r w:rsidRPr="0065598A">
            <w:rPr>
              <w:rFonts w:asciiTheme="minorHAnsi" w:hAnsiTheme="minorHAnsi"/>
              <w:color w:val="0070C0"/>
              <w:sz w:val="28"/>
              <w:szCs w:val="28"/>
              <w:lang w:val="sq-AL"/>
            </w:rPr>
            <w:fldChar w:fldCharType="begin"/>
          </w:r>
          <w:r w:rsidRPr="0065598A">
            <w:rPr>
              <w:rFonts w:asciiTheme="minorHAnsi" w:hAnsiTheme="minorHAnsi"/>
              <w:color w:val="0070C0"/>
              <w:sz w:val="28"/>
              <w:szCs w:val="28"/>
              <w:lang w:val="sq-AL"/>
            </w:rPr>
            <w:instrText xml:space="preserve"> TOC \o "1-3" \h \z \u </w:instrText>
          </w:r>
          <w:r w:rsidRPr="0065598A">
            <w:rPr>
              <w:rFonts w:asciiTheme="minorHAnsi" w:hAnsiTheme="minorHAnsi"/>
              <w:color w:val="0070C0"/>
              <w:sz w:val="28"/>
              <w:szCs w:val="28"/>
              <w:lang w:val="sq-AL"/>
            </w:rPr>
            <w:fldChar w:fldCharType="separate"/>
          </w:r>
          <w:hyperlink w:anchor="_Toc44403601" w:history="1">
            <w:r w:rsidR="004008C0" w:rsidRPr="001F087F">
              <w:rPr>
                <w:rStyle w:val="Hyperlink"/>
              </w:rPr>
              <w:t>Tabela dhe Grafikë</w:t>
            </w:r>
            <w:r w:rsidR="004008C0">
              <w:rPr>
                <w:webHidden/>
              </w:rPr>
              <w:tab/>
            </w:r>
            <w:r w:rsidR="004008C0">
              <w:rPr>
                <w:webHidden/>
              </w:rPr>
              <w:fldChar w:fldCharType="begin"/>
            </w:r>
            <w:r w:rsidR="004008C0">
              <w:rPr>
                <w:webHidden/>
              </w:rPr>
              <w:instrText xml:space="preserve"> PAGEREF _Toc44403601 \h </w:instrText>
            </w:r>
            <w:r w:rsidR="004008C0">
              <w:rPr>
                <w:webHidden/>
              </w:rPr>
            </w:r>
            <w:r w:rsidR="004008C0">
              <w:rPr>
                <w:webHidden/>
              </w:rPr>
              <w:fldChar w:fldCharType="separate"/>
            </w:r>
            <w:r w:rsidR="00C342E2">
              <w:rPr>
                <w:webHidden/>
              </w:rPr>
              <w:t>3</w:t>
            </w:r>
            <w:r w:rsidR="004008C0">
              <w:rPr>
                <w:webHidden/>
              </w:rPr>
              <w:fldChar w:fldCharType="end"/>
            </w:r>
          </w:hyperlink>
        </w:p>
        <w:p w:rsidR="004008C0" w:rsidRDefault="00555461">
          <w:pPr>
            <w:pStyle w:val="TOC1"/>
            <w:rPr>
              <w:rFonts w:asciiTheme="minorHAnsi" w:eastAsiaTheme="minorEastAsia" w:hAnsiTheme="minorHAnsi" w:cstheme="minorBidi"/>
              <w:b w:val="0"/>
              <w:sz w:val="22"/>
              <w:szCs w:val="22"/>
            </w:rPr>
          </w:pPr>
          <w:hyperlink w:anchor="_Toc44403602" w:history="1">
            <w:r w:rsidR="004008C0" w:rsidRPr="001F087F">
              <w:rPr>
                <w:rStyle w:val="Hyperlink"/>
              </w:rPr>
              <w:t>I.</w:t>
            </w:r>
            <w:r w:rsidR="004008C0">
              <w:rPr>
                <w:rFonts w:asciiTheme="minorHAnsi" w:eastAsiaTheme="minorEastAsia" w:hAnsiTheme="minorHAnsi" w:cstheme="minorBidi"/>
                <w:b w:val="0"/>
                <w:sz w:val="22"/>
                <w:szCs w:val="22"/>
              </w:rPr>
              <w:tab/>
            </w:r>
            <w:r w:rsidR="004008C0" w:rsidRPr="001F087F">
              <w:rPr>
                <w:rStyle w:val="Hyperlink"/>
              </w:rPr>
              <w:t>ZHVILLIMET NË EKONOMINË SHQIPTARE</w:t>
            </w:r>
            <w:r w:rsidR="004008C0">
              <w:rPr>
                <w:webHidden/>
              </w:rPr>
              <w:tab/>
            </w:r>
            <w:r w:rsidR="004008C0">
              <w:rPr>
                <w:webHidden/>
              </w:rPr>
              <w:fldChar w:fldCharType="begin"/>
            </w:r>
            <w:r w:rsidR="004008C0">
              <w:rPr>
                <w:webHidden/>
              </w:rPr>
              <w:instrText xml:space="preserve"> PAGEREF _Toc44403602 \h </w:instrText>
            </w:r>
            <w:r w:rsidR="004008C0">
              <w:rPr>
                <w:webHidden/>
              </w:rPr>
            </w:r>
            <w:r w:rsidR="004008C0">
              <w:rPr>
                <w:webHidden/>
              </w:rPr>
              <w:fldChar w:fldCharType="separate"/>
            </w:r>
            <w:r w:rsidR="00C342E2">
              <w:rPr>
                <w:webHidden/>
              </w:rPr>
              <w:t>5</w:t>
            </w:r>
            <w:r w:rsidR="004008C0">
              <w:rPr>
                <w:webHidden/>
              </w:rPr>
              <w:fldChar w:fldCharType="end"/>
            </w:r>
          </w:hyperlink>
        </w:p>
        <w:p w:rsidR="004008C0" w:rsidRDefault="00555461">
          <w:pPr>
            <w:pStyle w:val="TOC2"/>
            <w:rPr>
              <w:rFonts w:asciiTheme="minorHAnsi" w:eastAsiaTheme="minorEastAsia" w:hAnsiTheme="minorHAnsi" w:cstheme="minorBidi"/>
              <w:noProof/>
              <w:sz w:val="22"/>
              <w:szCs w:val="22"/>
            </w:rPr>
          </w:pPr>
          <w:hyperlink w:anchor="_Toc44403603" w:history="1">
            <w:r w:rsidR="004008C0" w:rsidRPr="001F087F">
              <w:rPr>
                <w:rStyle w:val="Hyperlink"/>
                <w:noProof/>
              </w:rPr>
              <w:t>I.1</w:t>
            </w:r>
            <w:r w:rsidR="004008C0">
              <w:rPr>
                <w:rFonts w:asciiTheme="minorHAnsi" w:eastAsiaTheme="minorEastAsia" w:hAnsiTheme="minorHAnsi" w:cstheme="minorBidi"/>
                <w:noProof/>
                <w:sz w:val="22"/>
                <w:szCs w:val="22"/>
              </w:rPr>
              <w:tab/>
            </w:r>
            <w:r w:rsidR="004008C0" w:rsidRPr="001F087F">
              <w:rPr>
                <w:rStyle w:val="Hyperlink"/>
                <w:noProof/>
              </w:rPr>
              <w:t>Ecuria e treguesve makroekonomikë për periudhën janar-maj 2020</w:t>
            </w:r>
            <w:r w:rsidR="004008C0">
              <w:rPr>
                <w:noProof/>
                <w:webHidden/>
              </w:rPr>
              <w:tab/>
            </w:r>
            <w:r w:rsidR="004008C0">
              <w:rPr>
                <w:noProof/>
                <w:webHidden/>
              </w:rPr>
              <w:fldChar w:fldCharType="begin"/>
            </w:r>
            <w:r w:rsidR="004008C0">
              <w:rPr>
                <w:noProof/>
                <w:webHidden/>
              </w:rPr>
              <w:instrText xml:space="preserve"> PAGEREF _Toc44403603 \h </w:instrText>
            </w:r>
            <w:r w:rsidR="004008C0">
              <w:rPr>
                <w:noProof/>
                <w:webHidden/>
              </w:rPr>
            </w:r>
            <w:r w:rsidR="004008C0">
              <w:rPr>
                <w:noProof/>
                <w:webHidden/>
              </w:rPr>
              <w:fldChar w:fldCharType="separate"/>
            </w:r>
            <w:r w:rsidR="00C342E2">
              <w:rPr>
                <w:noProof/>
                <w:webHidden/>
              </w:rPr>
              <w:t>5</w:t>
            </w:r>
            <w:r w:rsidR="004008C0">
              <w:rPr>
                <w:noProof/>
                <w:webHidden/>
              </w:rPr>
              <w:fldChar w:fldCharType="end"/>
            </w:r>
          </w:hyperlink>
        </w:p>
        <w:p w:rsidR="004008C0" w:rsidRDefault="00555461">
          <w:pPr>
            <w:pStyle w:val="TOC2"/>
            <w:rPr>
              <w:rFonts w:asciiTheme="minorHAnsi" w:eastAsiaTheme="minorEastAsia" w:hAnsiTheme="minorHAnsi" w:cstheme="minorBidi"/>
              <w:noProof/>
              <w:sz w:val="22"/>
              <w:szCs w:val="22"/>
            </w:rPr>
          </w:pPr>
          <w:hyperlink w:anchor="_Toc44403604" w:history="1">
            <w:r w:rsidR="004008C0" w:rsidRPr="001F087F">
              <w:rPr>
                <w:rStyle w:val="Hyperlink"/>
                <w:noProof/>
              </w:rPr>
              <w:t>I.2</w:t>
            </w:r>
            <w:r w:rsidR="004008C0">
              <w:rPr>
                <w:rFonts w:asciiTheme="minorHAnsi" w:eastAsiaTheme="minorEastAsia" w:hAnsiTheme="minorHAnsi" w:cstheme="minorBidi"/>
                <w:noProof/>
                <w:sz w:val="22"/>
                <w:szCs w:val="22"/>
              </w:rPr>
              <w:tab/>
            </w:r>
            <w:r w:rsidR="004008C0" w:rsidRPr="001F087F">
              <w:rPr>
                <w:rStyle w:val="Hyperlink"/>
                <w:noProof/>
              </w:rPr>
              <w:t>Pritshmëritë e treguesve makroekonomikë deri në fund të vitit 2020</w:t>
            </w:r>
            <w:r w:rsidR="004008C0">
              <w:rPr>
                <w:noProof/>
                <w:webHidden/>
              </w:rPr>
              <w:tab/>
            </w:r>
            <w:r w:rsidR="004008C0">
              <w:rPr>
                <w:noProof/>
                <w:webHidden/>
              </w:rPr>
              <w:fldChar w:fldCharType="begin"/>
            </w:r>
            <w:r w:rsidR="004008C0">
              <w:rPr>
                <w:noProof/>
                <w:webHidden/>
              </w:rPr>
              <w:instrText xml:space="preserve"> PAGEREF _Toc44403604 \h </w:instrText>
            </w:r>
            <w:r w:rsidR="004008C0">
              <w:rPr>
                <w:noProof/>
                <w:webHidden/>
              </w:rPr>
            </w:r>
            <w:r w:rsidR="004008C0">
              <w:rPr>
                <w:noProof/>
                <w:webHidden/>
              </w:rPr>
              <w:fldChar w:fldCharType="separate"/>
            </w:r>
            <w:r w:rsidR="00C342E2">
              <w:rPr>
                <w:noProof/>
                <w:webHidden/>
              </w:rPr>
              <w:t>6</w:t>
            </w:r>
            <w:r w:rsidR="004008C0">
              <w:rPr>
                <w:noProof/>
                <w:webHidden/>
              </w:rPr>
              <w:fldChar w:fldCharType="end"/>
            </w:r>
          </w:hyperlink>
        </w:p>
        <w:p w:rsidR="004008C0" w:rsidRDefault="00555461">
          <w:pPr>
            <w:pStyle w:val="TOC1"/>
            <w:rPr>
              <w:rFonts w:asciiTheme="minorHAnsi" w:eastAsiaTheme="minorEastAsia" w:hAnsiTheme="minorHAnsi" w:cstheme="minorBidi"/>
              <w:b w:val="0"/>
              <w:sz w:val="22"/>
              <w:szCs w:val="22"/>
            </w:rPr>
          </w:pPr>
          <w:hyperlink w:anchor="_Toc44403605" w:history="1">
            <w:r w:rsidR="004008C0" w:rsidRPr="001F087F">
              <w:rPr>
                <w:rStyle w:val="Hyperlink"/>
              </w:rPr>
              <w:t>II.</w:t>
            </w:r>
            <w:r w:rsidR="004008C0">
              <w:rPr>
                <w:rFonts w:asciiTheme="minorHAnsi" w:eastAsiaTheme="minorEastAsia" w:hAnsiTheme="minorHAnsi" w:cstheme="minorBidi"/>
                <w:b w:val="0"/>
                <w:sz w:val="22"/>
                <w:szCs w:val="22"/>
              </w:rPr>
              <w:tab/>
            </w:r>
            <w:r w:rsidR="004008C0" w:rsidRPr="001F087F">
              <w:rPr>
                <w:rStyle w:val="Hyperlink"/>
              </w:rPr>
              <w:t>POLITIKA FISKALE</w:t>
            </w:r>
            <w:r w:rsidR="004008C0">
              <w:rPr>
                <w:webHidden/>
              </w:rPr>
              <w:tab/>
            </w:r>
            <w:r w:rsidR="004008C0">
              <w:rPr>
                <w:webHidden/>
              </w:rPr>
              <w:fldChar w:fldCharType="begin"/>
            </w:r>
            <w:r w:rsidR="004008C0">
              <w:rPr>
                <w:webHidden/>
              </w:rPr>
              <w:instrText xml:space="preserve"> PAGEREF _Toc44403605 \h </w:instrText>
            </w:r>
            <w:r w:rsidR="004008C0">
              <w:rPr>
                <w:webHidden/>
              </w:rPr>
            </w:r>
            <w:r w:rsidR="004008C0">
              <w:rPr>
                <w:webHidden/>
              </w:rPr>
              <w:fldChar w:fldCharType="separate"/>
            </w:r>
            <w:r w:rsidR="00C342E2">
              <w:rPr>
                <w:webHidden/>
              </w:rPr>
              <w:t>7</w:t>
            </w:r>
            <w:r w:rsidR="004008C0">
              <w:rPr>
                <w:webHidden/>
              </w:rPr>
              <w:fldChar w:fldCharType="end"/>
            </w:r>
          </w:hyperlink>
        </w:p>
        <w:p w:rsidR="004008C0" w:rsidRDefault="00555461">
          <w:pPr>
            <w:pStyle w:val="TOC2"/>
            <w:rPr>
              <w:rFonts w:asciiTheme="minorHAnsi" w:eastAsiaTheme="minorEastAsia" w:hAnsiTheme="minorHAnsi" w:cstheme="minorBidi"/>
              <w:noProof/>
              <w:sz w:val="22"/>
              <w:szCs w:val="22"/>
            </w:rPr>
          </w:pPr>
          <w:hyperlink w:anchor="_Toc44403606" w:history="1">
            <w:r w:rsidR="004008C0" w:rsidRPr="001F087F">
              <w:rPr>
                <w:rStyle w:val="Hyperlink"/>
                <w:noProof/>
              </w:rPr>
              <w:t>II.1</w:t>
            </w:r>
            <w:r w:rsidR="004008C0">
              <w:rPr>
                <w:rFonts w:asciiTheme="minorHAnsi" w:eastAsiaTheme="minorEastAsia" w:hAnsiTheme="minorHAnsi" w:cstheme="minorBidi"/>
                <w:noProof/>
                <w:sz w:val="22"/>
                <w:szCs w:val="22"/>
              </w:rPr>
              <w:tab/>
            </w:r>
            <w:r w:rsidR="004008C0" w:rsidRPr="001F087F">
              <w:rPr>
                <w:rStyle w:val="Hyperlink"/>
                <w:noProof/>
              </w:rPr>
              <w:t>Performanca fiskale për periudhën janar-maj 2020</w:t>
            </w:r>
            <w:r w:rsidR="004008C0">
              <w:rPr>
                <w:noProof/>
                <w:webHidden/>
              </w:rPr>
              <w:tab/>
            </w:r>
            <w:r w:rsidR="004008C0">
              <w:rPr>
                <w:noProof/>
                <w:webHidden/>
              </w:rPr>
              <w:fldChar w:fldCharType="begin"/>
            </w:r>
            <w:r w:rsidR="004008C0">
              <w:rPr>
                <w:noProof/>
                <w:webHidden/>
              </w:rPr>
              <w:instrText xml:space="preserve"> PAGEREF _Toc44403606 \h </w:instrText>
            </w:r>
            <w:r w:rsidR="004008C0">
              <w:rPr>
                <w:noProof/>
                <w:webHidden/>
              </w:rPr>
            </w:r>
            <w:r w:rsidR="004008C0">
              <w:rPr>
                <w:noProof/>
                <w:webHidden/>
              </w:rPr>
              <w:fldChar w:fldCharType="separate"/>
            </w:r>
            <w:r w:rsidR="00C342E2">
              <w:rPr>
                <w:noProof/>
                <w:webHidden/>
              </w:rPr>
              <w:t>7</w:t>
            </w:r>
            <w:r w:rsidR="004008C0">
              <w:rPr>
                <w:noProof/>
                <w:webHidden/>
              </w:rPr>
              <w:fldChar w:fldCharType="end"/>
            </w:r>
          </w:hyperlink>
        </w:p>
        <w:p w:rsidR="004008C0" w:rsidRDefault="00555461">
          <w:pPr>
            <w:pStyle w:val="TOC2"/>
            <w:rPr>
              <w:rFonts w:asciiTheme="minorHAnsi" w:eastAsiaTheme="minorEastAsia" w:hAnsiTheme="minorHAnsi" w:cstheme="minorBidi"/>
              <w:noProof/>
              <w:sz w:val="22"/>
              <w:szCs w:val="22"/>
            </w:rPr>
          </w:pPr>
          <w:hyperlink w:anchor="_Toc44403607" w:history="1">
            <w:r w:rsidR="004008C0" w:rsidRPr="001F087F">
              <w:rPr>
                <w:rStyle w:val="Hyperlink"/>
                <w:noProof/>
              </w:rPr>
              <w:t>II.2</w:t>
            </w:r>
            <w:r w:rsidR="004008C0">
              <w:rPr>
                <w:rFonts w:asciiTheme="minorHAnsi" w:eastAsiaTheme="minorEastAsia" w:hAnsiTheme="minorHAnsi" w:cstheme="minorBidi"/>
                <w:noProof/>
                <w:sz w:val="22"/>
                <w:szCs w:val="22"/>
              </w:rPr>
              <w:tab/>
            </w:r>
            <w:r w:rsidR="004008C0" w:rsidRPr="001F087F">
              <w:rPr>
                <w:rStyle w:val="Hyperlink"/>
                <w:noProof/>
              </w:rPr>
              <w:t>Pritshmëritë fiskale deri në fund të vitit 2020</w:t>
            </w:r>
            <w:r w:rsidR="004008C0">
              <w:rPr>
                <w:noProof/>
                <w:webHidden/>
              </w:rPr>
              <w:tab/>
            </w:r>
            <w:r w:rsidR="004008C0">
              <w:rPr>
                <w:noProof/>
                <w:webHidden/>
              </w:rPr>
              <w:fldChar w:fldCharType="begin"/>
            </w:r>
            <w:r w:rsidR="004008C0">
              <w:rPr>
                <w:noProof/>
                <w:webHidden/>
              </w:rPr>
              <w:instrText xml:space="preserve"> PAGEREF _Toc44403607 \h </w:instrText>
            </w:r>
            <w:r w:rsidR="004008C0">
              <w:rPr>
                <w:noProof/>
                <w:webHidden/>
              </w:rPr>
            </w:r>
            <w:r w:rsidR="004008C0">
              <w:rPr>
                <w:noProof/>
                <w:webHidden/>
              </w:rPr>
              <w:fldChar w:fldCharType="separate"/>
            </w:r>
            <w:r w:rsidR="00C342E2">
              <w:rPr>
                <w:noProof/>
                <w:webHidden/>
              </w:rPr>
              <w:t>14</w:t>
            </w:r>
            <w:r w:rsidR="004008C0">
              <w:rPr>
                <w:noProof/>
                <w:webHidden/>
              </w:rPr>
              <w:fldChar w:fldCharType="end"/>
            </w:r>
          </w:hyperlink>
        </w:p>
        <w:p w:rsidR="004008C0" w:rsidRDefault="00555461">
          <w:pPr>
            <w:pStyle w:val="TOC1"/>
            <w:rPr>
              <w:rFonts w:asciiTheme="minorHAnsi" w:eastAsiaTheme="minorEastAsia" w:hAnsiTheme="minorHAnsi" w:cstheme="minorBidi"/>
              <w:b w:val="0"/>
              <w:sz w:val="22"/>
              <w:szCs w:val="22"/>
            </w:rPr>
          </w:pPr>
          <w:hyperlink w:anchor="_Toc44403608" w:history="1">
            <w:r w:rsidR="004008C0" w:rsidRPr="001F087F">
              <w:rPr>
                <w:rStyle w:val="Hyperlink"/>
              </w:rPr>
              <w:t>III.</w:t>
            </w:r>
            <w:r w:rsidR="004008C0">
              <w:rPr>
                <w:rFonts w:asciiTheme="minorHAnsi" w:eastAsiaTheme="minorEastAsia" w:hAnsiTheme="minorHAnsi" w:cstheme="minorBidi"/>
                <w:b w:val="0"/>
                <w:sz w:val="22"/>
                <w:szCs w:val="22"/>
              </w:rPr>
              <w:tab/>
            </w:r>
            <w:r w:rsidR="004008C0" w:rsidRPr="001F087F">
              <w:rPr>
                <w:rStyle w:val="Hyperlink"/>
              </w:rPr>
              <w:t>BUXHETI I VITIT 2020</w:t>
            </w:r>
            <w:r w:rsidR="004008C0">
              <w:rPr>
                <w:webHidden/>
              </w:rPr>
              <w:tab/>
            </w:r>
            <w:r w:rsidR="004008C0">
              <w:rPr>
                <w:webHidden/>
              </w:rPr>
              <w:fldChar w:fldCharType="begin"/>
            </w:r>
            <w:r w:rsidR="004008C0">
              <w:rPr>
                <w:webHidden/>
              </w:rPr>
              <w:instrText xml:space="preserve"> PAGEREF _Toc44403608 \h </w:instrText>
            </w:r>
            <w:r w:rsidR="004008C0">
              <w:rPr>
                <w:webHidden/>
              </w:rPr>
            </w:r>
            <w:r w:rsidR="004008C0">
              <w:rPr>
                <w:webHidden/>
              </w:rPr>
              <w:fldChar w:fldCharType="separate"/>
            </w:r>
            <w:r w:rsidR="00C342E2">
              <w:rPr>
                <w:webHidden/>
              </w:rPr>
              <w:t>15</w:t>
            </w:r>
            <w:r w:rsidR="004008C0">
              <w:rPr>
                <w:webHidden/>
              </w:rPr>
              <w:fldChar w:fldCharType="end"/>
            </w:r>
          </w:hyperlink>
        </w:p>
        <w:p w:rsidR="004008C0" w:rsidRDefault="00555461">
          <w:pPr>
            <w:pStyle w:val="TOC2"/>
            <w:rPr>
              <w:rFonts w:asciiTheme="minorHAnsi" w:eastAsiaTheme="minorEastAsia" w:hAnsiTheme="minorHAnsi" w:cstheme="minorBidi"/>
              <w:noProof/>
              <w:sz w:val="22"/>
              <w:szCs w:val="22"/>
            </w:rPr>
          </w:pPr>
          <w:hyperlink w:anchor="_Toc44403609" w:history="1">
            <w:r w:rsidR="004008C0" w:rsidRPr="001F087F">
              <w:rPr>
                <w:rStyle w:val="Hyperlink"/>
                <w:noProof/>
              </w:rPr>
              <w:t>III.1</w:t>
            </w:r>
            <w:r w:rsidR="004008C0">
              <w:rPr>
                <w:rFonts w:asciiTheme="minorHAnsi" w:eastAsiaTheme="minorEastAsia" w:hAnsiTheme="minorHAnsi" w:cstheme="minorBidi"/>
                <w:noProof/>
                <w:sz w:val="22"/>
                <w:szCs w:val="22"/>
              </w:rPr>
              <w:tab/>
            </w:r>
            <w:r w:rsidR="004008C0" w:rsidRPr="001F087F">
              <w:rPr>
                <w:rStyle w:val="Hyperlink"/>
                <w:noProof/>
              </w:rPr>
              <w:t>Shpenzimet e Përgjithshme Buxhetore gjatë periudhës janar-maj 2020</w:t>
            </w:r>
            <w:r w:rsidR="004008C0">
              <w:rPr>
                <w:noProof/>
                <w:webHidden/>
              </w:rPr>
              <w:tab/>
            </w:r>
            <w:r w:rsidR="004008C0">
              <w:rPr>
                <w:noProof/>
                <w:webHidden/>
              </w:rPr>
              <w:fldChar w:fldCharType="begin"/>
            </w:r>
            <w:r w:rsidR="004008C0">
              <w:rPr>
                <w:noProof/>
                <w:webHidden/>
              </w:rPr>
              <w:instrText xml:space="preserve"> PAGEREF _Toc44403609 \h </w:instrText>
            </w:r>
            <w:r w:rsidR="004008C0">
              <w:rPr>
                <w:noProof/>
                <w:webHidden/>
              </w:rPr>
            </w:r>
            <w:r w:rsidR="004008C0">
              <w:rPr>
                <w:noProof/>
                <w:webHidden/>
              </w:rPr>
              <w:fldChar w:fldCharType="separate"/>
            </w:r>
            <w:r w:rsidR="00C342E2">
              <w:rPr>
                <w:noProof/>
                <w:webHidden/>
              </w:rPr>
              <w:t>15</w:t>
            </w:r>
            <w:r w:rsidR="004008C0">
              <w:rPr>
                <w:noProof/>
                <w:webHidden/>
              </w:rPr>
              <w:fldChar w:fldCharType="end"/>
            </w:r>
          </w:hyperlink>
        </w:p>
        <w:p w:rsidR="004008C0" w:rsidRDefault="00555461">
          <w:pPr>
            <w:pStyle w:val="TOC2"/>
            <w:rPr>
              <w:rFonts w:asciiTheme="minorHAnsi" w:eastAsiaTheme="minorEastAsia" w:hAnsiTheme="minorHAnsi" w:cstheme="minorBidi"/>
              <w:noProof/>
              <w:sz w:val="22"/>
              <w:szCs w:val="22"/>
            </w:rPr>
          </w:pPr>
          <w:hyperlink w:anchor="_Toc44403610" w:history="1">
            <w:r w:rsidR="004008C0" w:rsidRPr="001F087F">
              <w:rPr>
                <w:rStyle w:val="Hyperlink"/>
                <w:noProof/>
              </w:rPr>
              <w:t>III.2</w:t>
            </w:r>
            <w:r w:rsidR="004008C0">
              <w:rPr>
                <w:rFonts w:asciiTheme="minorHAnsi" w:eastAsiaTheme="minorEastAsia" w:hAnsiTheme="minorHAnsi" w:cstheme="minorBidi"/>
                <w:noProof/>
                <w:sz w:val="22"/>
                <w:szCs w:val="22"/>
              </w:rPr>
              <w:tab/>
            </w:r>
            <w:r w:rsidR="004008C0" w:rsidRPr="001F087F">
              <w:rPr>
                <w:rStyle w:val="Hyperlink"/>
                <w:noProof/>
              </w:rPr>
              <w:t>Financat Vendore gjatë janar-maj 2020</w:t>
            </w:r>
            <w:r w:rsidR="004008C0">
              <w:rPr>
                <w:noProof/>
                <w:webHidden/>
              </w:rPr>
              <w:tab/>
            </w:r>
            <w:r w:rsidR="004008C0">
              <w:rPr>
                <w:noProof/>
                <w:webHidden/>
              </w:rPr>
              <w:fldChar w:fldCharType="begin"/>
            </w:r>
            <w:r w:rsidR="004008C0">
              <w:rPr>
                <w:noProof/>
                <w:webHidden/>
              </w:rPr>
              <w:instrText xml:space="preserve"> PAGEREF _Toc44403610 \h </w:instrText>
            </w:r>
            <w:r w:rsidR="004008C0">
              <w:rPr>
                <w:noProof/>
                <w:webHidden/>
              </w:rPr>
            </w:r>
            <w:r w:rsidR="004008C0">
              <w:rPr>
                <w:noProof/>
                <w:webHidden/>
              </w:rPr>
              <w:fldChar w:fldCharType="separate"/>
            </w:r>
            <w:r w:rsidR="00C342E2">
              <w:rPr>
                <w:noProof/>
                <w:webHidden/>
              </w:rPr>
              <w:t>22</w:t>
            </w:r>
            <w:r w:rsidR="004008C0">
              <w:rPr>
                <w:noProof/>
                <w:webHidden/>
              </w:rPr>
              <w:fldChar w:fldCharType="end"/>
            </w:r>
          </w:hyperlink>
        </w:p>
        <w:p w:rsidR="004008C0" w:rsidRDefault="00555461">
          <w:pPr>
            <w:pStyle w:val="TOC2"/>
            <w:rPr>
              <w:rFonts w:asciiTheme="minorHAnsi" w:eastAsiaTheme="minorEastAsia" w:hAnsiTheme="minorHAnsi" w:cstheme="minorBidi"/>
              <w:noProof/>
              <w:sz w:val="22"/>
              <w:szCs w:val="22"/>
            </w:rPr>
          </w:pPr>
          <w:hyperlink w:anchor="_Toc44403611" w:history="1">
            <w:r w:rsidR="004008C0" w:rsidRPr="001F087F">
              <w:rPr>
                <w:rStyle w:val="Hyperlink"/>
                <w:noProof/>
              </w:rPr>
              <w:t>III.3</w:t>
            </w:r>
            <w:r w:rsidR="004008C0">
              <w:rPr>
                <w:rFonts w:asciiTheme="minorHAnsi" w:eastAsiaTheme="minorEastAsia" w:hAnsiTheme="minorHAnsi" w:cstheme="minorBidi"/>
                <w:noProof/>
                <w:sz w:val="22"/>
                <w:szCs w:val="22"/>
              </w:rPr>
              <w:tab/>
            </w:r>
            <w:r w:rsidR="004008C0" w:rsidRPr="001F087F">
              <w:rPr>
                <w:rStyle w:val="Hyperlink"/>
                <w:noProof/>
              </w:rPr>
              <w:t>Fondi Rezervë, Fondi i Kontigjencës, Fondi i Veçantë &amp; Fondi për Rritjen e Pagave</w:t>
            </w:r>
            <w:r w:rsidR="004008C0">
              <w:rPr>
                <w:noProof/>
                <w:webHidden/>
              </w:rPr>
              <w:tab/>
            </w:r>
            <w:r w:rsidR="004008C0">
              <w:rPr>
                <w:noProof/>
                <w:webHidden/>
              </w:rPr>
              <w:fldChar w:fldCharType="begin"/>
            </w:r>
            <w:r w:rsidR="004008C0">
              <w:rPr>
                <w:noProof/>
                <w:webHidden/>
              </w:rPr>
              <w:instrText xml:space="preserve"> PAGEREF _Toc44403611 \h </w:instrText>
            </w:r>
            <w:r w:rsidR="004008C0">
              <w:rPr>
                <w:noProof/>
                <w:webHidden/>
              </w:rPr>
            </w:r>
            <w:r w:rsidR="004008C0">
              <w:rPr>
                <w:noProof/>
                <w:webHidden/>
              </w:rPr>
              <w:fldChar w:fldCharType="separate"/>
            </w:r>
            <w:r w:rsidR="00C342E2">
              <w:rPr>
                <w:noProof/>
                <w:webHidden/>
              </w:rPr>
              <w:t>28</w:t>
            </w:r>
            <w:r w:rsidR="004008C0">
              <w:rPr>
                <w:noProof/>
                <w:webHidden/>
              </w:rPr>
              <w:fldChar w:fldCharType="end"/>
            </w:r>
          </w:hyperlink>
        </w:p>
        <w:p w:rsidR="004008C0" w:rsidRDefault="00555461">
          <w:pPr>
            <w:pStyle w:val="TOC2"/>
            <w:rPr>
              <w:rFonts w:asciiTheme="minorHAnsi" w:eastAsiaTheme="minorEastAsia" w:hAnsiTheme="minorHAnsi" w:cstheme="minorBidi"/>
              <w:noProof/>
              <w:sz w:val="22"/>
              <w:szCs w:val="22"/>
            </w:rPr>
          </w:pPr>
          <w:hyperlink w:anchor="_Toc44403612" w:history="1">
            <w:r w:rsidR="004008C0" w:rsidRPr="001F087F">
              <w:rPr>
                <w:rStyle w:val="Hyperlink"/>
                <w:noProof/>
              </w:rPr>
              <w:t>III.4</w:t>
            </w:r>
            <w:r w:rsidR="004008C0">
              <w:rPr>
                <w:rFonts w:asciiTheme="minorHAnsi" w:eastAsiaTheme="minorEastAsia" w:hAnsiTheme="minorHAnsi" w:cstheme="minorBidi"/>
                <w:noProof/>
                <w:sz w:val="22"/>
                <w:szCs w:val="22"/>
              </w:rPr>
              <w:tab/>
            </w:r>
            <w:r w:rsidR="004008C0" w:rsidRPr="001F087F">
              <w:rPr>
                <w:rStyle w:val="Hyperlink"/>
                <w:noProof/>
              </w:rPr>
              <w:t>Pritshmëria e Shpenzimeve Buxhetore deri në fund të vitit 2020</w:t>
            </w:r>
            <w:r w:rsidR="004008C0">
              <w:rPr>
                <w:noProof/>
                <w:webHidden/>
              </w:rPr>
              <w:tab/>
            </w:r>
            <w:r w:rsidR="004008C0">
              <w:rPr>
                <w:noProof/>
                <w:webHidden/>
              </w:rPr>
              <w:fldChar w:fldCharType="begin"/>
            </w:r>
            <w:r w:rsidR="004008C0">
              <w:rPr>
                <w:noProof/>
                <w:webHidden/>
              </w:rPr>
              <w:instrText xml:space="preserve"> PAGEREF _Toc44403612 \h </w:instrText>
            </w:r>
            <w:r w:rsidR="004008C0">
              <w:rPr>
                <w:noProof/>
                <w:webHidden/>
              </w:rPr>
            </w:r>
            <w:r w:rsidR="004008C0">
              <w:rPr>
                <w:noProof/>
                <w:webHidden/>
              </w:rPr>
              <w:fldChar w:fldCharType="separate"/>
            </w:r>
            <w:r w:rsidR="00C342E2">
              <w:rPr>
                <w:noProof/>
                <w:webHidden/>
              </w:rPr>
              <w:t>29</w:t>
            </w:r>
            <w:r w:rsidR="004008C0">
              <w:rPr>
                <w:noProof/>
                <w:webHidden/>
              </w:rPr>
              <w:fldChar w:fldCharType="end"/>
            </w:r>
          </w:hyperlink>
        </w:p>
        <w:p w:rsidR="004008C0" w:rsidRDefault="00555461">
          <w:pPr>
            <w:pStyle w:val="TOC1"/>
            <w:rPr>
              <w:rFonts w:asciiTheme="minorHAnsi" w:eastAsiaTheme="minorEastAsia" w:hAnsiTheme="minorHAnsi" w:cstheme="minorBidi"/>
              <w:b w:val="0"/>
              <w:sz w:val="22"/>
              <w:szCs w:val="22"/>
            </w:rPr>
          </w:pPr>
          <w:hyperlink w:anchor="_Toc44403613" w:history="1">
            <w:r w:rsidR="004008C0" w:rsidRPr="001F087F">
              <w:rPr>
                <w:rStyle w:val="Hyperlink"/>
              </w:rPr>
              <w:t>IV.</w:t>
            </w:r>
            <w:r w:rsidR="004008C0">
              <w:rPr>
                <w:rFonts w:asciiTheme="minorHAnsi" w:eastAsiaTheme="minorEastAsia" w:hAnsiTheme="minorHAnsi" w:cstheme="minorBidi"/>
                <w:b w:val="0"/>
                <w:sz w:val="22"/>
                <w:szCs w:val="22"/>
              </w:rPr>
              <w:tab/>
            </w:r>
            <w:r w:rsidR="004008C0" w:rsidRPr="001F087F">
              <w:rPr>
                <w:rStyle w:val="Hyperlink"/>
              </w:rPr>
              <w:t>MENAXHIMI I BORXHIT PUBLIK</w:t>
            </w:r>
            <w:r w:rsidR="004008C0">
              <w:rPr>
                <w:webHidden/>
              </w:rPr>
              <w:tab/>
            </w:r>
            <w:r w:rsidR="004008C0">
              <w:rPr>
                <w:webHidden/>
              </w:rPr>
              <w:fldChar w:fldCharType="begin"/>
            </w:r>
            <w:r w:rsidR="004008C0">
              <w:rPr>
                <w:webHidden/>
              </w:rPr>
              <w:instrText xml:space="preserve"> PAGEREF _Toc44403613 \h </w:instrText>
            </w:r>
            <w:r w:rsidR="004008C0">
              <w:rPr>
                <w:webHidden/>
              </w:rPr>
            </w:r>
            <w:r w:rsidR="004008C0">
              <w:rPr>
                <w:webHidden/>
              </w:rPr>
              <w:fldChar w:fldCharType="separate"/>
            </w:r>
            <w:r w:rsidR="00C342E2">
              <w:rPr>
                <w:webHidden/>
              </w:rPr>
              <w:t>31</w:t>
            </w:r>
            <w:r w:rsidR="004008C0">
              <w:rPr>
                <w:webHidden/>
              </w:rPr>
              <w:fldChar w:fldCharType="end"/>
            </w:r>
          </w:hyperlink>
        </w:p>
        <w:p w:rsidR="004008C0" w:rsidRDefault="00555461">
          <w:pPr>
            <w:pStyle w:val="TOC2"/>
            <w:rPr>
              <w:rFonts w:asciiTheme="minorHAnsi" w:eastAsiaTheme="minorEastAsia" w:hAnsiTheme="minorHAnsi" w:cstheme="minorBidi"/>
              <w:noProof/>
              <w:sz w:val="22"/>
              <w:szCs w:val="22"/>
            </w:rPr>
          </w:pPr>
          <w:hyperlink w:anchor="_Toc44403614" w:history="1">
            <w:r w:rsidR="004008C0" w:rsidRPr="001F087F">
              <w:rPr>
                <w:rStyle w:val="Hyperlink"/>
                <w:noProof/>
              </w:rPr>
              <w:t>IV.1</w:t>
            </w:r>
            <w:r w:rsidR="004008C0">
              <w:rPr>
                <w:rFonts w:asciiTheme="minorHAnsi" w:eastAsiaTheme="minorEastAsia" w:hAnsiTheme="minorHAnsi" w:cstheme="minorBidi"/>
                <w:noProof/>
                <w:sz w:val="22"/>
                <w:szCs w:val="22"/>
              </w:rPr>
              <w:tab/>
            </w:r>
            <w:r w:rsidR="004008C0" w:rsidRPr="001F087F">
              <w:rPr>
                <w:rStyle w:val="Hyperlink"/>
                <w:noProof/>
              </w:rPr>
              <w:t>Stoku i Borxhit Publik</w:t>
            </w:r>
            <w:r w:rsidR="004008C0">
              <w:rPr>
                <w:noProof/>
                <w:webHidden/>
              </w:rPr>
              <w:tab/>
            </w:r>
            <w:r w:rsidR="004008C0">
              <w:rPr>
                <w:noProof/>
                <w:webHidden/>
              </w:rPr>
              <w:fldChar w:fldCharType="begin"/>
            </w:r>
            <w:r w:rsidR="004008C0">
              <w:rPr>
                <w:noProof/>
                <w:webHidden/>
              </w:rPr>
              <w:instrText xml:space="preserve"> PAGEREF _Toc44403614 \h </w:instrText>
            </w:r>
            <w:r w:rsidR="004008C0">
              <w:rPr>
                <w:noProof/>
                <w:webHidden/>
              </w:rPr>
            </w:r>
            <w:r w:rsidR="004008C0">
              <w:rPr>
                <w:noProof/>
                <w:webHidden/>
              </w:rPr>
              <w:fldChar w:fldCharType="separate"/>
            </w:r>
            <w:r w:rsidR="00C342E2">
              <w:rPr>
                <w:noProof/>
                <w:webHidden/>
              </w:rPr>
              <w:t>32</w:t>
            </w:r>
            <w:r w:rsidR="004008C0">
              <w:rPr>
                <w:noProof/>
                <w:webHidden/>
              </w:rPr>
              <w:fldChar w:fldCharType="end"/>
            </w:r>
          </w:hyperlink>
        </w:p>
        <w:p w:rsidR="004008C0" w:rsidRDefault="00555461">
          <w:pPr>
            <w:pStyle w:val="TOC2"/>
            <w:rPr>
              <w:rFonts w:asciiTheme="minorHAnsi" w:eastAsiaTheme="minorEastAsia" w:hAnsiTheme="minorHAnsi" w:cstheme="minorBidi"/>
              <w:noProof/>
              <w:sz w:val="22"/>
              <w:szCs w:val="22"/>
            </w:rPr>
          </w:pPr>
          <w:hyperlink w:anchor="_Toc44403615" w:history="1">
            <w:r w:rsidR="004008C0" w:rsidRPr="001F087F">
              <w:rPr>
                <w:rStyle w:val="Hyperlink"/>
                <w:noProof/>
              </w:rPr>
              <w:t>IV.2</w:t>
            </w:r>
            <w:r w:rsidR="004008C0">
              <w:rPr>
                <w:rFonts w:asciiTheme="minorHAnsi" w:eastAsiaTheme="minorEastAsia" w:hAnsiTheme="minorHAnsi" w:cstheme="minorBidi"/>
                <w:noProof/>
                <w:sz w:val="22"/>
                <w:szCs w:val="22"/>
              </w:rPr>
              <w:tab/>
            </w:r>
            <w:r w:rsidR="004008C0" w:rsidRPr="001F087F">
              <w:rPr>
                <w:rStyle w:val="Hyperlink"/>
                <w:noProof/>
              </w:rPr>
              <w:t>Menaxhimi i Borxhit</w:t>
            </w:r>
            <w:r w:rsidR="004008C0">
              <w:rPr>
                <w:noProof/>
                <w:webHidden/>
              </w:rPr>
              <w:tab/>
            </w:r>
            <w:r w:rsidR="004008C0">
              <w:rPr>
                <w:noProof/>
                <w:webHidden/>
              </w:rPr>
              <w:fldChar w:fldCharType="begin"/>
            </w:r>
            <w:r w:rsidR="004008C0">
              <w:rPr>
                <w:noProof/>
                <w:webHidden/>
              </w:rPr>
              <w:instrText xml:space="preserve"> PAGEREF _Toc44403615 \h </w:instrText>
            </w:r>
            <w:r w:rsidR="004008C0">
              <w:rPr>
                <w:noProof/>
                <w:webHidden/>
              </w:rPr>
            </w:r>
            <w:r w:rsidR="004008C0">
              <w:rPr>
                <w:noProof/>
                <w:webHidden/>
              </w:rPr>
              <w:fldChar w:fldCharType="separate"/>
            </w:r>
            <w:r w:rsidR="00C342E2">
              <w:rPr>
                <w:noProof/>
                <w:webHidden/>
              </w:rPr>
              <w:t>34</w:t>
            </w:r>
            <w:r w:rsidR="004008C0">
              <w:rPr>
                <w:noProof/>
                <w:webHidden/>
              </w:rPr>
              <w:fldChar w:fldCharType="end"/>
            </w:r>
          </w:hyperlink>
        </w:p>
        <w:p w:rsidR="004008C0" w:rsidRDefault="00555461">
          <w:pPr>
            <w:pStyle w:val="TOC2"/>
            <w:rPr>
              <w:rFonts w:asciiTheme="minorHAnsi" w:eastAsiaTheme="minorEastAsia" w:hAnsiTheme="minorHAnsi" w:cstheme="minorBidi"/>
              <w:noProof/>
              <w:sz w:val="22"/>
              <w:szCs w:val="22"/>
            </w:rPr>
          </w:pPr>
          <w:hyperlink w:anchor="_Toc44403616" w:history="1">
            <w:r w:rsidR="004008C0" w:rsidRPr="001F087F">
              <w:rPr>
                <w:rStyle w:val="Hyperlink"/>
                <w:noProof/>
              </w:rPr>
              <w:t>IV.3</w:t>
            </w:r>
            <w:r w:rsidR="004008C0">
              <w:rPr>
                <w:rFonts w:asciiTheme="minorHAnsi" w:eastAsiaTheme="minorEastAsia" w:hAnsiTheme="minorHAnsi" w:cstheme="minorBidi"/>
                <w:noProof/>
                <w:sz w:val="22"/>
                <w:szCs w:val="22"/>
              </w:rPr>
              <w:tab/>
            </w:r>
            <w:r w:rsidR="004008C0" w:rsidRPr="001F087F">
              <w:rPr>
                <w:rStyle w:val="Hyperlink"/>
                <w:noProof/>
              </w:rPr>
              <w:t>Pritshmëritë e Borxhit për vitin 2020</w:t>
            </w:r>
            <w:r w:rsidR="004008C0">
              <w:rPr>
                <w:noProof/>
                <w:webHidden/>
              </w:rPr>
              <w:tab/>
            </w:r>
            <w:r w:rsidR="004008C0">
              <w:rPr>
                <w:noProof/>
                <w:webHidden/>
              </w:rPr>
              <w:fldChar w:fldCharType="begin"/>
            </w:r>
            <w:r w:rsidR="004008C0">
              <w:rPr>
                <w:noProof/>
                <w:webHidden/>
              </w:rPr>
              <w:instrText xml:space="preserve"> PAGEREF _Toc44403616 \h </w:instrText>
            </w:r>
            <w:r w:rsidR="004008C0">
              <w:rPr>
                <w:noProof/>
                <w:webHidden/>
              </w:rPr>
            </w:r>
            <w:r w:rsidR="004008C0">
              <w:rPr>
                <w:noProof/>
                <w:webHidden/>
              </w:rPr>
              <w:fldChar w:fldCharType="separate"/>
            </w:r>
            <w:r w:rsidR="00C342E2">
              <w:rPr>
                <w:noProof/>
                <w:webHidden/>
              </w:rPr>
              <w:t>37</w:t>
            </w:r>
            <w:r w:rsidR="004008C0">
              <w:rPr>
                <w:noProof/>
                <w:webHidden/>
              </w:rPr>
              <w:fldChar w:fldCharType="end"/>
            </w:r>
          </w:hyperlink>
        </w:p>
        <w:p w:rsidR="004008C0" w:rsidRDefault="00555461">
          <w:pPr>
            <w:pStyle w:val="TOC1"/>
            <w:rPr>
              <w:rFonts w:asciiTheme="minorHAnsi" w:eastAsiaTheme="minorEastAsia" w:hAnsiTheme="minorHAnsi" w:cstheme="minorBidi"/>
              <w:b w:val="0"/>
              <w:sz w:val="22"/>
              <w:szCs w:val="22"/>
            </w:rPr>
          </w:pPr>
          <w:hyperlink w:anchor="_Toc44403617" w:history="1">
            <w:r w:rsidR="004008C0" w:rsidRPr="001F087F">
              <w:rPr>
                <w:rStyle w:val="Hyperlink"/>
              </w:rPr>
              <w:t>V.</w:t>
            </w:r>
            <w:r w:rsidR="004008C0">
              <w:rPr>
                <w:rFonts w:asciiTheme="minorHAnsi" w:eastAsiaTheme="minorEastAsia" w:hAnsiTheme="minorHAnsi" w:cstheme="minorBidi"/>
                <w:b w:val="0"/>
                <w:sz w:val="22"/>
                <w:szCs w:val="22"/>
              </w:rPr>
              <w:tab/>
            </w:r>
            <w:r w:rsidR="004008C0" w:rsidRPr="001F087F">
              <w:rPr>
                <w:rStyle w:val="Hyperlink"/>
              </w:rPr>
              <w:t>RREZIQET FISKALE DHE DETYRIMET KONTIGJENTE</w:t>
            </w:r>
            <w:r w:rsidR="004008C0">
              <w:rPr>
                <w:webHidden/>
              </w:rPr>
              <w:tab/>
            </w:r>
            <w:r w:rsidR="004008C0">
              <w:rPr>
                <w:webHidden/>
              </w:rPr>
              <w:fldChar w:fldCharType="begin"/>
            </w:r>
            <w:r w:rsidR="004008C0">
              <w:rPr>
                <w:webHidden/>
              </w:rPr>
              <w:instrText xml:space="preserve"> PAGEREF _Toc44403617 \h </w:instrText>
            </w:r>
            <w:r w:rsidR="004008C0">
              <w:rPr>
                <w:webHidden/>
              </w:rPr>
            </w:r>
            <w:r w:rsidR="004008C0">
              <w:rPr>
                <w:webHidden/>
              </w:rPr>
              <w:fldChar w:fldCharType="separate"/>
            </w:r>
            <w:r w:rsidR="00C342E2">
              <w:rPr>
                <w:webHidden/>
              </w:rPr>
              <w:t>37</w:t>
            </w:r>
            <w:r w:rsidR="004008C0">
              <w:rPr>
                <w:webHidden/>
              </w:rPr>
              <w:fldChar w:fldCharType="end"/>
            </w:r>
          </w:hyperlink>
        </w:p>
        <w:p w:rsidR="004008C0" w:rsidRDefault="00555461">
          <w:pPr>
            <w:pStyle w:val="TOC2"/>
            <w:rPr>
              <w:rFonts w:asciiTheme="minorHAnsi" w:eastAsiaTheme="minorEastAsia" w:hAnsiTheme="minorHAnsi" w:cstheme="minorBidi"/>
              <w:noProof/>
              <w:sz w:val="22"/>
              <w:szCs w:val="22"/>
            </w:rPr>
          </w:pPr>
          <w:hyperlink w:anchor="_Toc44403618" w:history="1">
            <w:r w:rsidR="004008C0" w:rsidRPr="001F087F">
              <w:rPr>
                <w:rStyle w:val="Hyperlink"/>
                <w:noProof/>
              </w:rPr>
              <w:t>V.1</w:t>
            </w:r>
            <w:r w:rsidR="004008C0">
              <w:rPr>
                <w:rFonts w:asciiTheme="minorHAnsi" w:eastAsiaTheme="minorEastAsia" w:hAnsiTheme="minorHAnsi" w:cstheme="minorBidi"/>
                <w:noProof/>
                <w:sz w:val="22"/>
                <w:szCs w:val="22"/>
              </w:rPr>
              <w:tab/>
            </w:r>
            <w:r w:rsidR="004008C0" w:rsidRPr="001F087F">
              <w:rPr>
                <w:rStyle w:val="Hyperlink"/>
                <w:noProof/>
              </w:rPr>
              <w:t>Sektori Energjetik</w:t>
            </w:r>
            <w:r w:rsidR="004008C0">
              <w:rPr>
                <w:noProof/>
                <w:webHidden/>
              </w:rPr>
              <w:tab/>
            </w:r>
            <w:r w:rsidR="004008C0">
              <w:rPr>
                <w:noProof/>
                <w:webHidden/>
              </w:rPr>
              <w:fldChar w:fldCharType="begin"/>
            </w:r>
            <w:r w:rsidR="004008C0">
              <w:rPr>
                <w:noProof/>
                <w:webHidden/>
              </w:rPr>
              <w:instrText xml:space="preserve"> PAGEREF _Toc44403618 \h </w:instrText>
            </w:r>
            <w:r w:rsidR="004008C0">
              <w:rPr>
                <w:noProof/>
                <w:webHidden/>
              </w:rPr>
            </w:r>
            <w:r w:rsidR="004008C0">
              <w:rPr>
                <w:noProof/>
                <w:webHidden/>
              </w:rPr>
              <w:fldChar w:fldCharType="separate"/>
            </w:r>
            <w:r w:rsidR="00C342E2">
              <w:rPr>
                <w:noProof/>
                <w:webHidden/>
              </w:rPr>
              <w:t>39</w:t>
            </w:r>
            <w:r w:rsidR="004008C0">
              <w:rPr>
                <w:noProof/>
                <w:webHidden/>
              </w:rPr>
              <w:fldChar w:fldCharType="end"/>
            </w:r>
          </w:hyperlink>
        </w:p>
        <w:p w:rsidR="004008C0" w:rsidRDefault="00555461">
          <w:pPr>
            <w:pStyle w:val="TOC2"/>
            <w:rPr>
              <w:rFonts w:asciiTheme="minorHAnsi" w:eastAsiaTheme="minorEastAsia" w:hAnsiTheme="minorHAnsi" w:cstheme="minorBidi"/>
              <w:noProof/>
              <w:sz w:val="22"/>
              <w:szCs w:val="22"/>
            </w:rPr>
          </w:pPr>
          <w:hyperlink w:anchor="_Toc44403619" w:history="1">
            <w:r w:rsidR="004008C0" w:rsidRPr="001F087F">
              <w:rPr>
                <w:rStyle w:val="Hyperlink"/>
                <w:noProof/>
              </w:rPr>
              <w:t>V.2</w:t>
            </w:r>
            <w:r w:rsidR="004008C0">
              <w:rPr>
                <w:rFonts w:asciiTheme="minorHAnsi" w:eastAsiaTheme="minorEastAsia" w:hAnsiTheme="minorHAnsi" w:cstheme="minorBidi"/>
                <w:noProof/>
                <w:sz w:val="22"/>
                <w:szCs w:val="22"/>
              </w:rPr>
              <w:tab/>
            </w:r>
            <w:r w:rsidR="004008C0" w:rsidRPr="001F087F">
              <w:rPr>
                <w:rStyle w:val="Hyperlink"/>
                <w:noProof/>
              </w:rPr>
              <w:t>Detyrimet e prapambetura (qendrore)</w:t>
            </w:r>
            <w:r w:rsidR="004008C0">
              <w:rPr>
                <w:noProof/>
                <w:webHidden/>
              </w:rPr>
              <w:tab/>
            </w:r>
            <w:r w:rsidR="004008C0">
              <w:rPr>
                <w:noProof/>
                <w:webHidden/>
              </w:rPr>
              <w:fldChar w:fldCharType="begin"/>
            </w:r>
            <w:r w:rsidR="004008C0">
              <w:rPr>
                <w:noProof/>
                <w:webHidden/>
              </w:rPr>
              <w:instrText xml:space="preserve"> PAGEREF _Toc44403619 \h </w:instrText>
            </w:r>
            <w:r w:rsidR="004008C0">
              <w:rPr>
                <w:noProof/>
                <w:webHidden/>
              </w:rPr>
            </w:r>
            <w:r w:rsidR="004008C0">
              <w:rPr>
                <w:noProof/>
                <w:webHidden/>
              </w:rPr>
              <w:fldChar w:fldCharType="separate"/>
            </w:r>
            <w:r w:rsidR="00C342E2">
              <w:rPr>
                <w:noProof/>
                <w:webHidden/>
              </w:rPr>
              <w:t>41</w:t>
            </w:r>
            <w:r w:rsidR="004008C0">
              <w:rPr>
                <w:noProof/>
                <w:webHidden/>
              </w:rPr>
              <w:fldChar w:fldCharType="end"/>
            </w:r>
          </w:hyperlink>
        </w:p>
        <w:p w:rsidR="004008C0" w:rsidRDefault="00555461">
          <w:pPr>
            <w:pStyle w:val="TOC2"/>
            <w:rPr>
              <w:rFonts w:asciiTheme="minorHAnsi" w:eastAsiaTheme="minorEastAsia" w:hAnsiTheme="minorHAnsi" w:cstheme="minorBidi"/>
              <w:noProof/>
              <w:sz w:val="22"/>
              <w:szCs w:val="22"/>
            </w:rPr>
          </w:pPr>
          <w:hyperlink w:anchor="_Toc44403620" w:history="1">
            <w:r w:rsidR="004008C0" w:rsidRPr="001F087F">
              <w:rPr>
                <w:rStyle w:val="Hyperlink"/>
                <w:noProof/>
              </w:rPr>
              <w:t>V.3</w:t>
            </w:r>
            <w:r w:rsidR="004008C0">
              <w:rPr>
                <w:rFonts w:asciiTheme="minorHAnsi" w:eastAsiaTheme="minorEastAsia" w:hAnsiTheme="minorHAnsi" w:cstheme="minorBidi"/>
                <w:noProof/>
                <w:sz w:val="22"/>
                <w:szCs w:val="22"/>
              </w:rPr>
              <w:tab/>
            </w:r>
            <w:r w:rsidR="004008C0" w:rsidRPr="001F087F">
              <w:rPr>
                <w:rStyle w:val="Hyperlink"/>
                <w:noProof/>
              </w:rPr>
              <w:t>Koncesionet/PPP-të</w:t>
            </w:r>
            <w:r w:rsidR="004008C0">
              <w:rPr>
                <w:noProof/>
                <w:webHidden/>
              </w:rPr>
              <w:tab/>
            </w:r>
            <w:r w:rsidR="004008C0">
              <w:rPr>
                <w:noProof/>
                <w:webHidden/>
              </w:rPr>
              <w:fldChar w:fldCharType="begin"/>
            </w:r>
            <w:r w:rsidR="004008C0">
              <w:rPr>
                <w:noProof/>
                <w:webHidden/>
              </w:rPr>
              <w:instrText xml:space="preserve"> PAGEREF _Toc44403620 \h </w:instrText>
            </w:r>
            <w:r w:rsidR="004008C0">
              <w:rPr>
                <w:noProof/>
                <w:webHidden/>
              </w:rPr>
            </w:r>
            <w:r w:rsidR="004008C0">
              <w:rPr>
                <w:noProof/>
                <w:webHidden/>
              </w:rPr>
              <w:fldChar w:fldCharType="separate"/>
            </w:r>
            <w:r w:rsidR="00C342E2">
              <w:rPr>
                <w:noProof/>
                <w:webHidden/>
              </w:rPr>
              <w:t>43</w:t>
            </w:r>
            <w:r w:rsidR="004008C0">
              <w:rPr>
                <w:noProof/>
                <w:webHidden/>
              </w:rPr>
              <w:fldChar w:fldCharType="end"/>
            </w:r>
          </w:hyperlink>
        </w:p>
        <w:p w:rsidR="004008C0" w:rsidRDefault="00555461">
          <w:pPr>
            <w:pStyle w:val="TOC2"/>
            <w:rPr>
              <w:rFonts w:asciiTheme="minorHAnsi" w:eastAsiaTheme="minorEastAsia" w:hAnsiTheme="minorHAnsi" w:cstheme="minorBidi"/>
              <w:noProof/>
              <w:sz w:val="22"/>
              <w:szCs w:val="22"/>
            </w:rPr>
          </w:pPr>
          <w:hyperlink w:anchor="_Toc44403621" w:history="1">
            <w:r w:rsidR="004008C0" w:rsidRPr="001F087F">
              <w:rPr>
                <w:rStyle w:val="Hyperlink"/>
                <w:noProof/>
              </w:rPr>
              <w:t>V.4</w:t>
            </w:r>
            <w:r w:rsidR="004008C0">
              <w:rPr>
                <w:rFonts w:asciiTheme="minorHAnsi" w:eastAsiaTheme="minorEastAsia" w:hAnsiTheme="minorHAnsi" w:cstheme="minorBidi"/>
                <w:noProof/>
                <w:sz w:val="22"/>
                <w:szCs w:val="22"/>
              </w:rPr>
              <w:tab/>
            </w:r>
            <w:r w:rsidR="004008C0" w:rsidRPr="001F087F">
              <w:rPr>
                <w:rStyle w:val="Hyperlink"/>
                <w:noProof/>
              </w:rPr>
              <w:t>Detyrime të tjera Kontigjente</w:t>
            </w:r>
            <w:r w:rsidR="004008C0">
              <w:rPr>
                <w:noProof/>
                <w:webHidden/>
              </w:rPr>
              <w:tab/>
            </w:r>
            <w:r w:rsidR="004008C0">
              <w:rPr>
                <w:noProof/>
                <w:webHidden/>
              </w:rPr>
              <w:fldChar w:fldCharType="begin"/>
            </w:r>
            <w:r w:rsidR="004008C0">
              <w:rPr>
                <w:noProof/>
                <w:webHidden/>
              </w:rPr>
              <w:instrText xml:space="preserve"> PAGEREF _Toc44403621 \h </w:instrText>
            </w:r>
            <w:r w:rsidR="004008C0">
              <w:rPr>
                <w:noProof/>
                <w:webHidden/>
              </w:rPr>
            </w:r>
            <w:r w:rsidR="004008C0">
              <w:rPr>
                <w:noProof/>
                <w:webHidden/>
              </w:rPr>
              <w:fldChar w:fldCharType="separate"/>
            </w:r>
            <w:r w:rsidR="00C342E2">
              <w:rPr>
                <w:noProof/>
                <w:webHidden/>
              </w:rPr>
              <w:t>45</w:t>
            </w:r>
            <w:r w:rsidR="004008C0">
              <w:rPr>
                <w:noProof/>
                <w:webHidden/>
              </w:rPr>
              <w:fldChar w:fldCharType="end"/>
            </w:r>
          </w:hyperlink>
        </w:p>
        <w:p w:rsidR="004008C0" w:rsidRDefault="00555461">
          <w:pPr>
            <w:pStyle w:val="TOC1"/>
            <w:rPr>
              <w:rFonts w:asciiTheme="minorHAnsi" w:eastAsiaTheme="minorEastAsia" w:hAnsiTheme="minorHAnsi" w:cstheme="minorBidi"/>
              <w:b w:val="0"/>
              <w:sz w:val="22"/>
              <w:szCs w:val="22"/>
            </w:rPr>
          </w:pPr>
          <w:hyperlink w:anchor="_Toc44403622" w:history="1">
            <w:r w:rsidR="004008C0" w:rsidRPr="001F087F">
              <w:rPr>
                <w:rStyle w:val="Hyperlink"/>
              </w:rPr>
              <w:t>VI.</w:t>
            </w:r>
            <w:r w:rsidR="004008C0">
              <w:rPr>
                <w:rFonts w:asciiTheme="minorHAnsi" w:eastAsiaTheme="minorEastAsia" w:hAnsiTheme="minorHAnsi" w:cstheme="minorBidi"/>
                <w:b w:val="0"/>
                <w:sz w:val="22"/>
                <w:szCs w:val="22"/>
              </w:rPr>
              <w:tab/>
            </w:r>
            <w:r w:rsidR="004008C0" w:rsidRPr="001F087F">
              <w:rPr>
                <w:rStyle w:val="Hyperlink"/>
              </w:rPr>
              <w:t>KONKLUZIONE DHE PROPOZIME</w:t>
            </w:r>
            <w:r w:rsidR="004008C0">
              <w:rPr>
                <w:webHidden/>
              </w:rPr>
              <w:tab/>
            </w:r>
            <w:r w:rsidR="004008C0">
              <w:rPr>
                <w:webHidden/>
              </w:rPr>
              <w:fldChar w:fldCharType="begin"/>
            </w:r>
            <w:r w:rsidR="004008C0">
              <w:rPr>
                <w:webHidden/>
              </w:rPr>
              <w:instrText xml:space="preserve"> PAGEREF _Toc44403622 \h </w:instrText>
            </w:r>
            <w:r w:rsidR="004008C0">
              <w:rPr>
                <w:webHidden/>
              </w:rPr>
            </w:r>
            <w:r w:rsidR="004008C0">
              <w:rPr>
                <w:webHidden/>
              </w:rPr>
              <w:fldChar w:fldCharType="separate"/>
            </w:r>
            <w:r w:rsidR="00C342E2">
              <w:rPr>
                <w:webHidden/>
              </w:rPr>
              <w:t>47</w:t>
            </w:r>
            <w:r w:rsidR="004008C0">
              <w:rPr>
                <w:webHidden/>
              </w:rPr>
              <w:fldChar w:fldCharType="end"/>
            </w:r>
          </w:hyperlink>
        </w:p>
        <w:p w:rsidR="004008C0" w:rsidRDefault="00555461">
          <w:pPr>
            <w:pStyle w:val="TOC1"/>
            <w:rPr>
              <w:rFonts w:asciiTheme="minorHAnsi" w:eastAsiaTheme="minorEastAsia" w:hAnsiTheme="minorHAnsi" w:cstheme="minorBidi"/>
              <w:b w:val="0"/>
              <w:sz w:val="22"/>
              <w:szCs w:val="22"/>
            </w:rPr>
          </w:pPr>
          <w:hyperlink w:anchor="_Toc44403623" w:history="1">
            <w:r w:rsidR="004008C0" w:rsidRPr="001F087F">
              <w:rPr>
                <w:rStyle w:val="Hyperlink"/>
              </w:rPr>
              <w:t>VII.</w:t>
            </w:r>
            <w:r w:rsidR="004008C0">
              <w:rPr>
                <w:rFonts w:asciiTheme="minorHAnsi" w:eastAsiaTheme="minorEastAsia" w:hAnsiTheme="minorHAnsi" w:cstheme="minorBidi"/>
                <w:b w:val="0"/>
                <w:sz w:val="22"/>
                <w:szCs w:val="22"/>
              </w:rPr>
              <w:tab/>
            </w:r>
            <w:r w:rsidR="004008C0" w:rsidRPr="001F087F">
              <w:rPr>
                <w:rStyle w:val="Hyperlink"/>
              </w:rPr>
              <w:t>SHTOJCAT</w:t>
            </w:r>
            <w:r w:rsidR="004008C0">
              <w:rPr>
                <w:webHidden/>
              </w:rPr>
              <w:tab/>
            </w:r>
            <w:r w:rsidR="004008C0">
              <w:rPr>
                <w:webHidden/>
              </w:rPr>
              <w:fldChar w:fldCharType="begin"/>
            </w:r>
            <w:r w:rsidR="004008C0">
              <w:rPr>
                <w:webHidden/>
              </w:rPr>
              <w:instrText xml:space="preserve"> PAGEREF _Toc44403623 \h </w:instrText>
            </w:r>
            <w:r w:rsidR="004008C0">
              <w:rPr>
                <w:webHidden/>
              </w:rPr>
            </w:r>
            <w:r w:rsidR="004008C0">
              <w:rPr>
                <w:webHidden/>
              </w:rPr>
              <w:fldChar w:fldCharType="separate"/>
            </w:r>
            <w:r w:rsidR="00C342E2">
              <w:rPr>
                <w:webHidden/>
              </w:rPr>
              <w:t>49</w:t>
            </w:r>
            <w:r w:rsidR="004008C0">
              <w:rPr>
                <w:webHidden/>
              </w:rPr>
              <w:fldChar w:fldCharType="end"/>
            </w:r>
          </w:hyperlink>
        </w:p>
        <w:p w:rsidR="004008C0" w:rsidRDefault="00555461">
          <w:pPr>
            <w:pStyle w:val="TOC2"/>
            <w:rPr>
              <w:rFonts w:asciiTheme="minorHAnsi" w:eastAsiaTheme="minorEastAsia" w:hAnsiTheme="minorHAnsi" w:cstheme="minorBidi"/>
              <w:noProof/>
              <w:sz w:val="22"/>
              <w:szCs w:val="22"/>
            </w:rPr>
          </w:pPr>
          <w:hyperlink w:anchor="_Toc44403624" w:history="1">
            <w:r w:rsidR="004008C0" w:rsidRPr="001F087F">
              <w:rPr>
                <w:rStyle w:val="Hyperlink"/>
                <w:noProof/>
              </w:rPr>
              <w:t>VI.1</w:t>
            </w:r>
            <w:r w:rsidR="004008C0">
              <w:rPr>
                <w:rFonts w:asciiTheme="minorHAnsi" w:eastAsiaTheme="minorEastAsia" w:hAnsiTheme="minorHAnsi" w:cstheme="minorBidi"/>
                <w:noProof/>
                <w:sz w:val="22"/>
                <w:szCs w:val="22"/>
              </w:rPr>
              <w:tab/>
            </w:r>
            <w:r w:rsidR="004008C0" w:rsidRPr="001F087F">
              <w:rPr>
                <w:rStyle w:val="Hyperlink"/>
                <w:noProof/>
              </w:rPr>
              <w:t>Ecuria e detajuar e treguesve makroekonomikë gjatë janar-maj 2020</w:t>
            </w:r>
            <w:r w:rsidR="004008C0">
              <w:rPr>
                <w:noProof/>
                <w:webHidden/>
              </w:rPr>
              <w:tab/>
            </w:r>
            <w:r w:rsidR="004008C0">
              <w:rPr>
                <w:noProof/>
                <w:webHidden/>
              </w:rPr>
              <w:fldChar w:fldCharType="begin"/>
            </w:r>
            <w:r w:rsidR="004008C0">
              <w:rPr>
                <w:noProof/>
                <w:webHidden/>
              </w:rPr>
              <w:instrText xml:space="preserve"> PAGEREF _Toc44403624 \h </w:instrText>
            </w:r>
            <w:r w:rsidR="004008C0">
              <w:rPr>
                <w:noProof/>
                <w:webHidden/>
              </w:rPr>
            </w:r>
            <w:r w:rsidR="004008C0">
              <w:rPr>
                <w:noProof/>
                <w:webHidden/>
              </w:rPr>
              <w:fldChar w:fldCharType="separate"/>
            </w:r>
            <w:r w:rsidR="00C342E2">
              <w:rPr>
                <w:noProof/>
                <w:webHidden/>
              </w:rPr>
              <w:t>49</w:t>
            </w:r>
            <w:r w:rsidR="004008C0">
              <w:rPr>
                <w:noProof/>
                <w:webHidden/>
              </w:rPr>
              <w:fldChar w:fldCharType="end"/>
            </w:r>
          </w:hyperlink>
        </w:p>
        <w:p w:rsidR="004008C0" w:rsidRDefault="00555461">
          <w:pPr>
            <w:pStyle w:val="TOC2"/>
            <w:rPr>
              <w:rFonts w:asciiTheme="minorHAnsi" w:eastAsiaTheme="minorEastAsia" w:hAnsiTheme="minorHAnsi" w:cstheme="minorBidi"/>
              <w:noProof/>
              <w:sz w:val="22"/>
              <w:szCs w:val="22"/>
            </w:rPr>
          </w:pPr>
          <w:hyperlink w:anchor="_Toc44403625" w:history="1">
            <w:r w:rsidR="004008C0" w:rsidRPr="001F087F">
              <w:rPr>
                <w:rStyle w:val="Hyperlink"/>
                <w:noProof/>
              </w:rPr>
              <w:t>VI.2</w:t>
            </w:r>
            <w:r w:rsidR="004008C0">
              <w:rPr>
                <w:rFonts w:asciiTheme="minorHAnsi" w:eastAsiaTheme="minorEastAsia" w:hAnsiTheme="minorHAnsi" w:cstheme="minorBidi"/>
                <w:noProof/>
                <w:sz w:val="22"/>
                <w:szCs w:val="22"/>
              </w:rPr>
              <w:tab/>
            </w:r>
            <w:r w:rsidR="004008C0" w:rsidRPr="001F087F">
              <w:rPr>
                <w:rStyle w:val="Hyperlink"/>
                <w:noProof/>
              </w:rPr>
              <w:t>Treguesit kryesorë të performancës sipas ministrive të linjës, 4M I 2020</w:t>
            </w:r>
            <w:r w:rsidR="004008C0">
              <w:rPr>
                <w:noProof/>
                <w:webHidden/>
              </w:rPr>
              <w:tab/>
            </w:r>
            <w:r w:rsidR="004008C0">
              <w:rPr>
                <w:noProof/>
                <w:webHidden/>
              </w:rPr>
              <w:fldChar w:fldCharType="begin"/>
            </w:r>
            <w:r w:rsidR="004008C0">
              <w:rPr>
                <w:noProof/>
                <w:webHidden/>
              </w:rPr>
              <w:instrText xml:space="preserve"> PAGEREF _Toc44403625 \h </w:instrText>
            </w:r>
            <w:r w:rsidR="004008C0">
              <w:rPr>
                <w:noProof/>
                <w:webHidden/>
              </w:rPr>
            </w:r>
            <w:r w:rsidR="004008C0">
              <w:rPr>
                <w:noProof/>
                <w:webHidden/>
              </w:rPr>
              <w:fldChar w:fldCharType="separate"/>
            </w:r>
            <w:r w:rsidR="00C342E2">
              <w:rPr>
                <w:noProof/>
                <w:webHidden/>
              </w:rPr>
              <w:t>55</w:t>
            </w:r>
            <w:r w:rsidR="004008C0">
              <w:rPr>
                <w:noProof/>
                <w:webHidden/>
              </w:rPr>
              <w:fldChar w:fldCharType="end"/>
            </w:r>
          </w:hyperlink>
        </w:p>
        <w:p w:rsidR="004008C0" w:rsidRDefault="00555461">
          <w:pPr>
            <w:pStyle w:val="TOC2"/>
            <w:rPr>
              <w:rFonts w:asciiTheme="minorHAnsi" w:eastAsiaTheme="minorEastAsia" w:hAnsiTheme="minorHAnsi" w:cstheme="minorBidi"/>
              <w:noProof/>
              <w:sz w:val="22"/>
              <w:szCs w:val="22"/>
            </w:rPr>
          </w:pPr>
          <w:hyperlink w:anchor="_Toc44403626" w:history="1">
            <w:r w:rsidR="004008C0" w:rsidRPr="001F087F">
              <w:rPr>
                <w:rStyle w:val="Hyperlink"/>
                <w:noProof/>
              </w:rPr>
              <w:t>VI.3</w:t>
            </w:r>
            <w:r w:rsidR="004008C0">
              <w:rPr>
                <w:rFonts w:asciiTheme="minorHAnsi" w:eastAsiaTheme="minorEastAsia" w:hAnsiTheme="minorHAnsi" w:cstheme="minorBidi"/>
                <w:noProof/>
                <w:sz w:val="22"/>
                <w:szCs w:val="22"/>
              </w:rPr>
              <w:tab/>
            </w:r>
            <w:r w:rsidR="004008C0" w:rsidRPr="001F087F">
              <w:rPr>
                <w:rStyle w:val="Hyperlink"/>
                <w:noProof/>
              </w:rPr>
              <w:t>Ecuria e detajuar e projekteve të investimeve publike, gjatë Janar-Maj 2020</w:t>
            </w:r>
            <w:r w:rsidR="004008C0">
              <w:rPr>
                <w:noProof/>
                <w:webHidden/>
              </w:rPr>
              <w:tab/>
            </w:r>
            <w:r w:rsidR="004008C0">
              <w:rPr>
                <w:noProof/>
                <w:webHidden/>
              </w:rPr>
              <w:fldChar w:fldCharType="begin"/>
            </w:r>
            <w:r w:rsidR="004008C0">
              <w:rPr>
                <w:noProof/>
                <w:webHidden/>
              </w:rPr>
              <w:instrText xml:space="preserve"> PAGEREF _Toc44403626 \h </w:instrText>
            </w:r>
            <w:r w:rsidR="004008C0">
              <w:rPr>
                <w:noProof/>
                <w:webHidden/>
              </w:rPr>
            </w:r>
            <w:r w:rsidR="004008C0">
              <w:rPr>
                <w:noProof/>
                <w:webHidden/>
              </w:rPr>
              <w:fldChar w:fldCharType="separate"/>
            </w:r>
            <w:r w:rsidR="00C342E2">
              <w:rPr>
                <w:noProof/>
                <w:webHidden/>
              </w:rPr>
              <w:t>78</w:t>
            </w:r>
            <w:r w:rsidR="004008C0">
              <w:rPr>
                <w:noProof/>
                <w:webHidden/>
              </w:rPr>
              <w:fldChar w:fldCharType="end"/>
            </w:r>
          </w:hyperlink>
        </w:p>
        <w:p w:rsidR="00EE2069" w:rsidRPr="0065598A" w:rsidRDefault="00EE2069" w:rsidP="00B4693B">
          <w:pPr>
            <w:pStyle w:val="TOC2"/>
            <w:spacing w:line="360" w:lineRule="auto"/>
            <w:rPr>
              <w:noProof/>
              <w:color w:val="365F91" w:themeColor="accent1" w:themeShade="BF"/>
              <w:lang w:val="sq-AL"/>
            </w:rPr>
          </w:pPr>
          <w:r w:rsidRPr="0065598A">
            <w:rPr>
              <w:rFonts w:asciiTheme="minorHAnsi" w:hAnsiTheme="minorHAnsi"/>
              <w:noProof/>
              <w:color w:val="0070C0"/>
              <w:sz w:val="28"/>
              <w:szCs w:val="28"/>
              <w:lang w:val="sq-AL"/>
            </w:rPr>
            <w:fldChar w:fldCharType="end"/>
          </w:r>
        </w:p>
      </w:sdtContent>
    </w:sdt>
    <w:p w:rsidR="00BB5D83" w:rsidRPr="0065598A" w:rsidRDefault="00BB5D83" w:rsidP="00BB5D83">
      <w:pPr>
        <w:rPr>
          <w:lang w:val="sq-AL"/>
        </w:rPr>
      </w:pPr>
    </w:p>
    <w:p w:rsidR="00180FE4" w:rsidRPr="0065598A" w:rsidRDefault="00180FE4" w:rsidP="00BB5D83">
      <w:pPr>
        <w:rPr>
          <w:lang w:val="sq-AL"/>
        </w:rPr>
      </w:pPr>
    </w:p>
    <w:p w:rsidR="007D6E7E" w:rsidRPr="0065598A" w:rsidRDefault="007D6E7E" w:rsidP="00BB5D83">
      <w:pPr>
        <w:rPr>
          <w:lang w:val="sq-AL"/>
        </w:rPr>
      </w:pPr>
    </w:p>
    <w:p w:rsidR="007A09E2" w:rsidRPr="0065598A" w:rsidRDefault="007A09E2" w:rsidP="00BB5D83">
      <w:pPr>
        <w:rPr>
          <w:lang w:val="sq-AL"/>
        </w:rPr>
      </w:pPr>
    </w:p>
    <w:p w:rsidR="007A09E2" w:rsidRPr="0065598A" w:rsidRDefault="007A09E2" w:rsidP="00BB5D83">
      <w:pPr>
        <w:rPr>
          <w:lang w:val="sq-AL"/>
        </w:rPr>
      </w:pPr>
    </w:p>
    <w:p w:rsidR="007A09E2" w:rsidRPr="0065598A" w:rsidRDefault="007A09E2" w:rsidP="00BB5D83">
      <w:pPr>
        <w:rPr>
          <w:lang w:val="sq-AL"/>
        </w:rPr>
      </w:pPr>
    </w:p>
    <w:p w:rsidR="007A09E2" w:rsidRPr="0065598A" w:rsidRDefault="007A09E2" w:rsidP="004719C1">
      <w:pPr>
        <w:pStyle w:val="Heading1"/>
        <w:sectPr w:rsidR="007A09E2" w:rsidRPr="0065598A" w:rsidSect="007D6E7E">
          <w:footerReference w:type="default" r:id="rId9"/>
          <w:footerReference w:type="first" r:id="rId10"/>
          <w:pgSz w:w="11907" w:h="16839" w:code="9"/>
          <w:pgMar w:top="1170" w:right="1107" w:bottom="1080" w:left="1170" w:header="720" w:footer="720" w:gutter="0"/>
          <w:cols w:space="720"/>
          <w:titlePg/>
          <w:docGrid w:linePitch="360"/>
        </w:sectPr>
      </w:pPr>
    </w:p>
    <w:p w:rsidR="00630F48" w:rsidRDefault="004008C0" w:rsidP="007A09E2">
      <w:pPr>
        <w:pStyle w:val="Heading1"/>
        <w:spacing w:before="0"/>
      </w:pPr>
      <w:bookmarkStart w:id="1" w:name="_Toc44321026"/>
      <w:bookmarkStart w:id="2" w:name="_Toc44403601"/>
      <w:r>
        <w:lastRenderedPageBreak/>
        <w:t xml:space="preserve">Lista e </w:t>
      </w:r>
      <w:r w:rsidR="00630F48" w:rsidRPr="00ED7B47">
        <w:t>Tabela</w:t>
      </w:r>
      <w:bookmarkEnd w:id="1"/>
      <w:bookmarkEnd w:id="2"/>
      <w:r>
        <w:t>ve</w:t>
      </w:r>
    </w:p>
    <w:p w:rsidR="004008C0" w:rsidRPr="004008C0" w:rsidRDefault="004008C0" w:rsidP="004008C0">
      <w:pPr>
        <w:rPr>
          <w:lang w:val="sq-AL"/>
        </w:rPr>
      </w:pPr>
    </w:p>
    <w:p w:rsidR="00315385" w:rsidRPr="00315385" w:rsidRDefault="00070183">
      <w:pPr>
        <w:pStyle w:val="TableofFigures"/>
        <w:tabs>
          <w:tab w:val="right" w:leader="dot" w:pos="9623"/>
        </w:tabs>
        <w:rPr>
          <w:rStyle w:val="Hyperlink"/>
          <w:rFonts w:eastAsiaTheme="majorEastAsia"/>
          <w:i/>
          <w:noProof/>
          <w:color w:val="31849B" w:themeColor="accent5" w:themeShade="BF"/>
          <w:sz w:val="20"/>
          <w:lang w:val="sq-AL"/>
        </w:rPr>
      </w:pPr>
      <w:r w:rsidRPr="00C74FE0">
        <w:rPr>
          <w:rStyle w:val="Hyperlink"/>
          <w:rFonts w:eastAsiaTheme="majorEastAsia"/>
          <w:i/>
          <w:noProof/>
          <w:color w:val="31849B" w:themeColor="accent5" w:themeShade="BF"/>
          <w:sz w:val="20"/>
          <w:szCs w:val="22"/>
          <w:lang w:val="sq-AL"/>
        </w:rPr>
        <w:fldChar w:fldCharType="begin"/>
      </w:r>
      <w:r w:rsidRPr="00C74FE0">
        <w:rPr>
          <w:rStyle w:val="Hyperlink"/>
          <w:rFonts w:eastAsiaTheme="majorEastAsia"/>
          <w:i/>
          <w:noProof/>
          <w:color w:val="31849B" w:themeColor="accent5" w:themeShade="BF"/>
          <w:sz w:val="20"/>
          <w:szCs w:val="22"/>
          <w:lang w:val="sq-AL"/>
        </w:rPr>
        <w:instrText xml:space="preserve"> TOC \h \z \c "Tabela" </w:instrText>
      </w:r>
      <w:r w:rsidRPr="00C74FE0">
        <w:rPr>
          <w:rStyle w:val="Hyperlink"/>
          <w:rFonts w:eastAsiaTheme="majorEastAsia"/>
          <w:i/>
          <w:noProof/>
          <w:color w:val="31849B" w:themeColor="accent5" w:themeShade="BF"/>
          <w:sz w:val="20"/>
          <w:szCs w:val="22"/>
          <w:lang w:val="sq-AL"/>
        </w:rPr>
        <w:fldChar w:fldCharType="separate"/>
      </w:r>
      <w:hyperlink w:anchor="_Toc44404402" w:history="1">
        <w:r w:rsidR="00315385" w:rsidRPr="00315385">
          <w:rPr>
            <w:rStyle w:val="Hyperlink"/>
            <w:rFonts w:eastAsiaTheme="majorEastAsia"/>
            <w:i/>
            <w:noProof/>
            <w:color w:val="31849B" w:themeColor="accent5" w:themeShade="BF"/>
            <w:sz w:val="20"/>
            <w:szCs w:val="22"/>
            <w:lang w:val="sq-AL"/>
          </w:rPr>
          <w:t>Tabela 1: Të ardhurat Tatime &amp; Dogana për periudhën Janar – Maj 2020 (në milionë lekë)</w:t>
        </w:r>
        <w:r w:rsidR="00315385" w:rsidRPr="00315385">
          <w:rPr>
            <w:rStyle w:val="Hyperlink"/>
            <w:rFonts w:eastAsiaTheme="majorEastAsia"/>
            <w:i/>
            <w:noProof/>
            <w:webHidden/>
            <w:color w:val="31849B" w:themeColor="accent5" w:themeShade="BF"/>
            <w:sz w:val="20"/>
            <w:szCs w:val="22"/>
            <w:lang w:val="sq-AL"/>
          </w:rPr>
          <w:tab/>
        </w:r>
        <w:r w:rsidR="00315385" w:rsidRPr="00315385">
          <w:rPr>
            <w:rStyle w:val="Hyperlink"/>
            <w:rFonts w:eastAsiaTheme="majorEastAsia"/>
            <w:i/>
            <w:noProof/>
            <w:webHidden/>
            <w:color w:val="31849B" w:themeColor="accent5" w:themeShade="BF"/>
            <w:sz w:val="20"/>
            <w:szCs w:val="22"/>
            <w:lang w:val="sq-AL"/>
          </w:rPr>
          <w:fldChar w:fldCharType="begin"/>
        </w:r>
        <w:r w:rsidR="00315385" w:rsidRPr="00315385">
          <w:rPr>
            <w:rStyle w:val="Hyperlink"/>
            <w:rFonts w:eastAsiaTheme="majorEastAsia"/>
            <w:i/>
            <w:noProof/>
            <w:webHidden/>
            <w:color w:val="31849B" w:themeColor="accent5" w:themeShade="BF"/>
            <w:sz w:val="20"/>
            <w:szCs w:val="22"/>
            <w:lang w:val="sq-AL"/>
          </w:rPr>
          <w:instrText xml:space="preserve"> PAGEREF _Toc44404402 \h </w:instrText>
        </w:r>
        <w:r w:rsidR="00315385" w:rsidRPr="00315385">
          <w:rPr>
            <w:rStyle w:val="Hyperlink"/>
            <w:rFonts w:eastAsiaTheme="majorEastAsia"/>
            <w:i/>
            <w:noProof/>
            <w:webHidden/>
            <w:color w:val="31849B" w:themeColor="accent5" w:themeShade="BF"/>
            <w:sz w:val="20"/>
            <w:szCs w:val="22"/>
            <w:lang w:val="sq-AL"/>
          </w:rPr>
        </w:r>
        <w:r w:rsidR="00315385" w:rsidRPr="00315385">
          <w:rPr>
            <w:rStyle w:val="Hyperlink"/>
            <w:rFonts w:eastAsiaTheme="majorEastAsia"/>
            <w:i/>
            <w:noProof/>
            <w:webHidden/>
            <w:color w:val="31849B" w:themeColor="accent5" w:themeShade="BF"/>
            <w:sz w:val="20"/>
            <w:szCs w:val="22"/>
            <w:lang w:val="sq-AL"/>
          </w:rPr>
          <w:fldChar w:fldCharType="separate"/>
        </w:r>
        <w:r w:rsidR="00C342E2">
          <w:rPr>
            <w:rStyle w:val="Hyperlink"/>
            <w:rFonts w:eastAsiaTheme="majorEastAsia"/>
            <w:i/>
            <w:noProof/>
            <w:webHidden/>
            <w:color w:val="31849B" w:themeColor="accent5" w:themeShade="BF"/>
            <w:sz w:val="20"/>
            <w:szCs w:val="22"/>
            <w:lang w:val="sq-AL"/>
          </w:rPr>
          <w:t>7</w:t>
        </w:r>
        <w:r w:rsidR="00315385" w:rsidRPr="00315385">
          <w:rPr>
            <w:rStyle w:val="Hyperlink"/>
            <w:rFonts w:eastAsiaTheme="majorEastAsia"/>
            <w:i/>
            <w:noProof/>
            <w:webHidden/>
            <w:color w:val="31849B" w:themeColor="accent5" w:themeShade="BF"/>
            <w:sz w:val="20"/>
            <w:szCs w:val="22"/>
            <w:lang w:val="sq-AL"/>
          </w:rPr>
          <w:fldChar w:fldCharType="end"/>
        </w:r>
      </w:hyperlink>
    </w:p>
    <w:p w:rsidR="00315385" w:rsidRPr="00315385" w:rsidRDefault="00555461">
      <w:pPr>
        <w:pStyle w:val="TableofFigures"/>
        <w:tabs>
          <w:tab w:val="right" w:leader="dot" w:pos="9623"/>
        </w:tabs>
        <w:rPr>
          <w:rStyle w:val="Hyperlink"/>
          <w:rFonts w:eastAsiaTheme="majorEastAsia"/>
          <w:i/>
          <w:noProof/>
          <w:color w:val="31849B" w:themeColor="accent5" w:themeShade="BF"/>
          <w:sz w:val="20"/>
          <w:lang w:val="sq-AL"/>
        </w:rPr>
      </w:pPr>
      <w:hyperlink w:anchor="_Toc44404403" w:history="1">
        <w:r w:rsidR="00315385" w:rsidRPr="00315385">
          <w:rPr>
            <w:rStyle w:val="Hyperlink"/>
            <w:rFonts w:eastAsiaTheme="majorEastAsia"/>
            <w:i/>
            <w:noProof/>
            <w:color w:val="31849B" w:themeColor="accent5" w:themeShade="BF"/>
            <w:sz w:val="20"/>
            <w:szCs w:val="22"/>
            <w:lang w:val="sq-AL"/>
          </w:rPr>
          <w:t>Tabela 2: Të dhëna mbi sasitë e mallrave kryesorë të akcizës</w:t>
        </w:r>
        <w:r w:rsidR="00315385" w:rsidRPr="00315385">
          <w:rPr>
            <w:rStyle w:val="Hyperlink"/>
            <w:rFonts w:eastAsiaTheme="majorEastAsia"/>
            <w:i/>
            <w:noProof/>
            <w:webHidden/>
            <w:color w:val="31849B" w:themeColor="accent5" w:themeShade="BF"/>
            <w:sz w:val="20"/>
            <w:szCs w:val="22"/>
            <w:lang w:val="sq-AL"/>
          </w:rPr>
          <w:tab/>
        </w:r>
        <w:r w:rsidR="00315385" w:rsidRPr="00315385">
          <w:rPr>
            <w:rStyle w:val="Hyperlink"/>
            <w:rFonts w:eastAsiaTheme="majorEastAsia"/>
            <w:i/>
            <w:noProof/>
            <w:webHidden/>
            <w:color w:val="31849B" w:themeColor="accent5" w:themeShade="BF"/>
            <w:sz w:val="20"/>
            <w:szCs w:val="22"/>
            <w:lang w:val="sq-AL"/>
          </w:rPr>
          <w:fldChar w:fldCharType="begin"/>
        </w:r>
        <w:r w:rsidR="00315385" w:rsidRPr="00315385">
          <w:rPr>
            <w:rStyle w:val="Hyperlink"/>
            <w:rFonts w:eastAsiaTheme="majorEastAsia"/>
            <w:i/>
            <w:noProof/>
            <w:webHidden/>
            <w:color w:val="31849B" w:themeColor="accent5" w:themeShade="BF"/>
            <w:sz w:val="20"/>
            <w:szCs w:val="22"/>
            <w:lang w:val="sq-AL"/>
          </w:rPr>
          <w:instrText xml:space="preserve"> PAGEREF _Toc44404403 \h </w:instrText>
        </w:r>
        <w:r w:rsidR="00315385" w:rsidRPr="00315385">
          <w:rPr>
            <w:rStyle w:val="Hyperlink"/>
            <w:rFonts w:eastAsiaTheme="majorEastAsia"/>
            <w:i/>
            <w:noProof/>
            <w:webHidden/>
            <w:color w:val="31849B" w:themeColor="accent5" w:themeShade="BF"/>
            <w:sz w:val="20"/>
            <w:szCs w:val="22"/>
            <w:lang w:val="sq-AL"/>
          </w:rPr>
        </w:r>
        <w:r w:rsidR="00315385" w:rsidRPr="00315385">
          <w:rPr>
            <w:rStyle w:val="Hyperlink"/>
            <w:rFonts w:eastAsiaTheme="majorEastAsia"/>
            <w:i/>
            <w:noProof/>
            <w:webHidden/>
            <w:color w:val="31849B" w:themeColor="accent5" w:themeShade="BF"/>
            <w:sz w:val="20"/>
            <w:szCs w:val="22"/>
            <w:lang w:val="sq-AL"/>
          </w:rPr>
          <w:fldChar w:fldCharType="separate"/>
        </w:r>
        <w:r w:rsidR="00C342E2">
          <w:rPr>
            <w:rStyle w:val="Hyperlink"/>
            <w:rFonts w:eastAsiaTheme="majorEastAsia"/>
            <w:i/>
            <w:noProof/>
            <w:webHidden/>
            <w:color w:val="31849B" w:themeColor="accent5" w:themeShade="BF"/>
            <w:sz w:val="20"/>
            <w:szCs w:val="22"/>
            <w:lang w:val="sq-AL"/>
          </w:rPr>
          <w:t>10</w:t>
        </w:r>
        <w:r w:rsidR="00315385" w:rsidRPr="00315385">
          <w:rPr>
            <w:rStyle w:val="Hyperlink"/>
            <w:rFonts w:eastAsiaTheme="majorEastAsia"/>
            <w:i/>
            <w:noProof/>
            <w:webHidden/>
            <w:color w:val="31849B" w:themeColor="accent5" w:themeShade="BF"/>
            <w:sz w:val="20"/>
            <w:szCs w:val="22"/>
            <w:lang w:val="sq-AL"/>
          </w:rPr>
          <w:fldChar w:fldCharType="end"/>
        </w:r>
      </w:hyperlink>
    </w:p>
    <w:p w:rsidR="00315385" w:rsidRPr="00315385" w:rsidRDefault="00555461">
      <w:pPr>
        <w:pStyle w:val="TableofFigures"/>
        <w:tabs>
          <w:tab w:val="right" w:leader="dot" w:pos="9623"/>
        </w:tabs>
        <w:rPr>
          <w:rStyle w:val="Hyperlink"/>
          <w:rFonts w:eastAsiaTheme="majorEastAsia"/>
          <w:i/>
          <w:noProof/>
          <w:color w:val="31849B" w:themeColor="accent5" w:themeShade="BF"/>
          <w:sz w:val="20"/>
          <w:lang w:val="sq-AL"/>
        </w:rPr>
      </w:pPr>
      <w:hyperlink w:anchor="_Toc44404404" w:history="1">
        <w:r w:rsidR="00315385" w:rsidRPr="00315385">
          <w:rPr>
            <w:rStyle w:val="Hyperlink"/>
            <w:rFonts w:eastAsiaTheme="majorEastAsia"/>
            <w:i/>
            <w:noProof/>
            <w:color w:val="31849B" w:themeColor="accent5" w:themeShade="BF"/>
            <w:sz w:val="20"/>
            <w:szCs w:val="22"/>
            <w:lang w:val="sq-AL"/>
          </w:rPr>
          <w:t>Tabela 3: Kontribuesit pozitivë në të ardhurat nga Akciza/Diferencat Janar-Maj 2020/2019</w:t>
        </w:r>
        <w:r w:rsidR="00315385" w:rsidRPr="00315385">
          <w:rPr>
            <w:rStyle w:val="Hyperlink"/>
            <w:rFonts w:eastAsiaTheme="majorEastAsia"/>
            <w:i/>
            <w:noProof/>
            <w:webHidden/>
            <w:color w:val="31849B" w:themeColor="accent5" w:themeShade="BF"/>
            <w:sz w:val="20"/>
            <w:szCs w:val="22"/>
            <w:lang w:val="sq-AL"/>
          </w:rPr>
          <w:tab/>
        </w:r>
        <w:r w:rsidR="00315385" w:rsidRPr="00315385">
          <w:rPr>
            <w:rStyle w:val="Hyperlink"/>
            <w:rFonts w:eastAsiaTheme="majorEastAsia"/>
            <w:i/>
            <w:noProof/>
            <w:webHidden/>
            <w:color w:val="31849B" w:themeColor="accent5" w:themeShade="BF"/>
            <w:sz w:val="20"/>
            <w:szCs w:val="22"/>
            <w:lang w:val="sq-AL"/>
          </w:rPr>
          <w:fldChar w:fldCharType="begin"/>
        </w:r>
        <w:r w:rsidR="00315385" w:rsidRPr="00315385">
          <w:rPr>
            <w:rStyle w:val="Hyperlink"/>
            <w:rFonts w:eastAsiaTheme="majorEastAsia"/>
            <w:i/>
            <w:noProof/>
            <w:webHidden/>
            <w:color w:val="31849B" w:themeColor="accent5" w:themeShade="BF"/>
            <w:sz w:val="20"/>
            <w:szCs w:val="22"/>
            <w:lang w:val="sq-AL"/>
          </w:rPr>
          <w:instrText xml:space="preserve"> PAGEREF _Toc44404404 \h </w:instrText>
        </w:r>
        <w:r w:rsidR="00315385" w:rsidRPr="00315385">
          <w:rPr>
            <w:rStyle w:val="Hyperlink"/>
            <w:rFonts w:eastAsiaTheme="majorEastAsia"/>
            <w:i/>
            <w:noProof/>
            <w:webHidden/>
            <w:color w:val="31849B" w:themeColor="accent5" w:themeShade="BF"/>
            <w:sz w:val="20"/>
            <w:szCs w:val="22"/>
            <w:lang w:val="sq-AL"/>
          </w:rPr>
        </w:r>
        <w:r w:rsidR="00315385" w:rsidRPr="00315385">
          <w:rPr>
            <w:rStyle w:val="Hyperlink"/>
            <w:rFonts w:eastAsiaTheme="majorEastAsia"/>
            <w:i/>
            <w:noProof/>
            <w:webHidden/>
            <w:color w:val="31849B" w:themeColor="accent5" w:themeShade="BF"/>
            <w:sz w:val="20"/>
            <w:szCs w:val="22"/>
            <w:lang w:val="sq-AL"/>
          </w:rPr>
          <w:fldChar w:fldCharType="separate"/>
        </w:r>
        <w:r w:rsidR="00C342E2">
          <w:rPr>
            <w:rStyle w:val="Hyperlink"/>
            <w:rFonts w:eastAsiaTheme="majorEastAsia"/>
            <w:i/>
            <w:noProof/>
            <w:webHidden/>
            <w:color w:val="31849B" w:themeColor="accent5" w:themeShade="BF"/>
            <w:sz w:val="20"/>
            <w:szCs w:val="22"/>
            <w:lang w:val="sq-AL"/>
          </w:rPr>
          <w:t>11</w:t>
        </w:r>
        <w:r w:rsidR="00315385" w:rsidRPr="00315385">
          <w:rPr>
            <w:rStyle w:val="Hyperlink"/>
            <w:rFonts w:eastAsiaTheme="majorEastAsia"/>
            <w:i/>
            <w:noProof/>
            <w:webHidden/>
            <w:color w:val="31849B" w:themeColor="accent5" w:themeShade="BF"/>
            <w:sz w:val="20"/>
            <w:szCs w:val="22"/>
            <w:lang w:val="sq-AL"/>
          </w:rPr>
          <w:fldChar w:fldCharType="end"/>
        </w:r>
      </w:hyperlink>
    </w:p>
    <w:p w:rsidR="00315385" w:rsidRPr="00315385" w:rsidRDefault="00555461">
      <w:pPr>
        <w:pStyle w:val="TableofFigures"/>
        <w:tabs>
          <w:tab w:val="right" w:leader="dot" w:pos="9623"/>
        </w:tabs>
        <w:rPr>
          <w:rStyle w:val="Hyperlink"/>
          <w:rFonts w:eastAsiaTheme="majorEastAsia"/>
          <w:i/>
          <w:noProof/>
          <w:color w:val="31849B" w:themeColor="accent5" w:themeShade="BF"/>
          <w:sz w:val="20"/>
          <w:lang w:val="sq-AL"/>
        </w:rPr>
      </w:pPr>
      <w:hyperlink w:anchor="_Toc44404405" w:history="1">
        <w:r w:rsidR="00315385" w:rsidRPr="00315385">
          <w:rPr>
            <w:rStyle w:val="Hyperlink"/>
            <w:rFonts w:eastAsiaTheme="majorEastAsia"/>
            <w:i/>
            <w:noProof/>
            <w:color w:val="31849B" w:themeColor="accent5" w:themeShade="BF"/>
            <w:sz w:val="20"/>
            <w:szCs w:val="22"/>
            <w:lang w:val="sq-AL"/>
          </w:rPr>
          <w:t>Tabela 4: Kontribuesit negativë në të ardhurat nga Akciza/ Diferencat Janar-Maj 2020/2019</w:t>
        </w:r>
        <w:r w:rsidR="00315385" w:rsidRPr="00315385">
          <w:rPr>
            <w:rStyle w:val="Hyperlink"/>
            <w:rFonts w:eastAsiaTheme="majorEastAsia"/>
            <w:i/>
            <w:noProof/>
            <w:webHidden/>
            <w:color w:val="31849B" w:themeColor="accent5" w:themeShade="BF"/>
            <w:sz w:val="20"/>
            <w:szCs w:val="22"/>
            <w:lang w:val="sq-AL"/>
          </w:rPr>
          <w:tab/>
        </w:r>
        <w:r w:rsidR="00315385" w:rsidRPr="00315385">
          <w:rPr>
            <w:rStyle w:val="Hyperlink"/>
            <w:rFonts w:eastAsiaTheme="majorEastAsia"/>
            <w:i/>
            <w:noProof/>
            <w:webHidden/>
            <w:color w:val="31849B" w:themeColor="accent5" w:themeShade="BF"/>
            <w:sz w:val="20"/>
            <w:szCs w:val="22"/>
            <w:lang w:val="sq-AL"/>
          </w:rPr>
          <w:fldChar w:fldCharType="begin"/>
        </w:r>
        <w:r w:rsidR="00315385" w:rsidRPr="00315385">
          <w:rPr>
            <w:rStyle w:val="Hyperlink"/>
            <w:rFonts w:eastAsiaTheme="majorEastAsia"/>
            <w:i/>
            <w:noProof/>
            <w:webHidden/>
            <w:color w:val="31849B" w:themeColor="accent5" w:themeShade="BF"/>
            <w:sz w:val="20"/>
            <w:szCs w:val="22"/>
            <w:lang w:val="sq-AL"/>
          </w:rPr>
          <w:instrText xml:space="preserve"> PAGEREF _Toc44404405 \h </w:instrText>
        </w:r>
        <w:r w:rsidR="00315385" w:rsidRPr="00315385">
          <w:rPr>
            <w:rStyle w:val="Hyperlink"/>
            <w:rFonts w:eastAsiaTheme="majorEastAsia"/>
            <w:i/>
            <w:noProof/>
            <w:webHidden/>
            <w:color w:val="31849B" w:themeColor="accent5" w:themeShade="BF"/>
            <w:sz w:val="20"/>
            <w:szCs w:val="22"/>
            <w:lang w:val="sq-AL"/>
          </w:rPr>
        </w:r>
        <w:r w:rsidR="00315385" w:rsidRPr="00315385">
          <w:rPr>
            <w:rStyle w:val="Hyperlink"/>
            <w:rFonts w:eastAsiaTheme="majorEastAsia"/>
            <w:i/>
            <w:noProof/>
            <w:webHidden/>
            <w:color w:val="31849B" w:themeColor="accent5" w:themeShade="BF"/>
            <w:sz w:val="20"/>
            <w:szCs w:val="22"/>
            <w:lang w:val="sq-AL"/>
          </w:rPr>
          <w:fldChar w:fldCharType="separate"/>
        </w:r>
        <w:r w:rsidR="00C342E2">
          <w:rPr>
            <w:rStyle w:val="Hyperlink"/>
            <w:rFonts w:eastAsiaTheme="majorEastAsia"/>
            <w:i/>
            <w:noProof/>
            <w:webHidden/>
            <w:color w:val="31849B" w:themeColor="accent5" w:themeShade="BF"/>
            <w:sz w:val="20"/>
            <w:szCs w:val="22"/>
            <w:lang w:val="sq-AL"/>
          </w:rPr>
          <w:t>11</w:t>
        </w:r>
        <w:r w:rsidR="00315385" w:rsidRPr="00315385">
          <w:rPr>
            <w:rStyle w:val="Hyperlink"/>
            <w:rFonts w:eastAsiaTheme="majorEastAsia"/>
            <w:i/>
            <w:noProof/>
            <w:webHidden/>
            <w:color w:val="31849B" w:themeColor="accent5" w:themeShade="BF"/>
            <w:sz w:val="20"/>
            <w:szCs w:val="22"/>
            <w:lang w:val="sq-AL"/>
          </w:rPr>
          <w:fldChar w:fldCharType="end"/>
        </w:r>
      </w:hyperlink>
    </w:p>
    <w:p w:rsidR="00315385" w:rsidRPr="00315385" w:rsidRDefault="00555461">
      <w:pPr>
        <w:pStyle w:val="TableofFigures"/>
        <w:tabs>
          <w:tab w:val="right" w:leader="dot" w:pos="9623"/>
        </w:tabs>
        <w:rPr>
          <w:rStyle w:val="Hyperlink"/>
          <w:rFonts w:eastAsiaTheme="majorEastAsia"/>
          <w:i/>
          <w:noProof/>
          <w:color w:val="31849B" w:themeColor="accent5" w:themeShade="BF"/>
          <w:sz w:val="20"/>
          <w:lang w:val="sq-AL"/>
        </w:rPr>
      </w:pPr>
      <w:hyperlink w:anchor="_Toc44404406" w:history="1">
        <w:r w:rsidR="00315385" w:rsidRPr="00315385">
          <w:rPr>
            <w:rStyle w:val="Hyperlink"/>
            <w:rFonts w:eastAsiaTheme="majorEastAsia"/>
            <w:i/>
            <w:noProof/>
            <w:color w:val="31849B" w:themeColor="accent5" w:themeShade="BF"/>
            <w:sz w:val="20"/>
            <w:szCs w:val="22"/>
            <w:lang w:val="sq-AL"/>
          </w:rPr>
          <w:t>Tabela 5: Kontribuesit pozitivë në të ardhurat nga TVSH/Diferencat Janar-Maj 2020/2019</w:t>
        </w:r>
        <w:r w:rsidR="00315385" w:rsidRPr="00315385">
          <w:rPr>
            <w:rStyle w:val="Hyperlink"/>
            <w:rFonts w:eastAsiaTheme="majorEastAsia"/>
            <w:i/>
            <w:noProof/>
            <w:webHidden/>
            <w:color w:val="31849B" w:themeColor="accent5" w:themeShade="BF"/>
            <w:sz w:val="20"/>
            <w:szCs w:val="22"/>
            <w:lang w:val="sq-AL"/>
          </w:rPr>
          <w:tab/>
        </w:r>
        <w:r w:rsidR="00315385" w:rsidRPr="00315385">
          <w:rPr>
            <w:rStyle w:val="Hyperlink"/>
            <w:rFonts w:eastAsiaTheme="majorEastAsia"/>
            <w:i/>
            <w:noProof/>
            <w:webHidden/>
            <w:color w:val="31849B" w:themeColor="accent5" w:themeShade="BF"/>
            <w:sz w:val="20"/>
            <w:szCs w:val="22"/>
            <w:lang w:val="sq-AL"/>
          </w:rPr>
          <w:fldChar w:fldCharType="begin"/>
        </w:r>
        <w:r w:rsidR="00315385" w:rsidRPr="00315385">
          <w:rPr>
            <w:rStyle w:val="Hyperlink"/>
            <w:rFonts w:eastAsiaTheme="majorEastAsia"/>
            <w:i/>
            <w:noProof/>
            <w:webHidden/>
            <w:color w:val="31849B" w:themeColor="accent5" w:themeShade="BF"/>
            <w:sz w:val="20"/>
            <w:szCs w:val="22"/>
            <w:lang w:val="sq-AL"/>
          </w:rPr>
          <w:instrText xml:space="preserve"> PAGEREF _Toc44404406 \h </w:instrText>
        </w:r>
        <w:r w:rsidR="00315385" w:rsidRPr="00315385">
          <w:rPr>
            <w:rStyle w:val="Hyperlink"/>
            <w:rFonts w:eastAsiaTheme="majorEastAsia"/>
            <w:i/>
            <w:noProof/>
            <w:webHidden/>
            <w:color w:val="31849B" w:themeColor="accent5" w:themeShade="BF"/>
            <w:sz w:val="20"/>
            <w:szCs w:val="22"/>
            <w:lang w:val="sq-AL"/>
          </w:rPr>
        </w:r>
        <w:r w:rsidR="00315385" w:rsidRPr="00315385">
          <w:rPr>
            <w:rStyle w:val="Hyperlink"/>
            <w:rFonts w:eastAsiaTheme="majorEastAsia"/>
            <w:i/>
            <w:noProof/>
            <w:webHidden/>
            <w:color w:val="31849B" w:themeColor="accent5" w:themeShade="BF"/>
            <w:sz w:val="20"/>
            <w:szCs w:val="22"/>
            <w:lang w:val="sq-AL"/>
          </w:rPr>
          <w:fldChar w:fldCharType="separate"/>
        </w:r>
        <w:r w:rsidR="00C342E2">
          <w:rPr>
            <w:rStyle w:val="Hyperlink"/>
            <w:rFonts w:eastAsiaTheme="majorEastAsia"/>
            <w:i/>
            <w:noProof/>
            <w:webHidden/>
            <w:color w:val="31849B" w:themeColor="accent5" w:themeShade="BF"/>
            <w:sz w:val="20"/>
            <w:szCs w:val="22"/>
            <w:lang w:val="sq-AL"/>
          </w:rPr>
          <w:t>11</w:t>
        </w:r>
        <w:r w:rsidR="00315385" w:rsidRPr="00315385">
          <w:rPr>
            <w:rStyle w:val="Hyperlink"/>
            <w:rFonts w:eastAsiaTheme="majorEastAsia"/>
            <w:i/>
            <w:noProof/>
            <w:webHidden/>
            <w:color w:val="31849B" w:themeColor="accent5" w:themeShade="BF"/>
            <w:sz w:val="20"/>
            <w:szCs w:val="22"/>
            <w:lang w:val="sq-AL"/>
          </w:rPr>
          <w:fldChar w:fldCharType="end"/>
        </w:r>
      </w:hyperlink>
    </w:p>
    <w:p w:rsidR="00315385" w:rsidRPr="00315385" w:rsidRDefault="00555461">
      <w:pPr>
        <w:pStyle w:val="TableofFigures"/>
        <w:tabs>
          <w:tab w:val="right" w:leader="dot" w:pos="9623"/>
        </w:tabs>
        <w:rPr>
          <w:rStyle w:val="Hyperlink"/>
          <w:rFonts w:eastAsiaTheme="majorEastAsia"/>
          <w:i/>
          <w:noProof/>
          <w:color w:val="31849B" w:themeColor="accent5" w:themeShade="BF"/>
          <w:sz w:val="20"/>
          <w:lang w:val="sq-AL"/>
        </w:rPr>
      </w:pPr>
      <w:hyperlink w:anchor="_Toc44404407" w:history="1">
        <w:r w:rsidR="00315385" w:rsidRPr="00315385">
          <w:rPr>
            <w:rStyle w:val="Hyperlink"/>
            <w:rFonts w:eastAsiaTheme="majorEastAsia"/>
            <w:i/>
            <w:noProof/>
            <w:color w:val="31849B" w:themeColor="accent5" w:themeShade="BF"/>
            <w:sz w:val="20"/>
            <w:szCs w:val="22"/>
            <w:lang w:val="sq-AL"/>
          </w:rPr>
          <w:t>Tabela 6: Kontribuesit negativë në të ardhurat nga TVSH/ Diferencat Janar-Maj 2020/2019</w:t>
        </w:r>
        <w:r w:rsidR="00315385" w:rsidRPr="00315385">
          <w:rPr>
            <w:rStyle w:val="Hyperlink"/>
            <w:rFonts w:eastAsiaTheme="majorEastAsia"/>
            <w:i/>
            <w:noProof/>
            <w:webHidden/>
            <w:color w:val="31849B" w:themeColor="accent5" w:themeShade="BF"/>
            <w:sz w:val="20"/>
            <w:szCs w:val="22"/>
            <w:lang w:val="sq-AL"/>
          </w:rPr>
          <w:tab/>
        </w:r>
        <w:r w:rsidR="00315385" w:rsidRPr="00315385">
          <w:rPr>
            <w:rStyle w:val="Hyperlink"/>
            <w:rFonts w:eastAsiaTheme="majorEastAsia"/>
            <w:i/>
            <w:noProof/>
            <w:webHidden/>
            <w:color w:val="31849B" w:themeColor="accent5" w:themeShade="BF"/>
            <w:sz w:val="20"/>
            <w:szCs w:val="22"/>
            <w:lang w:val="sq-AL"/>
          </w:rPr>
          <w:fldChar w:fldCharType="begin"/>
        </w:r>
        <w:r w:rsidR="00315385" w:rsidRPr="00315385">
          <w:rPr>
            <w:rStyle w:val="Hyperlink"/>
            <w:rFonts w:eastAsiaTheme="majorEastAsia"/>
            <w:i/>
            <w:noProof/>
            <w:webHidden/>
            <w:color w:val="31849B" w:themeColor="accent5" w:themeShade="BF"/>
            <w:sz w:val="20"/>
            <w:szCs w:val="22"/>
            <w:lang w:val="sq-AL"/>
          </w:rPr>
          <w:instrText xml:space="preserve"> PAGEREF _Toc44404407 \h </w:instrText>
        </w:r>
        <w:r w:rsidR="00315385" w:rsidRPr="00315385">
          <w:rPr>
            <w:rStyle w:val="Hyperlink"/>
            <w:rFonts w:eastAsiaTheme="majorEastAsia"/>
            <w:i/>
            <w:noProof/>
            <w:webHidden/>
            <w:color w:val="31849B" w:themeColor="accent5" w:themeShade="BF"/>
            <w:sz w:val="20"/>
            <w:szCs w:val="22"/>
            <w:lang w:val="sq-AL"/>
          </w:rPr>
        </w:r>
        <w:r w:rsidR="00315385" w:rsidRPr="00315385">
          <w:rPr>
            <w:rStyle w:val="Hyperlink"/>
            <w:rFonts w:eastAsiaTheme="majorEastAsia"/>
            <w:i/>
            <w:noProof/>
            <w:webHidden/>
            <w:color w:val="31849B" w:themeColor="accent5" w:themeShade="BF"/>
            <w:sz w:val="20"/>
            <w:szCs w:val="22"/>
            <w:lang w:val="sq-AL"/>
          </w:rPr>
          <w:fldChar w:fldCharType="separate"/>
        </w:r>
        <w:r w:rsidR="00C342E2">
          <w:rPr>
            <w:rStyle w:val="Hyperlink"/>
            <w:rFonts w:eastAsiaTheme="majorEastAsia"/>
            <w:i/>
            <w:noProof/>
            <w:webHidden/>
            <w:color w:val="31849B" w:themeColor="accent5" w:themeShade="BF"/>
            <w:sz w:val="20"/>
            <w:szCs w:val="22"/>
            <w:lang w:val="sq-AL"/>
          </w:rPr>
          <w:t>11</w:t>
        </w:r>
        <w:r w:rsidR="00315385" w:rsidRPr="00315385">
          <w:rPr>
            <w:rStyle w:val="Hyperlink"/>
            <w:rFonts w:eastAsiaTheme="majorEastAsia"/>
            <w:i/>
            <w:noProof/>
            <w:webHidden/>
            <w:color w:val="31849B" w:themeColor="accent5" w:themeShade="BF"/>
            <w:sz w:val="20"/>
            <w:szCs w:val="22"/>
            <w:lang w:val="sq-AL"/>
          </w:rPr>
          <w:fldChar w:fldCharType="end"/>
        </w:r>
      </w:hyperlink>
    </w:p>
    <w:p w:rsidR="00315385" w:rsidRPr="00315385" w:rsidRDefault="00555461">
      <w:pPr>
        <w:pStyle w:val="TableofFigures"/>
        <w:tabs>
          <w:tab w:val="right" w:leader="dot" w:pos="9623"/>
        </w:tabs>
        <w:rPr>
          <w:rStyle w:val="Hyperlink"/>
          <w:rFonts w:eastAsiaTheme="majorEastAsia"/>
          <w:i/>
          <w:noProof/>
          <w:color w:val="31849B" w:themeColor="accent5" w:themeShade="BF"/>
          <w:sz w:val="20"/>
          <w:lang w:val="sq-AL"/>
        </w:rPr>
      </w:pPr>
      <w:hyperlink w:anchor="_Toc44404408" w:history="1">
        <w:r w:rsidR="00315385" w:rsidRPr="00315385">
          <w:rPr>
            <w:rStyle w:val="Hyperlink"/>
            <w:rFonts w:eastAsiaTheme="majorEastAsia"/>
            <w:i/>
            <w:noProof/>
            <w:color w:val="31849B" w:themeColor="accent5" w:themeShade="BF"/>
            <w:sz w:val="20"/>
            <w:szCs w:val="22"/>
            <w:lang w:val="sq-AL"/>
          </w:rPr>
          <w:t>Tabela 7: Të dhëna për Rentën Minerare, naftë bruto dhe minerale të tjera (në mijë lekë)</w:t>
        </w:r>
        <w:r w:rsidR="00315385" w:rsidRPr="00315385">
          <w:rPr>
            <w:rStyle w:val="Hyperlink"/>
            <w:rFonts w:eastAsiaTheme="majorEastAsia"/>
            <w:i/>
            <w:noProof/>
            <w:webHidden/>
            <w:color w:val="31849B" w:themeColor="accent5" w:themeShade="BF"/>
            <w:sz w:val="20"/>
            <w:szCs w:val="22"/>
            <w:lang w:val="sq-AL"/>
          </w:rPr>
          <w:tab/>
        </w:r>
        <w:r w:rsidR="00315385" w:rsidRPr="00315385">
          <w:rPr>
            <w:rStyle w:val="Hyperlink"/>
            <w:rFonts w:eastAsiaTheme="majorEastAsia"/>
            <w:i/>
            <w:noProof/>
            <w:webHidden/>
            <w:color w:val="31849B" w:themeColor="accent5" w:themeShade="BF"/>
            <w:sz w:val="20"/>
            <w:szCs w:val="22"/>
            <w:lang w:val="sq-AL"/>
          </w:rPr>
          <w:fldChar w:fldCharType="begin"/>
        </w:r>
        <w:r w:rsidR="00315385" w:rsidRPr="00315385">
          <w:rPr>
            <w:rStyle w:val="Hyperlink"/>
            <w:rFonts w:eastAsiaTheme="majorEastAsia"/>
            <w:i/>
            <w:noProof/>
            <w:webHidden/>
            <w:color w:val="31849B" w:themeColor="accent5" w:themeShade="BF"/>
            <w:sz w:val="20"/>
            <w:szCs w:val="22"/>
            <w:lang w:val="sq-AL"/>
          </w:rPr>
          <w:instrText xml:space="preserve"> PAGEREF _Toc44404408 \h </w:instrText>
        </w:r>
        <w:r w:rsidR="00315385" w:rsidRPr="00315385">
          <w:rPr>
            <w:rStyle w:val="Hyperlink"/>
            <w:rFonts w:eastAsiaTheme="majorEastAsia"/>
            <w:i/>
            <w:noProof/>
            <w:webHidden/>
            <w:color w:val="31849B" w:themeColor="accent5" w:themeShade="BF"/>
            <w:sz w:val="20"/>
            <w:szCs w:val="22"/>
            <w:lang w:val="sq-AL"/>
          </w:rPr>
        </w:r>
        <w:r w:rsidR="00315385" w:rsidRPr="00315385">
          <w:rPr>
            <w:rStyle w:val="Hyperlink"/>
            <w:rFonts w:eastAsiaTheme="majorEastAsia"/>
            <w:i/>
            <w:noProof/>
            <w:webHidden/>
            <w:color w:val="31849B" w:themeColor="accent5" w:themeShade="BF"/>
            <w:sz w:val="20"/>
            <w:szCs w:val="22"/>
            <w:lang w:val="sq-AL"/>
          </w:rPr>
          <w:fldChar w:fldCharType="separate"/>
        </w:r>
        <w:r w:rsidR="00C342E2">
          <w:rPr>
            <w:rStyle w:val="Hyperlink"/>
            <w:rFonts w:eastAsiaTheme="majorEastAsia"/>
            <w:i/>
            <w:noProof/>
            <w:webHidden/>
            <w:color w:val="31849B" w:themeColor="accent5" w:themeShade="BF"/>
            <w:sz w:val="20"/>
            <w:szCs w:val="22"/>
            <w:lang w:val="sq-AL"/>
          </w:rPr>
          <w:t>12</w:t>
        </w:r>
        <w:r w:rsidR="00315385" w:rsidRPr="00315385">
          <w:rPr>
            <w:rStyle w:val="Hyperlink"/>
            <w:rFonts w:eastAsiaTheme="majorEastAsia"/>
            <w:i/>
            <w:noProof/>
            <w:webHidden/>
            <w:color w:val="31849B" w:themeColor="accent5" w:themeShade="BF"/>
            <w:sz w:val="20"/>
            <w:szCs w:val="22"/>
            <w:lang w:val="sq-AL"/>
          </w:rPr>
          <w:fldChar w:fldCharType="end"/>
        </w:r>
      </w:hyperlink>
    </w:p>
    <w:p w:rsidR="00315385" w:rsidRPr="00315385" w:rsidRDefault="00555461">
      <w:pPr>
        <w:pStyle w:val="TableofFigures"/>
        <w:tabs>
          <w:tab w:val="right" w:leader="dot" w:pos="9623"/>
        </w:tabs>
        <w:rPr>
          <w:rStyle w:val="Hyperlink"/>
          <w:rFonts w:eastAsiaTheme="majorEastAsia"/>
          <w:i/>
          <w:noProof/>
          <w:color w:val="31849B" w:themeColor="accent5" w:themeShade="BF"/>
          <w:sz w:val="20"/>
          <w:lang w:val="sq-AL"/>
        </w:rPr>
      </w:pPr>
      <w:hyperlink w:anchor="_Toc44404409" w:history="1">
        <w:r w:rsidR="00315385" w:rsidRPr="00315385">
          <w:rPr>
            <w:rStyle w:val="Hyperlink"/>
            <w:rFonts w:eastAsiaTheme="majorEastAsia"/>
            <w:i/>
            <w:noProof/>
            <w:color w:val="31849B" w:themeColor="accent5" w:themeShade="BF"/>
            <w:sz w:val="20"/>
            <w:szCs w:val="22"/>
            <w:lang w:val="sq-AL"/>
          </w:rPr>
          <w:t>Tabela 8: Treguesit fiskalë të konsoliduar për 5 mujorin e vitit 2020 (në milion LEK)</w:t>
        </w:r>
        <w:r w:rsidR="00315385" w:rsidRPr="00315385">
          <w:rPr>
            <w:rStyle w:val="Hyperlink"/>
            <w:rFonts w:eastAsiaTheme="majorEastAsia"/>
            <w:i/>
            <w:noProof/>
            <w:webHidden/>
            <w:color w:val="31849B" w:themeColor="accent5" w:themeShade="BF"/>
            <w:sz w:val="20"/>
            <w:szCs w:val="22"/>
            <w:lang w:val="sq-AL"/>
          </w:rPr>
          <w:tab/>
        </w:r>
        <w:r w:rsidR="00315385" w:rsidRPr="00315385">
          <w:rPr>
            <w:rStyle w:val="Hyperlink"/>
            <w:rFonts w:eastAsiaTheme="majorEastAsia"/>
            <w:i/>
            <w:noProof/>
            <w:webHidden/>
            <w:color w:val="31849B" w:themeColor="accent5" w:themeShade="BF"/>
            <w:sz w:val="20"/>
            <w:szCs w:val="22"/>
            <w:lang w:val="sq-AL"/>
          </w:rPr>
          <w:fldChar w:fldCharType="begin"/>
        </w:r>
        <w:r w:rsidR="00315385" w:rsidRPr="00315385">
          <w:rPr>
            <w:rStyle w:val="Hyperlink"/>
            <w:rFonts w:eastAsiaTheme="majorEastAsia"/>
            <w:i/>
            <w:noProof/>
            <w:webHidden/>
            <w:color w:val="31849B" w:themeColor="accent5" w:themeShade="BF"/>
            <w:sz w:val="20"/>
            <w:szCs w:val="22"/>
            <w:lang w:val="sq-AL"/>
          </w:rPr>
          <w:instrText xml:space="preserve"> PAGEREF _Toc44404409 \h </w:instrText>
        </w:r>
        <w:r w:rsidR="00315385" w:rsidRPr="00315385">
          <w:rPr>
            <w:rStyle w:val="Hyperlink"/>
            <w:rFonts w:eastAsiaTheme="majorEastAsia"/>
            <w:i/>
            <w:noProof/>
            <w:webHidden/>
            <w:color w:val="31849B" w:themeColor="accent5" w:themeShade="BF"/>
            <w:sz w:val="20"/>
            <w:szCs w:val="22"/>
            <w:lang w:val="sq-AL"/>
          </w:rPr>
        </w:r>
        <w:r w:rsidR="00315385" w:rsidRPr="00315385">
          <w:rPr>
            <w:rStyle w:val="Hyperlink"/>
            <w:rFonts w:eastAsiaTheme="majorEastAsia"/>
            <w:i/>
            <w:noProof/>
            <w:webHidden/>
            <w:color w:val="31849B" w:themeColor="accent5" w:themeShade="BF"/>
            <w:sz w:val="20"/>
            <w:szCs w:val="22"/>
            <w:lang w:val="sq-AL"/>
          </w:rPr>
          <w:fldChar w:fldCharType="separate"/>
        </w:r>
        <w:r w:rsidR="00C342E2">
          <w:rPr>
            <w:rStyle w:val="Hyperlink"/>
            <w:rFonts w:eastAsiaTheme="majorEastAsia"/>
            <w:i/>
            <w:noProof/>
            <w:webHidden/>
            <w:color w:val="31849B" w:themeColor="accent5" w:themeShade="BF"/>
            <w:sz w:val="20"/>
            <w:szCs w:val="22"/>
            <w:lang w:val="sq-AL"/>
          </w:rPr>
          <w:t>15</w:t>
        </w:r>
        <w:r w:rsidR="00315385" w:rsidRPr="00315385">
          <w:rPr>
            <w:rStyle w:val="Hyperlink"/>
            <w:rFonts w:eastAsiaTheme="majorEastAsia"/>
            <w:i/>
            <w:noProof/>
            <w:webHidden/>
            <w:color w:val="31849B" w:themeColor="accent5" w:themeShade="BF"/>
            <w:sz w:val="20"/>
            <w:szCs w:val="22"/>
            <w:lang w:val="sq-AL"/>
          </w:rPr>
          <w:fldChar w:fldCharType="end"/>
        </w:r>
      </w:hyperlink>
    </w:p>
    <w:p w:rsidR="00315385" w:rsidRPr="00315385" w:rsidRDefault="00555461">
      <w:pPr>
        <w:pStyle w:val="TableofFigures"/>
        <w:tabs>
          <w:tab w:val="right" w:leader="dot" w:pos="9623"/>
        </w:tabs>
        <w:rPr>
          <w:rStyle w:val="Hyperlink"/>
          <w:rFonts w:eastAsiaTheme="majorEastAsia"/>
          <w:i/>
          <w:noProof/>
          <w:color w:val="31849B" w:themeColor="accent5" w:themeShade="BF"/>
          <w:sz w:val="20"/>
          <w:lang w:val="sq-AL"/>
        </w:rPr>
      </w:pPr>
      <w:hyperlink w:anchor="_Toc44404410" w:history="1">
        <w:r w:rsidR="00315385" w:rsidRPr="00315385">
          <w:rPr>
            <w:rStyle w:val="Hyperlink"/>
            <w:rFonts w:eastAsiaTheme="majorEastAsia"/>
            <w:i/>
            <w:noProof/>
            <w:color w:val="31849B" w:themeColor="accent5" w:themeShade="BF"/>
            <w:sz w:val="20"/>
            <w:szCs w:val="22"/>
            <w:lang w:val="sq-AL"/>
          </w:rPr>
          <w:t>Tabela 9: Treguesit fiskalë të konsoliduar për 5 mujorin e vitit 2019 dhe 2020 (në milion LEK)</w:t>
        </w:r>
        <w:r w:rsidR="00315385" w:rsidRPr="00315385">
          <w:rPr>
            <w:rStyle w:val="Hyperlink"/>
            <w:rFonts w:eastAsiaTheme="majorEastAsia"/>
            <w:i/>
            <w:noProof/>
            <w:webHidden/>
            <w:color w:val="31849B" w:themeColor="accent5" w:themeShade="BF"/>
            <w:sz w:val="20"/>
            <w:szCs w:val="22"/>
            <w:lang w:val="sq-AL"/>
          </w:rPr>
          <w:tab/>
        </w:r>
        <w:r w:rsidR="00315385" w:rsidRPr="00315385">
          <w:rPr>
            <w:rStyle w:val="Hyperlink"/>
            <w:rFonts w:eastAsiaTheme="majorEastAsia"/>
            <w:i/>
            <w:noProof/>
            <w:webHidden/>
            <w:color w:val="31849B" w:themeColor="accent5" w:themeShade="BF"/>
            <w:sz w:val="20"/>
            <w:szCs w:val="22"/>
            <w:lang w:val="sq-AL"/>
          </w:rPr>
          <w:fldChar w:fldCharType="begin"/>
        </w:r>
        <w:r w:rsidR="00315385" w:rsidRPr="00315385">
          <w:rPr>
            <w:rStyle w:val="Hyperlink"/>
            <w:rFonts w:eastAsiaTheme="majorEastAsia"/>
            <w:i/>
            <w:noProof/>
            <w:webHidden/>
            <w:color w:val="31849B" w:themeColor="accent5" w:themeShade="BF"/>
            <w:sz w:val="20"/>
            <w:szCs w:val="22"/>
            <w:lang w:val="sq-AL"/>
          </w:rPr>
          <w:instrText xml:space="preserve"> PAGEREF _Toc44404410 \h </w:instrText>
        </w:r>
        <w:r w:rsidR="00315385" w:rsidRPr="00315385">
          <w:rPr>
            <w:rStyle w:val="Hyperlink"/>
            <w:rFonts w:eastAsiaTheme="majorEastAsia"/>
            <w:i/>
            <w:noProof/>
            <w:webHidden/>
            <w:color w:val="31849B" w:themeColor="accent5" w:themeShade="BF"/>
            <w:sz w:val="20"/>
            <w:szCs w:val="22"/>
            <w:lang w:val="sq-AL"/>
          </w:rPr>
        </w:r>
        <w:r w:rsidR="00315385" w:rsidRPr="00315385">
          <w:rPr>
            <w:rStyle w:val="Hyperlink"/>
            <w:rFonts w:eastAsiaTheme="majorEastAsia"/>
            <w:i/>
            <w:noProof/>
            <w:webHidden/>
            <w:color w:val="31849B" w:themeColor="accent5" w:themeShade="BF"/>
            <w:sz w:val="20"/>
            <w:szCs w:val="22"/>
            <w:lang w:val="sq-AL"/>
          </w:rPr>
          <w:fldChar w:fldCharType="separate"/>
        </w:r>
        <w:r w:rsidR="00C342E2">
          <w:rPr>
            <w:rStyle w:val="Hyperlink"/>
            <w:rFonts w:eastAsiaTheme="majorEastAsia"/>
            <w:i/>
            <w:noProof/>
            <w:webHidden/>
            <w:color w:val="31849B" w:themeColor="accent5" w:themeShade="BF"/>
            <w:sz w:val="20"/>
            <w:szCs w:val="22"/>
            <w:lang w:val="sq-AL"/>
          </w:rPr>
          <w:t>15</w:t>
        </w:r>
        <w:r w:rsidR="00315385" w:rsidRPr="00315385">
          <w:rPr>
            <w:rStyle w:val="Hyperlink"/>
            <w:rFonts w:eastAsiaTheme="majorEastAsia"/>
            <w:i/>
            <w:noProof/>
            <w:webHidden/>
            <w:color w:val="31849B" w:themeColor="accent5" w:themeShade="BF"/>
            <w:sz w:val="20"/>
            <w:szCs w:val="22"/>
            <w:lang w:val="sq-AL"/>
          </w:rPr>
          <w:fldChar w:fldCharType="end"/>
        </w:r>
      </w:hyperlink>
    </w:p>
    <w:p w:rsidR="00315385" w:rsidRPr="00315385" w:rsidRDefault="00555461">
      <w:pPr>
        <w:pStyle w:val="TableofFigures"/>
        <w:tabs>
          <w:tab w:val="right" w:leader="dot" w:pos="9623"/>
        </w:tabs>
        <w:rPr>
          <w:rStyle w:val="Hyperlink"/>
          <w:rFonts w:eastAsiaTheme="majorEastAsia"/>
          <w:i/>
          <w:noProof/>
          <w:color w:val="31849B" w:themeColor="accent5" w:themeShade="BF"/>
          <w:sz w:val="20"/>
          <w:lang w:val="sq-AL"/>
        </w:rPr>
      </w:pPr>
      <w:hyperlink w:anchor="_Toc44404411" w:history="1">
        <w:r w:rsidR="00315385" w:rsidRPr="00315385">
          <w:rPr>
            <w:rStyle w:val="Hyperlink"/>
            <w:rFonts w:eastAsiaTheme="majorEastAsia"/>
            <w:i/>
            <w:noProof/>
            <w:color w:val="31849B" w:themeColor="accent5" w:themeShade="BF"/>
            <w:sz w:val="20"/>
            <w:szCs w:val="22"/>
            <w:lang w:val="sq-AL"/>
          </w:rPr>
          <w:t>Tabela 10: Të ardhurat dhe shpenzimet faktike të pushtetit vendor sipas natyrës</w:t>
        </w:r>
        <w:r w:rsidR="00315385" w:rsidRPr="00315385">
          <w:rPr>
            <w:rStyle w:val="Hyperlink"/>
            <w:rFonts w:eastAsiaTheme="majorEastAsia"/>
            <w:i/>
            <w:noProof/>
            <w:webHidden/>
            <w:color w:val="31849B" w:themeColor="accent5" w:themeShade="BF"/>
            <w:sz w:val="20"/>
            <w:szCs w:val="22"/>
            <w:lang w:val="sq-AL"/>
          </w:rPr>
          <w:tab/>
        </w:r>
        <w:r w:rsidR="00315385" w:rsidRPr="00315385">
          <w:rPr>
            <w:rStyle w:val="Hyperlink"/>
            <w:rFonts w:eastAsiaTheme="majorEastAsia"/>
            <w:i/>
            <w:noProof/>
            <w:webHidden/>
            <w:color w:val="31849B" w:themeColor="accent5" w:themeShade="BF"/>
            <w:sz w:val="20"/>
            <w:szCs w:val="22"/>
            <w:lang w:val="sq-AL"/>
          </w:rPr>
          <w:fldChar w:fldCharType="begin"/>
        </w:r>
        <w:r w:rsidR="00315385" w:rsidRPr="00315385">
          <w:rPr>
            <w:rStyle w:val="Hyperlink"/>
            <w:rFonts w:eastAsiaTheme="majorEastAsia"/>
            <w:i/>
            <w:noProof/>
            <w:webHidden/>
            <w:color w:val="31849B" w:themeColor="accent5" w:themeShade="BF"/>
            <w:sz w:val="20"/>
            <w:szCs w:val="22"/>
            <w:lang w:val="sq-AL"/>
          </w:rPr>
          <w:instrText xml:space="preserve"> PAGEREF _Toc44404411 \h </w:instrText>
        </w:r>
        <w:r w:rsidR="00315385" w:rsidRPr="00315385">
          <w:rPr>
            <w:rStyle w:val="Hyperlink"/>
            <w:rFonts w:eastAsiaTheme="majorEastAsia"/>
            <w:i/>
            <w:noProof/>
            <w:webHidden/>
            <w:color w:val="31849B" w:themeColor="accent5" w:themeShade="BF"/>
            <w:sz w:val="20"/>
            <w:szCs w:val="22"/>
            <w:lang w:val="sq-AL"/>
          </w:rPr>
        </w:r>
        <w:r w:rsidR="00315385" w:rsidRPr="00315385">
          <w:rPr>
            <w:rStyle w:val="Hyperlink"/>
            <w:rFonts w:eastAsiaTheme="majorEastAsia"/>
            <w:i/>
            <w:noProof/>
            <w:webHidden/>
            <w:color w:val="31849B" w:themeColor="accent5" w:themeShade="BF"/>
            <w:sz w:val="20"/>
            <w:szCs w:val="22"/>
            <w:lang w:val="sq-AL"/>
          </w:rPr>
          <w:fldChar w:fldCharType="separate"/>
        </w:r>
        <w:r w:rsidR="00C342E2">
          <w:rPr>
            <w:rStyle w:val="Hyperlink"/>
            <w:rFonts w:eastAsiaTheme="majorEastAsia"/>
            <w:i/>
            <w:noProof/>
            <w:webHidden/>
            <w:color w:val="31849B" w:themeColor="accent5" w:themeShade="BF"/>
            <w:sz w:val="20"/>
            <w:szCs w:val="22"/>
            <w:lang w:val="sq-AL"/>
          </w:rPr>
          <w:t>27</w:t>
        </w:r>
        <w:r w:rsidR="00315385" w:rsidRPr="00315385">
          <w:rPr>
            <w:rStyle w:val="Hyperlink"/>
            <w:rFonts w:eastAsiaTheme="majorEastAsia"/>
            <w:i/>
            <w:noProof/>
            <w:webHidden/>
            <w:color w:val="31849B" w:themeColor="accent5" w:themeShade="BF"/>
            <w:sz w:val="20"/>
            <w:szCs w:val="22"/>
            <w:lang w:val="sq-AL"/>
          </w:rPr>
          <w:fldChar w:fldCharType="end"/>
        </w:r>
      </w:hyperlink>
    </w:p>
    <w:p w:rsidR="00315385" w:rsidRPr="00315385" w:rsidRDefault="00555461">
      <w:pPr>
        <w:pStyle w:val="TableofFigures"/>
        <w:tabs>
          <w:tab w:val="right" w:leader="dot" w:pos="9623"/>
        </w:tabs>
        <w:rPr>
          <w:rStyle w:val="Hyperlink"/>
          <w:rFonts w:eastAsiaTheme="majorEastAsia"/>
          <w:i/>
          <w:noProof/>
          <w:color w:val="31849B" w:themeColor="accent5" w:themeShade="BF"/>
          <w:sz w:val="20"/>
          <w:lang w:val="sq-AL"/>
        </w:rPr>
      </w:pPr>
      <w:hyperlink w:anchor="_Toc44404412" w:history="1">
        <w:r w:rsidR="00315385" w:rsidRPr="00315385">
          <w:rPr>
            <w:rStyle w:val="Hyperlink"/>
            <w:rFonts w:eastAsiaTheme="majorEastAsia"/>
            <w:i/>
            <w:noProof/>
            <w:color w:val="31849B" w:themeColor="accent5" w:themeShade="BF"/>
            <w:sz w:val="20"/>
            <w:szCs w:val="22"/>
            <w:lang w:val="sq-AL"/>
          </w:rPr>
          <w:t>Tabela 11: Huamarrja shtetërore nga burime të brendshme në terma bruto&amp;neto (Janar-Mars 2020)</w:t>
        </w:r>
        <w:r w:rsidR="00315385" w:rsidRPr="00315385">
          <w:rPr>
            <w:rStyle w:val="Hyperlink"/>
            <w:rFonts w:eastAsiaTheme="majorEastAsia"/>
            <w:i/>
            <w:noProof/>
            <w:webHidden/>
            <w:color w:val="31849B" w:themeColor="accent5" w:themeShade="BF"/>
            <w:sz w:val="20"/>
            <w:szCs w:val="22"/>
            <w:lang w:val="sq-AL"/>
          </w:rPr>
          <w:tab/>
        </w:r>
        <w:r w:rsidR="00315385" w:rsidRPr="00315385">
          <w:rPr>
            <w:rStyle w:val="Hyperlink"/>
            <w:rFonts w:eastAsiaTheme="majorEastAsia"/>
            <w:i/>
            <w:noProof/>
            <w:webHidden/>
            <w:color w:val="31849B" w:themeColor="accent5" w:themeShade="BF"/>
            <w:sz w:val="20"/>
            <w:szCs w:val="22"/>
            <w:lang w:val="sq-AL"/>
          </w:rPr>
          <w:fldChar w:fldCharType="begin"/>
        </w:r>
        <w:r w:rsidR="00315385" w:rsidRPr="00315385">
          <w:rPr>
            <w:rStyle w:val="Hyperlink"/>
            <w:rFonts w:eastAsiaTheme="majorEastAsia"/>
            <w:i/>
            <w:noProof/>
            <w:webHidden/>
            <w:color w:val="31849B" w:themeColor="accent5" w:themeShade="BF"/>
            <w:sz w:val="20"/>
            <w:szCs w:val="22"/>
            <w:lang w:val="sq-AL"/>
          </w:rPr>
          <w:instrText xml:space="preserve"> PAGEREF _Toc44404412 \h </w:instrText>
        </w:r>
        <w:r w:rsidR="00315385" w:rsidRPr="00315385">
          <w:rPr>
            <w:rStyle w:val="Hyperlink"/>
            <w:rFonts w:eastAsiaTheme="majorEastAsia"/>
            <w:i/>
            <w:noProof/>
            <w:webHidden/>
            <w:color w:val="31849B" w:themeColor="accent5" w:themeShade="BF"/>
            <w:sz w:val="20"/>
            <w:szCs w:val="22"/>
            <w:lang w:val="sq-AL"/>
          </w:rPr>
        </w:r>
        <w:r w:rsidR="00315385" w:rsidRPr="00315385">
          <w:rPr>
            <w:rStyle w:val="Hyperlink"/>
            <w:rFonts w:eastAsiaTheme="majorEastAsia"/>
            <w:i/>
            <w:noProof/>
            <w:webHidden/>
            <w:color w:val="31849B" w:themeColor="accent5" w:themeShade="BF"/>
            <w:sz w:val="20"/>
            <w:szCs w:val="22"/>
            <w:lang w:val="sq-AL"/>
          </w:rPr>
          <w:fldChar w:fldCharType="separate"/>
        </w:r>
        <w:r w:rsidR="00C342E2">
          <w:rPr>
            <w:rStyle w:val="Hyperlink"/>
            <w:rFonts w:eastAsiaTheme="majorEastAsia"/>
            <w:i/>
            <w:noProof/>
            <w:webHidden/>
            <w:color w:val="31849B" w:themeColor="accent5" w:themeShade="BF"/>
            <w:sz w:val="20"/>
            <w:szCs w:val="22"/>
            <w:lang w:val="sq-AL"/>
          </w:rPr>
          <w:t>34</w:t>
        </w:r>
        <w:r w:rsidR="00315385" w:rsidRPr="00315385">
          <w:rPr>
            <w:rStyle w:val="Hyperlink"/>
            <w:rFonts w:eastAsiaTheme="majorEastAsia"/>
            <w:i/>
            <w:noProof/>
            <w:webHidden/>
            <w:color w:val="31849B" w:themeColor="accent5" w:themeShade="BF"/>
            <w:sz w:val="20"/>
            <w:szCs w:val="22"/>
            <w:lang w:val="sq-AL"/>
          </w:rPr>
          <w:fldChar w:fldCharType="end"/>
        </w:r>
      </w:hyperlink>
    </w:p>
    <w:p w:rsidR="00315385" w:rsidRPr="00315385" w:rsidRDefault="00555461">
      <w:pPr>
        <w:pStyle w:val="TableofFigures"/>
        <w:tabs>
          <w:tab w:val="right" w:leader="dot" w:pos="9623"/>
        </w:tabs>
        <w:rPr>
          <w:rStyle w:val="Hyperlink"/>
          <w:rFonts w:eastAsiaTheme="majorEastAsia"/>
          <w:i/>
          <w:noProof/>
          <w:color w:val="31849B" w:themeColor="accent5" w:themeShade="BF"/>
          <w:sz w:val="20"/>
          <w:lang w:val="sq-AL"/>
        </w:rPr>
      </w:pPr>
      <w:hyperlink w:anchor="_Toc44404413" w:history="1">
        <w:r w:rsidR="00315385" w:rsidRPr="00315385">
          <w:rPr>
            <w:rStyle w:val="Hyperlink"/>
            <w:rFonts w:eastAsiaTheme="majorEastAsia"/>
            <w:i/>
            <w:noProof/>
            <w:color w:val="31849B" w:themeColor="accent5" w:themeShade="BF"/>
            <w:sz w:val="20"/>
            <w:szCs w:val="22"/>
            <w:lang w:val="sq-AL"/>
          </w:rPr>
          <w:t>Tabela 12: Huamarrja e huaj në terma bruto (TM. I 2019-TM. I 2020)</w:t>
        </w:r>
        <w:r w:rsidR="00315385" w:rsidRPr="00315385">
          <w:rPr>
            <w:rStyle w:val="Hyperlink"/>
            <w:rFonts w:eastAsiaTheme="majorEastAsia"/>
            <w:i/>
            <w:noProof/>
            <w:webHidden/>
            <w:color w:val="31849B" w:themeColor="accent5" w:themeShade="BF"/>
            <w:sz w:val="20"/>
            <w:szCs w:val="22"/>
            <w:lang w:val="sq-AL"/>
          </w:rPr>
          <w:tab/>
        </w:r>
        <w:r w:rsidR="00315385" w:rsidRPr="00315385">
          <w:rPr>
            <w:rStyle w:val="Hyperlink"/>
            <w:rFonts w:eastAsiaTheme="majorEastAsia"/>
            <w:i/>
            <w:noProof/>
            <w:webHidden/>
            <w:color w:val="31849B" w:themeColor="accent5" w:themeShade="BF"/>
            <w:sz w:val="20"/>
            <w:szCs w:val="22"/>
            <w:lang w:val="sq-AL"/>
          </w:rPr>
          <w:fldChar w:fldCharType="begin"/>
        </w:r>
        <w:r w:rsidR="00315385" w:rsidRPr="00315385">
          <w:rPr>
            <w:rStyle w:val="Hyperlink"/>
            <w:rFonts w:eastAsiaTheme="majorEastAsia"/>
            <w:i/>
            <w:noProof/>
            <w:webHidden/>
            <w:color w:val="31849B" w:themeColor="accent5" w:themeShade="BF"/>
            <w:sz w:val="20"/>
            <w:szCs w:val="22"/>
            <w:lang w:val="sq-AL"/>
          </w:rPr>
          <w:instrText xml:space="preserve"> PAGEREF _Toc44404413 \h </w:instrText>
        </w:r>
        <w:r w:rsidR="00315385" w:rsidRPr="00315385">
          <w:rPr>
            <w:rStyle w:val="Hyperlink"/>
            <w:rFonts w:eastAsiaTheme="majorEastAsia"/>
            <w:i/>
            <w:noProof/>
            <w:webHidden/>
            <w:color w:val="31849B" w:themeColor="accent5" w:themeShade="BF"/>
            <w:sz w:val="20"/>
            <w:szCs w:val="22"/>
            <w:lang w:val="sq-AL"/>
          </w:rPr>
        </w:r>
        <w:r w:rsidR="00315385" w:rsidRPr="00315385">
          <w:rPr>
            <w:rStyle w:val="Hyperlink"/>
            <w:rFonts w:eastAsiaTheme="majorEastAsia"/>
            <w:i/>
            <w:noProof/>
            <w:webHidden/>
            <w:color w:val="31849B" w:themeColor="accent5" w:themeShade="BF"/>
            <w:sz w:val="20"/>
            <w:szCs w:val="22"/>
            <w:lang w:val="sq-AL"/>
          </w:rPr>
          <w:fldChar w:fldCharType="separate"/>
        </w:r>
        <w:r w:rsidR="00C342E2">
          <w:rPr>
            <w:rStyle w:val="Hyperlink"/>
            <w:rFonts w:eastAsiaTheme="majorEastAsia"/>
            <w:i/>
            <w:noProof/>
            <w:webHidden/>
            <w:color w:val="31849B" w:themeColor="accent5" w:themeShade="BF"/>
            <w:sz w:val="20"/>
            <w:szCs w:val="22"/>
            <w:lang w:val="sq-AL"/>
          </w:rPr>
          <w:t>35</w:t>
        </w:r>
        <w:r w:rsidR="00315385" w:rsidRPr="00315385">
          <w:rPr>
            <w:rStyle w:val="Hyperlink"/>
            <w:rFonts w:eastAsiaTheme="majorEastAsia"/>
            <w:i/>
            <w:noProof/>
            <w:webHidden/>
            <w:color w:val="31849B" w:themeColor="accent5" w:themeShade="BF"/>
            <w:sz w:val="20"/>
            <w:szCs w:val="22"/>
            <w:lang w:val="sq-AL"/>
          </w:rPr>
          <w:fldChar w:fldCharType="end"/>
        </w:r>
      </w:hyperlink>
    </w:p>
    <w:p w:rsidR="00315385" w:rsidRPr="00315385" w:rsidRDefault="00555461">
      <w:pPr>
        <w:pStyle w:val="TableofFigures"/>
        <w:tabs>
          <w:tab w:val="right" w:leader="dot" w:pos="9623"/>
        </w:tabs>
        <w:rPr>
          <w:rStyle w:val="Hyperlink"/>
          <w:rFonts w:eastAsiaTheme="majorEastAsia"/>
          <w:i/>
          <w:noProof/>
          <w:color w:val="31849B" w:themeColor="accent5" w:themeShade="BF"/>
          <w:sz w:val="20"/>
          <w:lang w:val="sq-AL"/>
        </w:rPr>
      </w:pPr>
      <w:hyperlink w:anchor="_Toc44404414" w:history="1">
        <w:r w:rsidR="00315385" w:rsidRPr="00315385">
          <w:rPr>
            <w:rStyle w:val="Hyperlink"/>
            <w:rFonts w:eastAsiaTheme="majorEastAsia"/>
            <w:i/>
            <w:noProof/>
            <w:color w:val="31849B" w:themeColor="accent5" w:themeShade="BF"/>
            <w:sz w:val="20"/>
            <w:szCs w:val="22"/>
            <w:lang w:val="sq-AL"/>
          </w:rPr>
          <w:t>Tabela 13: Treguesit e riskut të borxhit të brendshëm shtetëror (2018–Maj 2020)</w:t>
        </w:r>
        <w:r w:rsidR="00315385" w:rsidRPr="00315385">
          <w:rPr>
            <w:rStyle w:val="Hyperlink"/>
            <w:rFonts w:eastAsiaTheme="majorEastAsia"/>
            <w:i/>
            <w:noProof/>
            <w:webHidden/>
            <w:color w:val="31849B" w:themeColor="accent5" w:themeShade="BF"/>
            <w:sz w:val="20"/>
            <w:szCs w:val="22"/>
            <w:lang w:val="sq-AL"/>
          </w:rPr>
          <w:tab/>
        </w:r>
        <w:r w:rsidR="00315385" w:rsidRPr="00315385">
          <w:rPr>
            <w:rStyle w:val="Hyperlink"/>
            <w:rFonts w:eastAsiaTheme="majorEastAsia"/>
            <w:i/>
            <w:noProof/>
            <w:webHidden/>
            <w:color w:val="31849B" w:themeColor="accent5" w:themeShade="BF"/>
            <w:sz w:val="20"/>
            <w:szCs w:val="22"/>
            <w:lang w:val="sq-AL"/>
          </w:rPr>
          <w:fldChar w:fldCharType="begin"/>
        </w:r>
        <w:r w:rsidR="00315385" w:rsidRPr="00315385">
          <w:rPr>
            <w:rStyle w:val="Hyperlink"/>
            <w:rFonts w:eastAsiaTheme="majorEastAsia"/>
            <w:i/>
            <w:noProof/>
            <w:webHidden/>
            <w:color w:val="31849B" w:themeColor="accent5" w:themeShade="BF"/>
            <w:sz w:val="20"/>
            <w:szCs w:val="22"/>
            <w:lang w:val="sq-AL"/>
          </w:rPr>
          <w:instrText xml:space="preserve"> PAGEREF _Toc44404414 \h </w:instrText>
        </w:r>
        <w:r w:rsidR="00315385" w:rsidRPr="00315385">
          <w:rPr>
            <w:rStyle w:val="Hyperlink"/>
            <w:rFonts w:eastAsiaTheme="majorEastAsia"/>
            <w:i/>
            <w:noProof/>
            <w:webHidden/>
            <w:color w:val="31849B" w:themeColor="accent5" w:themeShade="BF"/>
            <w:sz w:val="20"/>
            <w:szCs w:val="22"/>
            <w:lang w:val="sq-AL"/>
          </w:rPr>
        </w:r>
        <w:r w:rsidR="00315385" w:rsidRPr="00315385">
          <w:rPr>
            <w:rStyle w:val="Hyperlink"/>
            <w:rFonts w:eastAsiaTheme="majorEastAsia"/>
            <w:i/>
            <w:noProof/>
            <w:webHidden/>
            <w:color w:val="31849B" w:themeColor="accent5" w:themeShade="BF"/>
            <w:sz w:val="20"/>
            <w:szCs w:val="22"/>
            <w:lang w:val="sq-AL"/>
          </w:rPr>
          <w:fldChar w:fldCharType="separate"/>
        </w:r>
        <w:r w:rsidR="00C342E2">
          <w:rPr>
            <w:rStyle w:val="Hyperlink"/>
            <w:rFonts w:eastAsiaTheme="majorEastAsia"/>
            <w:i/>
            <w:noProof/>
            <w:webHidden/>
            <w:color w:val="31849B" w:themeColor="accent5" w:themeShade="BF"/>
            <w:sz w:val="20"/>
            <w:szCs w:val="22"/>
            <w:lang w:val="sq-AL"/>
          </w:rPr>
          <w:t>36</w:t>
        </w:r>
        <w:r w:rsidR="00315385" w:rsidRPr="00315385">
          <w:rPr>
            <w:rStyle w:val="Hyperlink"/>
            <w:rFonts w:eastAsiaTheme="majorEastAsia"/>
            <w:i/>
            <w:noProof/>
            <w:webHidden/>
            <w:color w:val="31849B" w:themeColor="accent5" w:themeShade="BF"/>
            <w:sz w:val="20"/>
            <w:szCs w:val="22"/>
            <w:lang w:val="sq-AL"/>
          </w:rPr>
          <w:fldChar w:fldCharType="end"/>
        </w:r>
      </w:hyperlink>
    </w:p>
    <w:p w:rsidR="00315385" w:rsidRPr="00315385" w:rsidRDefault="00555461">
      <w:pPr>
        <w:pStyle w:val="TableofFigures"/>
        <w:tabs>
          <w:tab w:val="right" w:leader="dot" w:pos="9623"/>
        </w:tabs>
        <w:rPr>
          <w:rStyle w:val="Hyperlink"/>
          <w:rFonts w:eastAsiaTheme="majorEastAsia"/>
          <w:i/>
          <w:noProof/>
          <w:color w:val="31849B" w:themeColor="accent5" w:themeShade="BF"/>
          <w:sz w:val="20"/>
          <w:lang w:val="sq-AL"/>
        </w:rPr>
      </w:pPr>
      <w:hyperlink w:anchor="_Toc44404415" w:history="1">
        <w:r w:rsidR="00315385" w:rsidRPr="00315385">
          <w:rPr>
            <w:rStyle w:val="Hyperlink"/>
            <w:rFonts w:eastAsiaTheme="majorEastAsia"/>
            <w:i/>
            <w:noProof/>
            <w:color w:val="31849B" w:themeColor="accent5" w:themeShade="BF"/>
            <w:sz w:val="20"/>
            <w:szCs w:val="22"/>
            <w:lang w:val="sq-AL"/>
          </w:rPr>
          <w:t>Tabela 14 Matrica e riskut</w:t>
        </w:r>
        <w:r w:rsidR="00315385" w:rsidRPr="00315385">
          <w:rPr>
            <w:rStyle w:val="Hyperlink"/>
            <w:rFonts w:eastAsiaTheme="majorEastAsia"/>
            <w:i/>
            <w:noProof/>
            <w:webHidden/>
            <w:color w:val="31849B" w:themeColor="accent5" w:themeShade="BF"/>
            <w:sz w:val="20"/>
            <w:szCs w:val="22"/>
            <w:lang w:val="sq-AL"/>
          </w:rPr>
          <w:tab/>
        </w:r>
        <w:r w:rsidR="00315385" w:rsidRPr="00315385">
          <w:rPr>
            <w:rStyle w:val="Hyperlink"/>
            <w:rFonts w:eastAsiaTheme="majorEastAsia"/>
            <w:i/>
            <w:noProof/>
            <w:webHidden/>
            <w:color w:val="31849B" w:themeColor="accent5" w:themeShade="BF"/>
            <w:sz w:val="20"/>
            <w:szCs w:val="22"/>
            <w:lang w:val="sq-AL"/>
          </w:rPr>
          <w:fldChar w:fldCharType="begin"/>
        </w:r>
        <w:r w:rsidR="00315385" w:rsidRPr="00315385">
          <w:rPr>
            <w:rStyle w:val="Hyperlink"/>
            <w:rFonts w:eastAsiaTheme="majorEastAsia"/>
            <w:i/>
            <w:noProof/>
            <w:webHidden/>
            <w:color w:val="31849B" w:themeColor="accent5" w:themeShade="BF"/>
            <w:sz w:val="20"/>
            <w:szCs w:val="22"/>
            <w:lang w:val="sq-AL"/>
          </w:rPr>
          <w:instrText xml:space="preserve"> PAGEREF _Toc44404415 \h </w:instrText>
        </w:r>
        <w:r w:rsidR="00315385" w:rsidRPr="00315385">
          <w:rPr>
            <w:rStyle w:val="Hyperlink"/>
            <w:rFonts w:eastAsiaTheme="majorEastAsia"/>
            <w:i/>
            <w:noProof/>
            <w:webHidden/>
            <w:color w:val="31849B" w:themeColor="accent5" w:themeShade="BF"/>
            <w:sz w:val="20"/>
            <w:szCs w:val="22"/>
            <w:lang w:val="sq-AL"/>
          </w:rPr>
        </w:r>
        <w:r w:rsidR="00315385" w:rsidRPr="00315385">
          <w:rPr>
            <w:rStyle w:val="Hyperlink"/>
            <w:rFonts w:eastAsiaTheme="majorEastAsia"/>
            <w:i/>
            <w:noProof/>
            <w:webHidden/>
            <w:color w:val="31849B" w:themeColor="accent5" w:themeShade="BF"/>
            <w:sz w:val="20"/>
            <w:szCs w:val="22"/>
            <w:lang w:val="sq-AL"/>
          </w:rPr>
          <w:fldChar w:fldCharType="separate"/>
        </w:r>
        <w:r w:rsidR="00C342E2">
          <w:rPr>
            <w:rStyle w:val="Hyperlink"/>
            <w:rFonts w:eastAsiaTheme="majorEastAsia"/>
            <w:i/>
            <w:noProof/>
            <w:webHidden/>
            <w:color w:val="31849B" w:themeColor="accent5" w:themeShade="BF"/>
            <w:sz w:val="20"/>
            <w:szCs w:val="22"/>
            <w:lang w:val="sq-AL"/>
          </w:rPr>
          <w:t>38</w:t>
        </w:r>
        <w:r w:rsidR="00315385" w:rsidRPr="00315385">
          <w:rPr>
            <w:rStyle w:val="Hyperlink"/>
            <w:rFonts w:eastAsiaTheme="majorEastAsia"/>
            <w:i/>
            <w:noProof/>
            <w:webHidden/>
            <w:color w:val="31849B" w:themeColor="accent5" w:themeShade="BF"/>
            <w:sz w:val="20"/>
            <w:szCs w:val="22"/>
            <w:lang w:val="sq-AL"/>
          </w:rPr>
          <w:fldChar w:fldCharType="end"/>
        </w:r>
      </w:hyperlink>
    </w:p>
    <w:p w:rsidR="00315385" w:rsidRPr="00315385" w:rsidRDefault="00555461">
      <w:pPr>
        <w:pStyle w:val="TableofFigures"/>
        <w:tabs>
          <w:tab w:val="right" w:leader="dot" w:pos="9623"/>
        </w:tabs>
        <w:rPr>
          <w:rStyle w:val="Hyperlink"/>
          <w:rFonts w:eastAsiaTheme="majorEastAsia"/>
          <w:i/>
          <w:noProof/>
          <w:color w:val="31849B" w:themeColor="accent5" w:themeShade="BF"/>
          <w:sz w:val="20"/>
          <w:lang w:val="sq-AL"/>
        </w:rPr>
      </w:pPr>
      <w:hyperlink w:anchor="_Toc44404416" w:history="1">
        <w:r w:rsidR="00315385" w:rsidRPr="00315385">
          <w:rPr>
            <w:rStyle w:val="Hyperlink"/>
            <w:rFonts w:eastAsiaTheme="majorEastAsia"/>
            <w:i/>
            <w:noProof/>
            <w:color w:val="31849B" w:themeColor="accent5" w:themeShade="BF"/>
            <w:sz w:val="20"/>
            <w:szCs w:val="22"/>
            <w:lang w:val="sq-AL"/>
          </w:rPr>
          <w:t>Tabela 15: Të dhënat financiare për Sektorin Energjitik (në mijë Lekë)</w:t>
        </w:r>
        <w:r w:rsidR="00315385" w:rsidRPr="00315385">
          <w:rPr>
            <w:rStyle w:val="Hyperlink"/>
            <w:rFonts w:eastAsiaTheme="majorEastAsia"/>
            <w:i/>
            <w:noProof/>
            <w:webHidden/>
            <w:color w:val="31849B" w:themeColor="accent5" w:themeShade="BF"/>
            <w:sz w:val="20"/>
            <w:szCs w:val="22"/>
            <w:lang w:val="sq-AL"/>
          </w:rPr>
          <w:tab/>
        </w:r>
        <w:r w:rsidR="00315385" w:rsidRPr="00315385">
          <w:rPr>
            <w:rStyle w:val="Hyperlink"/>
            <w:rFonts w:eastAsiaTheme="majorEastAsia"/>
            <w:i/>
            <w:noProof/>
            <w:webHidden/>
            <w:color w:val="31849B" w:themeColor="accent5" w:themeShade="BF"/>
            <w:sz w:val="20"/>
            <w:szCs w:val="22"/>
            <w:lang w:val="sq-AL"/>
          </w:rPr>
          <w:fldChar w:fldCharType="begin"/>
        </w:r>
        <w:r w:rsidR="00315385" w:rsidRPr="00315385">
          <w:rPr>
            <w:rStyle w:val="Hyperlink"/>
            <w:rFonts w:eastAsiaTheme="majorEastAsia"/>
            <w:i/>
            <w:noProof/>
            <w:webHidden/>
            <w:color w:val="31849B" w:themeColor="accent5" w:themeShade="BF"/>
            <w:sz w:val="20"/>
            <w:szCs w:val="22"/>
            <w:lang w:val="sq-AL"/>
          </w:rPr>
          <w:instrText xml:space="preserve"> PAGEREF _Toc44404416 \h </w:instrText>
        </w:r>
        <w:r w:rsidR="00315385" w:rsidRPr="00315385">
          <w:rPr>
            <w:rStyle w:val="Hyperlink"/>
            <w:rFonts w:eastAsiaTheme="majorEastAsia"/>
            <w:i/>
            <w:noProof/>
            <w:webHidden/>
            <w:color w:val="31849B" w:themeColor="accent5" w:themeShade="BF"/>
            <w:sz w:val="20"/>
            <w:szCs w:val="22"/>
            <w:lang w:val="sq-AL"/>
          </w:rPr>
        </w:r>
        <w:r w:rsidR="00315385" w:rsidRPr="00315385">
          <w:rPr>
            <w:rStyle w:val="Hyperlink"/>
            <w:rFonts w:eastAsiaTheme="majorEastAsia"/>
            <w:i/>
            <w:noProof/>
            <w:webHidden/>
            <w:color w:val="31849B" w:themeColor="accent5" w:themeShade="BF"/>
            <w:sz w:val="20"/>
            <w:szCs w:val="22"/>
            <w:lang w:val="sq-AL"/>
          </w:rPr>
          <w:fldChar w:fldCharType="separate"/>
        </w:r>
        <w:r w:rsidR="00C342E2">
          <w:rPr>
            <w:rStyle w:val="Hyperlink"/>
            <w:rFonts w:eastAsiaTheme="majorEastAsia"/>
            <w:i/>
            <w:noProof/>
            <w:webHidden/>
            <w:color w:val="31849B" w:themeColor="accent5" w:themeShade="BF"/>
            <w:sz w:val="20"/>
            <w:szCs w:val="22"/>
            <w:lang w:val="sq-AL"/>
          </w:rPr>
          <w:t>39</w:t>
        </w:r>
        <w:r w:rsidR="00315385" w:rsidRPr="00315385">
          <w:rPr>
            <w:rStyle w:val="Hyperlink"/>
            <w:rFonts w:eastAsiaTheme="majorEastAsia"/>
            <w:i/>
            <w:noProof/>
            <w:webHidden/>
            <w:color w:val="31849B" w:themeColor="accent5" w:themeShade="BF"/>
            <w:sz w:val="20"/>
            <w:szCs w:val="22"/>
            <w:lang w:val="sq-AL"/>
          </w:rPr>
          <w:fldChar w:fldCharType="end"/>
        </w:r>
      </w:hyperlink>
    </w:p>
    <w:p w:rsidR="00315385" w:rsidRPr="00315385" w:rsidRDefault="00555461">
      <w:pPr>
        <w:pStyle w:val="TableofFigures"/>
        <w:tabs>
          <w:tab w:val="right" w:leader="dot" w:pos="9623"/>
        </w:tabs>
        <w:rPr>
          <w:rStyle w:val="Hyperlink"/>
          <w:rFonts w:eastAsiaTheme="majorEastAsia"/>
          <w:i/>
          <w:noProof/>
          <w:color w:val="31849B" w:themeColor="accent5" w:themeShade="BF"/>
          <w:sz w:val="20"/>
          <w:lang w:val="sq-AL"/>
        </w:rPr>
      </w:pPr>
      <w:hyperlink w:anchor="_Toc44404417" w:history="1">
        <w:r w:rsidR="00315385" w:rsidRPr="00315385">
          <w:rPr>
            <w:rStyle w:val="Hyperlink"/>
            <w:rFonts w:eastAsiaTheme="majorEastAsia"/>
            <w:i/>
            <w:noProof/>
            <w:color w:val="31849B" w:themeColor="accent5" w:themeShade="BF"/>
            <w:sz w:val="20"/>
            <w:szCs w:val="22"/>
            <w:lang w:val="sq-AL"/>
          </w:rPr>
          <w:t>Tabela 16: Detyrimet e prapambetura të njësive të qeverisjes qëndrore deri në Mars 2020.</w:t>
        </w:r>
        <w:r w:rsidR="00315385" w:rsidRPr="00315385">
          <w:rPr>
            <w:rStyle w:val="Hyperlink"/>
            <w:rFonts w:eastAsiaTheme="majorEastAsia"/>
            <w:i/>
            <w:noProof/>
            <w:webHidden/>
            <w:color w:val="31849B" w:themeColor="accent5" w:themeShade="BF"/>
            <w:sz w:val="20"/>
            <w:szCs w:val="22"/>
            <w:lang w:val="sq-AL"/>
          </w:rPr>
          <w:tab/>
        </w:r>
        <w:r w:rsidR="00315385" w:rsidRPr="00315385">
          <w:rPr>
            <w:rStyle w:val="Hyperlink"/>
            <w:rFonts w:eastAsiaTheme="majorEastAsia"/>
            <w:i/>
            <w:noProof/>
            <w:webHidden/>
            <w:color w:val="31849B" w:themeColor="accent5" w:themeShade="BF"/>
            <w:sz w:val="20"/>
            <w:szCs w:val="22"/>
            <w:lang w:val="sq-AL"/>
          </w:rPr>
          <w:fldChar w:fldCharType="begin"/>
        </w:r>
        <w:r w:rsidR="00315385" w:rsidRPr="00315385">
          <w:rPr>
            <w:rStyle w:val="Hyperlink"/>
            <w:rFonts w:eastAsiaTheme="majorEastAsia"/>
            <w:i/>
            <w:noProof/>
            <w:webHidden/>
            <w:color w:val="31849B" w:themeColor="accent5" w:themeShade="BF"/>
            <w:sz w:val="20"/>
            <w:szCs w:val="22"/>
            <w:lang w:val="sq-AL"/>
          </w:rPr>
          <w:instrText xml:space="preserve"> PAGEREF _Toc44404417 \h </w:instrText>
        </w:r>
        <w:r w:rsidR="00315385" w:rsidRPr="00315385">
          <w:rPr>
            <w:rStyle w:val="Hyperlink"/>
            <w:rFonts w:eastAsiaTheme="majorEastAsia"/>
            <w:i/>
            <w:noProof/>
            <w:webHidden/>
            <w:color w:val="31849B" w:themeColor="accent5" w:themeShade="BF"/>
            <w:sz w:val="20"/>
            <w:szCs w:val="22"/>
            <w:lang w:val="sq-AL"/>
          </w:rPr>
        </w:r>
        <w:r w:rsidR="00315385" w:rsidRPr="00315385">
          <w:rPr>
            <w:rStyle w:val="Hyperlink"/>
            <w:rFonts w:eastAsiaTheme="majorEastAsia"/>
            <w:i/>
            <w:noProof/>
            <w:webHidden/>
            <w:color w:val="31849B" w:themeColor="accent5" w:themeShade="BF"/>
            <w:sz w:val="20"/>
            <w:szCs w:val="22"/>
            <w:lang w:val="sq-AL"/>
          </w:rPr>
          <w:fldChar w:fldCharType="separate"/>
        </w:r>
        <w:r w:rsidR="00C342E2">
          <w:rPr>
            <w:rStyle w:val="Hyperlink"/>
            <w:rFonts w:eastAsiaTheme="majorEastAsia"/>
            <w:i/>
            <w:noProof/>
            <w:webHidden/>
            <w:color w:val="31849B" w:themeColor="accent5" w:themeShade="BF"/>
            <w:sz w:val="20"/>
            <w:szCs w:val="22"/>
            <w:lang w:val="sq-AL"/>
          </w:rPr>
          <w:t>41</w:t>
        </w:r>
        <w:r w:rsidR="00315385" w:rsidRPr="00315385">
          <w:rPr>
            <w:rStyle w:val="Hyperlink"/>
            <w:rFonts w:eastAsiaTheme="majorEastAsia"/>
            <w:i/>
            <w:noProof/>
            <w:webHidden/>
            <w:color w:val="31849B" w:themeColor="accent5" w:themeShade="BF"/>
            <w:sz w:val="20"/>
            <w:szCs w:val="22"/>
            <w:lang w:val="sq-AL"/>
          </w:rPr>
          <w:fldChar w:fldCharType="end"/>
        </w:r>
      </w:hyperlink>
    </w:p>
    <w:p w:rsidR="00315385" w:rsidRPr="00315385" w:rsidRDefault="00555461">
      <w:pPr>
        <w:pStyle w:val="TableofFigures"/>
        <w:tabs>
          <w:tab w:val="right" w:leader="dot" w:pos="9623"/>
        </w:tabs>
        <w:rPr>
          <w:rStyle w:val="Hyperlink"/>
          <w:rFonts w:eastAsiaTheme="majorEastAsia"/>
          <w:i/>
          <w:noProof/>
          <w:color w:val="31849B" w:themeColor="accent5" w:themeShade="BF"/>
          <w:sz w:val="20"/>
          <w:lang w:val="sq-AL"/>
        </w:rPr>
      </w:pPr>
      <w:hyperlink w:anchor="_Toc44404418" w:history="1">
        <w:r w:rsidR="00315385" w:rsidRPr="00315385">
          <w:rPr>
            <w:rStyle w:val="Hyperlink"/>
            <w:rFonts w:eastAsiaTheme="majorEastAsia"/>
            <w:i/>
            <w:noProof/>
            <w:color w:val="31849B" w:themeColor="accent5" w:themeShade="BF"/>
            <w:sz w:val="20"/>
            <w:szCs w:val="22"/>
            <w:lang w:val="sq-AL"/>
          </w:rPr>
          <w:t>Tabela 17: Detyrimet e prapambetura të MIE, sipas zërave kryesorë (në milionë Lekë)</w:t>
        </w:r>
        <w:r w:rsidR="00315385" w:rsidRPr="00315385">
          <w:rPr>
            <w:rStyle w:val="Hyperlink"/>
            <w:rFonts w:eastAsiaTheme="majorEastAsia"/>
            <w:i/>
            <w:noProof/>
            <w:webHidden/>
            <w:color w:val="31849B" w:themeColor="accent5" w:themeShade="BF"/>
            <w:sz w:val="20"/>
            <w:szCs w:val="22"/>
            <w:lang w:val="sq-AL"/>
          </w:rPr>
          <w:tab/>
        </w:r>
        <w:r w:rsidR="00315385" w:rsidRPr="00315385">
          <w:rPr>
            <w:rStyle w:val="Hyperlink"/>
            <w:rFonts w:eastAsiaTheme="majorEastAsia"/>
            <w:i/>
            <w:noProof/>
            <w:webHidden/>
            <w:color w:val="31849B" w:themeColor="accent5" w:themeShade="BF"/>
            <w:sz w:val="20"/>
            <w:szCs w:val="22"/>
            <w:lang w:val="sq-AL"/>
          </w:rPr>
          <w:fldChar w:fldCharType="begin"/>
        </w:r>
        <w:r w:rsidR="00315385" w:rsidRPr="00315385">
          <w:rPr>
            <w:rStyle w:val="Hyperlink"/>
            <w:rFonts w:eastAsiaTheme="majorEastAsia"/>
            <w:i/>
            <w:noProof/>
            <w:webHidden/>
            <w:color w:val="31849B" w:themeColor="accent5" w:themeShade="BF"/>
            <w:sz w:val="20"/>
            <w:szCs w:val="22"/>
            <w:lang w:val="sq-AL"/>
          </w:rPr>
          <w:instrText xml:space="preserve"> PAGEREF _Toc44404418 \h </w:instrText>
        </w:r>
        <w:r w:rsidR="00315385" w:rsidRPr="00315385">
          <w:rPr>
            <w:rStyle w:val="Hyperlink"/>
            <w:rFonts w:eastAsiaTheme="majorEastAsia"/>
            <w:i/>
            <w:noProof/>
            <w:webHidden/>
            <w:color w:val="31849B" w:themeColor="accent5" w:themeShade="BF"/>
            <w:sz w:val="20"/>
            <w:szCs w:val="22"/>
            <w:lang w:val="sq-AL"/>
          </w:rPr>
        </w:r>
        <w:r w:rsidR="00315385" w:rsidRPr="00315385">
          <w:rPr>
            <w:rStyle w:val="Hyperlink"/>
            <w:rFonts w:eastAsiaTheme="majorEastAsia"/>
            <w:i/>
            <w:noProof/>
            <w:webHidden/>
            <w:color w:val="31849B" w:themeColor="accent5" w:themeShade="BF"/>
            <w:sz w:val="20"/>
            <w:szCs w:val="22"/>
            <w:lang w:val="sq-AL"/>
          </w:rPr>
          <w:fldChar w:fldCharType="separate"/>
        </w:r>
        <w:r w:rsidR="00C342E2">
          <w:rPr>
            <w:rStyle w:val="Hyperlink"/>
            <w:rFonts w:eastAsiaTheme="majorEastAsia"/>
            <w:i/>
            <w:noProof/>
            <w:webHidden/>
            <w:color w:val="31849B" w:themeColor="accent5" w:themeShade="BF"/>
            <w:sz w:val="20"/>
            <w:szCs w:val="22"/>
            <w:lang w:val="sq-AL"/>
          </w:rPr>
          <w:t>42</w:t>
        </w:r>
        <w:r w:rsidR="00315385" w:rsidRPr="00315385">
          <w:rPr>
            <w:rStyle w:val="Hyperlink"/>
            <w:rFonts w:eastAsiaTheme="majorEastAsia"/>
            <w:i/>
            <w:noProof/>
            <w:webHidden/>
            <w:color w:val="31849B" w:themeColor="accent5" w:themeShade="BF"/>
            <w:sz w:val="20"/>
            <w:szCs w:val="22"/>
            <w:lang w:val="sq-AL"/>
          </w:rPr>
          <w:fldChar w:fldCharType="end"/>
        </w:r>
      </w:hyperlink>
    </w:p>
    <w:p w:rsidR="00315385" w:rsidRPr="00315385" w:rsidRDefault="00555461">
      <w:pPr>
        <w:pStyle w:val="TableofFigures"/>
        <w:tabs>
          <w:tab w:val="right" w:leader="dot" w:pos="9623"/>
        </w:tabs>
        <w:rPr>
          <w:rStyle w:val="Hyperlink"/>
          <w:rFonts w:eastAsiaTheme="majorEastAsia"/>
          <w:i/>
          <w:noProof/>
          <w:color w:val="31849B" w:themeColor="accent5" w:themeShade="BF"/>
          <w:sz w:val="20"/>
          <w:lang w:val="sq-AL"/>
        </w:rPr>
      </w:pPr>
      <w:hyperlink w:anchor="_Toc44404419" w:history="1">
        <w:r w:rsidR="00315385" w:rsidRPr="00315385">
          <w:rPr>
            <w:rStyle w:val="Hyperlink"/>
            <w:rFonts w:eastAsiaTheme="majorEastAsia"/>
            <w:i/>
            <w:noProof/>
            <w:color w:val="31849B" w:themeColor="accent5" w:themeShade="BF"/>
            <w:sz w:val="20"/>
            <w:szCs w:val="22"/>
            <w:lang w:val="sq-AL"/>
          </w:rPr>
          <w:t>Tabela 18: Koncesionet/PPT-të aktive me mbështetje nga buxheti i shtetit (në mijë lekë)</w:t>
        </w:r>
        <w:r w:rsidR="00315385" w:rsidRPr="00315385">
          <w:rPr>
            <w:rStyle w:val="Hyperlink"/>
            <w:rFonts w:eastAsiaTheme="majorEastAsia"/>
            <w:i/>
            <w:noProof/>
            <w:webHidden/>
            <w:color w:val="31849B" w:themeColor="accent5" w:themeShade="BF"/>
            <w:sz w:val="20"/>
            <w:szCs w:val="22"/>
            <w:lang w:val="sq-AL"/>
          </w:rPr>
          <w:tab/>
        </w:r>
        <w:r w:rsidR="00315385" w:rsidRPr="00315385">
          <w:rPr>
            <w:rStyle w:val="Hyperlink"/>
            <w:rFonts w:eastAsiaTheme="majorEastAsia"/>
            <w:i/>
            <w:noProof/>
            <w:webHidden/>
            <w:color w:val="31849B" w:themeColor="accent5" w:themeShade="BF"/>
            <w:sz w:val="20"/>
            <w:szCs w:val="22"/>
            <w:lang w:val="sq-AL"/>
          </w:rPr>
          <w:fldChar w:fldCharType="begin"/>
        </w:r>
        <w:r w:rsidR="00315385" w:rsidRPr="00315385">
          <w:rPr>
            <w:rStyle w:val="Hyperlink"/>
            <w:rFonts w:eastAsiaTheme="majorEastAsia"/>
            <w:i/>
            <w:noProof/>
            <w:webHidden/>
            <w:color w:val="31849B" w:themeColor="accent5" w:themeShade="BF"/>
            <w:sz w:val="20"/>
            <w:szCs w:val="22"/>
            <w:lang w:val="sq-AL"/>
          </w:rPr>
          <w:instrText xml:space="preserve"> PAGEREF _Toc44404419 \h </w:instrText>
        </w:r>
        <w:r w:rsidR="00315385" w:rsidRPr="00315385">
          <w:rPr>
            <w:rStyle w:val="Hyperlink"/>
            <w:rFonts w:eastAsiaTheme="majorEastAsia"/>
            <w:i/>
            <w:noProof/>
            <w:webHidden/>
            <w:color w:val="31849B" w:themeColor="accent5" w:themeShade="BF"/>
            <w:sz w:val="20"/>
            <w:szCs w:val="22"/>
            <w:lang w:val="sq-AL"/>
          </w:rPr>
        </w:r>
        <w:r w:rsidR="00315385" w:rsidRPr="00315385">
          <w:rPr>
            <w:rStyle w:val="Hyperlink"/>
            <w:rFonts w:eastAsiaTheme="majorEastAsia"/>
            <w:i/>
            <w:noProof/>
            <w:webHidden/>
            <w:color w:val="31849B" w:themeColor="accent5" w:themeShade="BF"/>
            <w:sz w:val="20"/>
            <w:szCs w:val="22"/>
            <w:lang w:val="sq-AL"/>
          </w:rPr>
          <w:fldChar w:fldCharType="separate"/>
        </w:r>
        <w:r w:rsidR="00C342E2">
          <w:rPr>
            <w:rStyle w:val="Hyperlink"/>
            <w:rFonts w:eastAsiaTheme="majorEastAsia"/>
            <w:i/>
            <w:noProof/>
            <w:webHidden/>
            <w:color w:val="31849B" w:themeColor="accent5" w:themeShade="BF"/>
            <w:sz w:val="20"/>
            <w:szCs w:val="22"/>
            <w:lang w:val="sq-AL"/>
          </w:rPr>
          <w:t>45</w:t>
        </w:r>
        <w:r w:rsidR="00315385" w:rsidRPr="00315385">
          <w:rPr>
            <w:rStyle w:val="Hyperlink"/>
            <w:rFonts w:eastAsiaTheme="majorEastAsia"/>
            <w:i/>
            <w:noProof/>
            <w:webHidden/>
            <w:color w:val="31849B" w:themeColor="accent5" w:themeShade="BF"/>
            <w:sz w:val="20"/>
            <w:szCs w:val="22"/>
            <w:lang w:val="sq-AL"/>
          </w:rPr>
          <w:fldChar w:fldCharType="end"/>
        </w:r>
      </w:hyperlink>
    </w:p>
    <w:p w:rsidR="00315385" w:rsidRPr="00315385" w:rsidRDefault="00555461">
      <w:pPr>
        <w:pStyle w:val="TableofFigures"/>
        <w:tabs>
          <w:tab w:val="right" w:leader="dot" w:pos="9623"/>
        </w:tabs>
        <w:rPr>
          <w:rStyle w:val="Hyperlink"/>
          <w:rFonts w:eastAsiaTheme="majorEastAsia"/>
          <w:i/>
          <w:noProof/>
          <w:color w:val="31849B" w:themeColor="accent5" w:themeShade="BF"/>
          <w:sz w:val="20"/>
          <w:lang w:val="sq-AL"/>
        </w:rPr>
      </w:pPr>
      <w:hyperlink w:anchor="_Toc44404420" w:history="1">
        <w:r w:rsidR="00315385" w:rsidRPr="00315385">
          <w:rPr>
            <w:rStyle w:val="Hyperlink"/>
            <w:rFonts w:eastAsiaTheme="majorEastAsia"/>
            <w:i/>
            <w:noProof/>
            <w:color w:val="31849B" w:themeColor="accent5" w:themeShade="BF"/>
            <w:sz w:val="20"/>
            <w:szCs w:val="22"/>
            <w:lang w:val="sq-AL"/>
          </w:rPr>
          <w:t>Tabela 19: Detyrime për vendimet e Arbitrazhit Ndërkombëtar (në EUR)</w:t>
        </w:r>
        <w:r w:rsidR="00315385" w:rsidRPr="00315385">
          <w:rPr>
            <w:rStyle w:val="Hyperlink"/>
            <w:rFonts w:eastAsiaTheme="majorEastAsia"/>
            <w:i/>
            <w:noProof/>
            <w:webHidden/>
            <w:color w:val="31849B" w:themeColor="accent5" w:themeShade="BF"/>
            <w:sz w:val="20"/>
            <w:szCs w:val="22"/>
            <w:lang w:val="sq-AL"/>
          </w:rPr>
          <w:tab/>
        </w:r>
        <w:r w:rsidR="00315385" w:rsidRPr="00315385">
          <w:rPr>
            <w:rStyle w:val="Hyperlink"/>
            <w:rFonts w:eastAsiaTheme="majorEastAsia"/>
            <w:i/>
            <w:noProof/>
            <w:webHidden/>
            <w:color w:val="31849B" w:themeColor="accent5" w:themeShade="BF"/>
            <w:sz w:val="20"/>
            <w:szCs w:val="22"/>
            <w:lang w:val="sq-AL"/>
          </w:rPr>
          <w:fldChar w:fldCharType="begin"/>
        </w:r>
        <w:r w:rsidR="00315385" w:rsidRPr="00315385">
          <w:rPr>
            <w:rStyle w:val="Hyperlink"/>
            <w:rFonts w:eastAsiaTheme="majorEastAsia"/>
            <w:i/>
            <w:noProof/>
            <w:webHidden/>
            <w:color w:val="31849B" w:themeColor="accent5" w:themeShade="BF"/>
            <w:sz w:val="20"/>
            <w:szCs w:val="22"/>
            <w:lang w:val="sq-AL"/>
          </w:rPr>
          <w:instrText xml:space="preserve"> PAGEREF _Toc44404420 \h </w:instrText>
        </w:r>
        <w:r w:rsidR="00315385" w:rsidRPr="00315385">
          <w:rPr>
            <w:rStyle w:val="Hyperlink"/>
            <w:rFonts w:eastAsiaTheme="majorEastAsia"/>
            <w:i/>
            <w:noProof/>
            <w:webHidden/>
            <w:color w:val="31849B" w:themeColor="accent5" w:themeShade="BF"/>
            <w:sz w:val="20"/>
            <w:szCs w:val="22"/>
            <w:lang w:val="sq-AL"/>
          </w:rPr>
        </w:r>
        <w:r w:rsidR="00315385" w:rsidRPr="00315385">
          <w:rPr>
            <w:rStyle w:val="Hyperlink"/>
            <w:rFonts w:eastAsiaTheme="majorEastAsia"/>
            <w:i/>
            <w:noProof/>
            <w:webHidden/>
            <w:color w:val="31849B" w:themeColor="accent5" w:themeShade="BF"/>
            <w:sz w:val="20"/>
            <w:szCs w:val="22"/>
            <w:lang w:val="sq-AL"/>
          </w:rPr>
          <w:fldChar w:fldCharType="separate"/>
        </w:r>
        <w:r w:rsidR="00C342E2">
          <w:rPr>
            <w:rStyle w:val="Hyperlink"/>
            <w:rFonts w:eastAsiaTheme="majorEastAsia"/>
            <w:i/>
            <w:noProof/>
            <w:webHidden/>
            <w:color w:val="31849B" w:themeColor="accent5" w:themeShade="BF"/>
            <w:sz w:val="20"/>
            <w:szCs w:val="22"/>
            <w:lang w:val="sq-AL"/>
          </w:rPr>
          <w:t>46</w:t>
        </w:r>
        <w:r w:rsidR="00315385" w:rsidRPr="00315385">
          <w:rPr>
            <w:rStyle w:val="Hyperlink"/>
            <w:rFonts w:eastAsiaTheme="majorEastAsia"/>
            <w:i/>
            <w:noProof/>
            <w:webHidden/>
            <w:color w:val="31849B" w:themeColor="accent5" w:themeShade="BF"/>
            <w:sz w:val="20"/>
            <w:szCs w:val="22"/>
            <w:lang w:val="sq-AL"/>
          </w:rPr>
          <w:fldChar w:fldCharType="end"/>
        </w:r>
      </w:hyperlink>
    </w:p>
    <w:p w:rsidR="00315385" w:rsidRPr="00315385" w:rsidRDefault="00555461">
      <w:pPr>
        <w:pStyle w:val="TableofFigures"/>
        <w:tabs>
          <w:tab w:val="right" w:leader="dot" w:pos="9623"/>
        </w:tabs>
        <w:rPr>
          <w:rStyle w:val="Hyperlink"/>
          <w:rFonts w:eastAsiaTheme="majorEastAsia"/>
          <w:i/>
          <w:noProof/>
          <w:color w:val="31849B" w:themeColor="accent5" w:themeShade="BF"/>
          <w:sz w:val="20"/>
          <w:lang w:val="sq-AL"/>
        </w:rPr>
      </w:pPr>
      <w:hyperlink w:anchor="_Toc44404421" w:history="1">
        <w:r w:rsidR="00315385" w:rsidRPr="00315385">
          <w:rPr>
            <w:rStyle w:val="Hyperlink"/>
            <w:rFonts w:eastAsiaTheme="majorEastAsia"/>
            <w:i/>
            <w:noProof/>
            <w:color w:val="31849B" w:themeColor="accent5" w:themeShade="BF"/>
            <w:sz w:val="20"/>
            <w:szCs w:val="22"/>
            <w:lang w:val="sq-AL"/>
          </w:rPr>
          <w:t>Tabela 20: Rritja e eksportit të mallrave, sipas kategorive kryesore.</w:t>
        </w:r>
        <w:r w:rsidR="00315385" w:rsidRPr="00315385">
          <w:rPr>
            <w:rStyle w:val="Hyperlink"/>
            <w:rFonts w:eastAsiaTheme="majorEastAsia"/>
            <w:i/>
            <w:noProof/>
            <w:webHidden/>
            <w:color w:val="31849B" w:themeColor="accent5" w:themeShade="BF"/>
            <w:sz w:val="20"/>
            <w:szCs w:val="22"/>
            <w:lang w:val="sq-AL"/>
          </w:rPr>
          <w:tab/>
        </w:r>
        <w:r w:rsidR="00315385" w:rsidRPr="00315385">
          <w:rPr>
            <w:rStyle w:val="Hyperlink"/>
            <w:rFonts w:eastAsiaTheme="majorEastAsia"/>
            <w:i/>
            <w:noProof/>
            <w:webHidden/>
            <w:color w:val="31849B" w:themeColor="accent5" w:themeShade="BF"/>
            <w:sz w:val="20"/>
            <w:szCs w:val="22"/>
            <w:lang w:val="sq-AL"/>
          </w:rPr>
          <w:fldChar w:fldCharType="begin"/>
        </w:r>
        <w:r w:rsidR="00315385" w:rsidRPr="00315385">
          <w:rPr>
            <w:rStyle w:val="Hyperlink"/>
            <w:rFonts w:eastAsiaTheme="majorEastAsia"/>
            <w:i/>
            <w:noProof/>
            <w:webHidden/>
            <w:color w:val="31849B" w:themeColor="accent5" w:themeShade="BF"/>
            <w:sz w:val="20"/>
            <w:szCs w:val="22"/>
            <w:lang w:val="sq-AL"/>
          </w:rPr>
          <w:instrText xml:space="preserve"> PAGEREF _Toc44404421 \h </w:instrText>
        </w:r>
        <w:r w:rsidR="00315385" w:rsidRPr="00315385">
          <w:rPr>
            <w:rStyle w:val="Hyperlink"/>
            <w:rFonts w:eastAsiaTheme="majorEastAsia"/>
            <w:i/>
            <w:noProof/>
            <w:webHidden/>
            <w:color w:val="31849B" w:themeColor="accent5" w:themeShade="BF"/>
            <w:sz w:val="20"/>
            <w:szCs w:val="22"/>
            <w:lang w:val="sq-AL"/>
          </w:rPr>
        </w:r>
        <w:r w:rsidR="00315385" w:rsidRPr="00315385">
          <w:rPr>
            <w:rStyle w:val="Hyperlink"/>
            <w:rFonts w:eastAsiaTheme="majorEastAsia"/>
            <w:i/>
            <w:noProof/>
            <w:webHidden/>
            <w:color w:val="31849B" w:themeColor="accent5" w:themeShade="BF"/>
            <w:sz w:val="20"/>
            <w:szCs w:val="22"/>
            <w:lang w:val="sq-AL"/>
          </w:rPr>
          <w:fldChar w:fldCharType="separate"/>
        </w:r>
        <w:r w:rsidR="00C342E2">
          <w:rPr>
            <w:rStyle w:val="Hyperlink"/>
            <w:rFonts w:eastAsiaTheme="majorEastAsia"/>
            <w:i/>
            <w:noProof/>
            <w:webHidden/>
            <w:color w:val="31849B" w:themeColor="accent5" w:themeShade="BF"/>
            <w:sz w:val="20"/>
            <w:szCs w:val="22"/>
            <w:lang w:val="sq-AL"/>
          </w:rPr>
          <w:t>50</w:t>
        </w:r>
        <w:r w:rsidR="00315385" w:rsidRPr="00315385">
          <w:rPr>
            <w:rStyle w:val="Hyperlink"/>
            <w:rFonts w:eastAsiaTheme="majorEastAsia"/>
            <w:i/>
            <w:noProof/>
            <w:webHidden/>
            <w:color w:val="31849B" w:themeColor="accent5" w:themeShade="BF"/>
            <w:sz w:val="20"/>
            <w:szCs w:val="22"/>
            <w:lang w:val="sq-AL"/>
          </w:rPr>
          <w:fldChar w:fldCharType="end"/>
        </w:r>
      </w:hyperlink>
    </w:p>
    <w:p w:rsidR="00315385" w:rsidRPr="00315385" w:rsidRDefault="00555461">
      <w:pPr>
        <w:pStyle w:val="TableofFigures"/>
        <w:tabs>
          <w:tab w:val="right" w:leader="dot" w:pos="9623"/>
        </w:tabs>
        <w:rPr>
          <w:rStyle w:val="Hyperlink"/>
          <w:rFonts w:eastAsiaTheme="majorEastAsia"/>
          <w:i/>
          <w:noProof/>
          <w:color w:val="31849B" w:themeColor="accent5" w:themeShade="BF"/>
          <w:sz w:val="20"/>
          <w:lang w:val="sq-AL"/>
        </w:rPr>
      </w:pPr>
      <w:hyperlink w:anchor="_Toc44404422" w:history="1">
        <w:r w:rsidR="00315385" w:rsidRPr="00315385">
          <w:rPr>
            <w:rStyle w:val="Hyperlink"/>
            <w:rFonts w:eastAsiaTheme="majorEastAsia"/>
            <w:i/>
            <w:noProof/>
            <w:color w:val="31849B" w:themeColor="accent5" w:themeShade="BF"/>
            <w:sz w:val="20"/>
            <w:szCs w:val="22"/>
            <w:lang w:val="sq-AL"/>
          </w:rPr>
          <w:t>Tabela 21: Rritja e importit të mallrave, sipas kategorive kryesore.</w:t>
        </w:r>
        <w:r w:rsidR="00315385" w:rsidRPr="00315385">
          <w:rPr>
            <w:rStyle w:val="Hyperlink"/>
            <w:rFonts w:eastAsiaTheme="majorEastAsia"/>
            <w:i/>
            <w:noProof/>
            <w:webHidden/>
            <w:color w:val="31849B" w:themeColor="accent5" w:themeShade="BF"/>
            <w:sz w:val="20"/>
            <w:szCs w:val="22"/>
            <w:lang w:val="sq-AL"/>
          </w:rPr>
          <w:tab/>
        </w:r>
        <w:r w:rsidR="00315385" w:rsidRPr="00315385">
          <w:rPr>
            <w:rStyle w:val="Hyperlink"/>
            <w:rFonts w:eastAsiaTheme="majorEastAsia"/>
            <w:i/>
            <w:noProof/>
            <w:webHidden/>
            <w:color w:val="31849B" w:themeColor="accent5" w:themeShade="BF"/>
            <w:sz w:val="20"/>
            <w:szCs w:val="22"/>
            <w:lang w:val="sq-AL"/>
          </w:rPr>
          <w:fldChar w:fldCharType="begin"/>
        </w:r>
        <w:r w:rsidR="00315385" w:rsidRPr="00315385">
          <w:rPr>
            <w:rStyle w:val="Hyperlink"/>
            <w:rFonts w:eastAsiaTheme="majorEastAsia"/>
            <w:i/>
            <w:noProof/>
            <w:webHidden/>
            <w:color w:val="31849B" w:themeColor="accent5" w:themeShade="BF"/>
            <w:sz w:val="20"/>
            <w:szCs w:val="22"/>
            <w:lang w:val="sq-AL"/>
          </w:rPr>
          <w:instrText xml:space="preserve"> PAGEREF _Toc44404422 \h </w:instrText>
        </w:r>
        <w:r w:rsidR="00315385" w:rsidRPr="00315385">
          <w:rPr>
            <w:rStyle w:val="Hyperlink"/>
            <w:rFonts w:eastAsiaTheme="majorEastAsia"/>
            <w:i/>
            <w:noProof/>
            <w:webHidden/>
            <w:color w:val="31849B" w:themeColor="accent5" w:themeShade="BF"/>
            <w:sz w:val="20"/>
            <w:szCs w:val="22"/>
            <w:lang w:val="sq-AL"/>
          </w:rPr>
        </w:r>
        <w:r w:rsidR="00315385" w:rsidRPr="00315385">
          <w:rPr>
            <w:rStyle w:val="Hyperlink"/>
            <w:rFonts w:eastAsiaTheme="majorEastAsia"/>
            <w:i/>
            <w:noProof/>
            <w:webHidden/>
            <w:color w:val="31849B" w:themeColor="accent5" w:themeShade="BF"/>
            <w:sz w:val="20"/>
            <w:szCs w:val="22"/>
            <w:lang w:val="sq-AL"/>
          </w:rPr>
          <w:fldChar w:fldCharType="separate"/>
        </w:r>
        <w:r w:rsidR="00C342E2">
          <w:rPr>
            <w:rStyle w:val="Hyperlink"/>
            <w:rFonts w:eastAsiaTheme="majorEastAsia"/>
            <w:i/>
            <w:noProof/>
            <w:webHidden/>
            <w:color w:val="31849B" w:themeColor="accent5" w:themeShade="BF"/>
            <w:sz w:val="20"/>
            <w:szCs w:val="22"/>
            <w:lang w:val="sq-AL"/>
          </w:rPr>
          <w:t>51</w:t>
        </w:r>
        <w:r w:rsidR="00315385" w:rsidRPr="00315385">
          <w:rPr>
            <w:rStyle w:val="Hyperlink"/>
            <w:rFonts w:eastAsiaTheme="majorEastAsia"/>
            <w:i/>
            <w:noProof/>
            <w:webHidden/>
            <w:color w:val="31849B" w:themeColor="accent5" w:themeShade="BF"/>
            <w:sz w:val="20"/>
            <w:szCs w:val="22"/>
            <w:lang w:val="sq-AL"/>
          </w:rPr>
          <w:fldChar w:fldCharType="end"/>
        </w:r>
      </w:hyperlink>
    </w:p>
    <w:p w:rsidR="00315385" w:rsidRPr="00315385" w:rsidRDefault="00555461">
      <w:pPr>
        <w:pStyle w:val="TableofFigures"/>
        <w:tabs>
          <w:tab w:val="right" w:leader="dot" w:pos="9623"/>
        </w:tabs>
        <w:rPr>
          <w:rStyle w:val="Hyperlink"/>
          <w:rFonts w:eastAsiaTheme="majorEastAsia"/>
          <w:i/>
          <w:noProof/>
          <w:color w:val="31849B" w:themeColor="accent5" w:themeShade="BF"/>
          <w:sz w:val="20"/>
          <w:lang w:val="sq-AL"/>
        </w:rPr>
      </w:pPr>
      <w:hyperlink w:anchor="_Toc44404423" w:history="1">
        <w:r w:rsidR="00315385" w:rsidRPr="00315385">
          <w:rPr>
            <w:rStyle w:val="Hyperlink"/>
            <w:rFonts w:eastAsiaTheme="majorEastAsia"/>
            <w:i/>
            <w:noProof/>
            <w:color w:val="31849B" w:themeColor="accent5" w:themeShade="BF"/>
            <w:sz w:val="20"/>
            <w:szCs w:val="22"/>
            <w:lang w:val="sq-AL"/>
          </w:rPr>
          <w:t>Tabela 22: Bilanci tregtar, sipas kategorive kryesore.</w:t>
        </w:r>
        <w:r w:rsidR="00315385" w:rsidRPr="00315385">
          <w:rPr>
            <w:rStyle w:val="Hyperlink"/>
            <w:rFonts w:eastAsiaTheme="majorEastAsia"/>
            <w:i/>
            <w:noProof/>
            <w:webHidden/>
            <w:color w:val="31849B" w:themeColor="accent5" w:themeShade="BF"/>
            <w:sz w:val="20"/>
            <w:szCs w:val="22"/>
            <w:lang w:val="sq-AL"/>
          </w:rPr>
          <w:tab/>
        </w:r>
        <w:r w:rsidR="00315385" w:rsidRPr="00315385">
          <w:rPr>
            <w:rStyle w:val="Hyperlink"/>
            <w:rFonts w:eastAsiaTheme="majorEastAsia"/>
            <w:i/>
            <w:noProof/>
            <w:webHidden/>
            <w:color w:val="31849B" w:themeColor="accent5" w:themeShade="BF"/>
            <w:sz w:val="20"/>
            <w:szCs w:val="22"/>
            <w:lang w:val="sq-AL"/>
          </w:rPr>
          <w:fldChar w:fldCharType="begin"/>
        </w:r>
        <w:r w:rsidR="00315385" w:rsidRPr="00315385">
          <w:rPr>
            <w:rStyle w:val="Hyperlink"/>
            <w:rFonts w:eastAsiaTheme="majorEastAsia"/>
            <w:i/>
            <w:noProof/>
            <w:webHidden/>
            <w:color w:val="31849B" w:themeColor="accent5" w:themeShade="BF"/>
            <w:sz w:val="20"/>
            <w:szCs w:val="22"/>
            <w:lang w:val="sq-AL"/>
          </w:rPr>
          <w:instrText xml:space="preserve"> PAGEREF _Toc44404423 \h </w:instrText>
        </w:r>
        <w:r w:rsidR="00315385" w:rsidRPr="00315385">
          <w:rPr>
            <w:rStyle w:val="Hyperlink"/>
            <w:rFonts w:eastAsiaTheme="majorEastAsia"/>
            <w:i/>
            <w:noProof/>
            <w:webHidden/>
            <w:color w:val="31849B" w:themeColor="accent5" w:themeShade="BF"/>
            <w:sz w:val="20"/>
            <w:szCs w:val="22"/>
            <w:lang w:val="sq-AL"/>
          </w:rPr>
        </w:r>
        <w:r w:rsidR="00315385" w:rsidRPr="00315385">
          <w:rPr>
            <w:rStyle w:val="Hyperlink"/>
            <w:rFonts w:eastAsiaTheme="majorEastAsia"/>
            <w:i/>
            <w:noProof/>
            <w:webHidden/>
            <w:color w:val="31849B" w:themeColor="accent5" w:themeShade="BF"/>
            <w:sz w:val="20"/>
            <w:szCs w:val="22"/>
            <w:lang w:val="sq-AL"/>
          </w:rPr>
          <w:fldChar w:fldCharType="separate"/>
        </w:r>
        <w:r w:rsidR="00C342E2">
          <w:rPr>
            <w:rStyle w:val="Hyperlink"/>
            <w:rFonts w:eastAsiaTheme="majorEastAsia"/>
            <w:i/>
            <w:noProof/>
            <w:webHidden/>
            <w:color w:val="31849B" w:themeColor="accent5" w:themeShade="BF"/>
            <w:sz w:val="20"/>
            <w:szCs w:val="22"/>
            <w:lang w:val="sq-AL"/>
          </w:rPr>
          <w:t>51</w:t>
        </w:r>
        <w:r w:rsidR="00315385" w:rsidRPr="00315385">
          <w:rPr>
            <w:rStyle w:val="Hyperlink"/>
            <w:rFonts w:eastAsiaTheme="majorEastAsia"/>
            <w:i/>
            <w:noProof/>
            <w:webHidden/>
            <w:color w:val="31849B" w:themeColor="accent5" w:themeShade="BF"/>
            <w:sz w:val="20"/>
            <w:szCs w:val="22"/>
            <w:lang w:val="sq-AL"/>
          </w:rPr>
          <w:fldChar w:fldCharType="end"/>
        </w:r>
      </w:hyperlink>
    </w:p>
    <w:p w:rsidR="00315385" w:rsidRPr="00315385" w:rsidRDefault="00555461">
      <w:pPr>
        <w:pStyle w:val="TableofFigures"/>
        <w:tabs>
          <w:tab w:val="right" w:leader="dot" w:pos="9623"/>
        </w:tabs>
        <w:rPr>
          <w:rStyle w:val="Hyperlink"/>
          <w:rFonts w:eastAsiaTheme="majorEastAsia"/>
          <w:i/>
          <w:noProof/>
          <w:color w:val="31849B" w:themeColor="accent5" w:themeShade="BF"/>
          <w:sz w:val="20"/>
          <w:lang w:val="sq-AL"/>
        </w:rPr>
      </w:pPr>
      <w:hyperlink w:anchor="_Toc44404424" w:history="1">
        <w:r w:rsidR="00315385" w:rsidRPr="00315385">
          <w:rPr>
            <w:rStyle w:val="Hyperlink"/>
            <w:rFonts w:eastAsiaTheme="majorEastAsia"/>
            <w:i/>
            <w:noProof/>
            <w:color w:val="31849B" w:themeColor="accent5" w:themeShade="BF"/>
            <w:sz w:val="20"/>
            <w:szCs w:val="22"/>
            <w:lang w:val="sq-AL"/>
          </w:rPr>
          <w:t>Tabela 23: Rritja vjetore e çmimeve, në përqindje</w:t>
        </w:r>
        <w:r w:rsidR="00315385" w:rsidRPr="00315385">
          <w:rPr>
            <w:rStyle w:val="Hyperlink"/>
            <w:rFonts w:eastAsiaTheme="majorEastAsia"/>
            <w:i/>
            <w:noProof/>
            <w:webHidden/>
            <w:color w:val="31849B" w:themeColor="accent5" w:themeShade="BF"/>
            <w:sz w:val="20"/>
            <w:szCs w:val="22"/>
            <w:lang w:val="sq-AL"/>
          </w:rPr>
          <w:tab/>
        </w:r>
        <w:r w:rsidR="00315385" w:rsidRPr="00315385">
          <w:rPr>
            <w:rStyle w:val="Hyperlink"/>
            <w:rFonts w:eastAsiaTheme="majorEastAsia"/>
            <w:i/>
            <w:noProof/>
            <w:webHidden/>
            <w:color w:val="31849B" w:themeColor="accent5" w:themeShade="BF"/>
            <w:sz w:val="20"/>
            <w:szCs w:val="22"/>
            <w:lang w:val="sq-AL"/>
          </w:rPr>
          <w:fldChar w:fldCharType="begin"/>
        </w:r>
        <w:r w:rsidR="00315385" w:rsidRPr="00315385">
          <w:rPr>
            <w:rStyle w:val="Hyperlink"/>
            <w:rFonts w:eastAsiaTheme="majorEastAsia"/>
            <w:i/>
            <w:noProof/>
            <w:webHidden/>
            <w:color w:val="31849B" w:themeColor="accent5" w:themeShade="BF"/>
            <w:sz w:val="20"/>
            <w:szCs w:val="22"/>
            <w:lang w:val="sq-AL"/>
          </w:rPr>
          <w:instrText xml:space="preserve"> PAGEREF _Toc44404424 \h </w:instrText>
        </w:r>
        <w:r w:rsidR="00315385" w:rsidRPr="00315385">
          <w:rPr>
            <w:rStyle w:val="Hyperlink"/>
            <w:rFonts w:eastAsiaTheme="majorEastAsia"/>
            <w:i/>
            <w:noProof/>
            <w:webHidden/>
            <w:color w:val="31849B" w:themeColor="accent5" w:themeShade="BF"/>
            <w:sz w:val="20"/>
            <w:szCs w:val="22"/>
            <w:lang w:val="sq-AL"/>
          </w:rPr>
        </w:r>
        <w:r w:rsidR="00315385" w:rsidRPr="00315385">
          <w:rPr>
            <w:rStyle w:val="Hyperlink"/>
            <w:rFonts w:eastAsiaTheme="majorEastAsia"/>
            <w:i/>
            <w:noProof/>
            <w:webHidden/>
            <w:color w:val="31849B" w:themeColor="accent5" w:themeShade="BF"/>
            <w:sz w:val="20"/>
            <w:szCs w:val="22"/>
            <w:lang w:val="sq-AL"/>
          </w:rPr>
          <w:fldChar w:fldCharType="separate"/>
        </w:r>
        <w:r w:rsidR="00C342E2">
          <w:rPr>
            <w:rStyle w:val="Hyperlink"/>
            <w:rFonts w:eastAsiaTheme="majorEastAsia"/>
            <w:i/>
            <w:noProof/>
            <w:webHidden/>
            <w:color w:val="31849B" w:themeColor="accent5" w:themeShade="BF"/>
            <w:sz w:val="20"/>
            <w:szCs w:val="22"/>
            <w:lang w:val="sq-AL"/>
          </w:rPr>
          <w:t>52</w:t>
        </w:r>
        <w:r w:rsidR="00315385" w:rsidRPr="00315385">
          <w:rPr>
            <w:rStyle w:val="Hyperlink"/>
            <w:rFonts w:eastAsiaTheme="majorEastAsia"/>
            <w:i/>
            <w:noProof/>
            <w:webHidden/>
            <w:color w:val="31849B" w:themeColor="accent5" w:themeShade="BF"/>
            <w:sz w:val="20"/>
            <w:szCs w:val="22"/>
            <w:lang w:val="sq-AL"/>
          </w:rPr>
          <w:fldChar w:fldCharType="end"/>
        </w:r>
      </w:hyperlink>
    </w:p>
    <w:p w:rsidR="00315385" w:rsidRPr="00315385" w:rsidRDefault="00555461">
      <w:pPr>
        <w:pStyle w:val="TableofFigures"/>
        <w:tabs>
          <w:tab w:val="right" w:leader="dot" w:pos="9623"/>
        </w:tabs>
        <w:rPr>
          <w:rStyle w:val="Hyperlink"/>
          <w:rFonts w:eastAsiaTheme="majorEastAsia"/>
          <w:i/>
          <w:noProof/>
          <w:color w:val="31849B" w:themeColor="accent5" w:themeShade="BF"/>
          <w:sz w:val="20"/>
          <w:lang w:val="sq-AL"/>
        </w:rPr>
      </w:pPr>
      <w:hyperlink w:anchor="_Toc44404425" w:history="1">
        <w:r w:rsidR="00315385" w:rsidRPr="00315385">
          <w:rPr>
            <w:rStyle w:val="Hyperlink"/>
            <w:rFonts w:eastAsiaTheme="majorEastAsia"/>
            <w:i/>
            <w:noProof/>
            <w:color w:val="31849B" w:themeColor="accent5" w:themeShade="BF"/>
            <w:sz w:val="20"/>
            <w:szCs w:val="22"/>
            <w:lang w:val="sq-AL"/>
          </w:rPr>
          <w:t>Tabela 24: Ecuria e kredisë për bizneset dhe individët, në përqindje</w:t>
        </w:r>
        <w:r w:rsidR="00315385" w:rsidRPr="00315385">
          <w:rPr>
            <w:rStyle w:val="Hyperlink"/>
            <w:rFonts w:eastAsiaTheme="majorEastAsia"/>
            <w:i/>
            <w:noProof/>
            <w:webHidden/>
            <w:color w:val="31849B" w:themeColor="accent5" w:themeShade="BF"/>
            <w:sz w:val="20"/>
            <w:szCs w:val="22"/>
            <w:lang w:val="sq-AL"/>
          </w:rPr>
          <w:tab/>
        </w:r>
        <w:r w:rsidR="00315385" w:rsidRPr="00315385">
          <w:rPr>
            <w:rStyle w:val="Hyperlink"/>
            <w:rFonts w:eastAsiaTheme="majorEastAsia"/>
            <w:i/>
            <w:noProof/>
            <w:webHidden/>
            <w:color w:val="31849B" w:themeColor="accent5" w:themeShade="BF"/>
            <w:sz w:val="20"/>
            <w:szCs w:val="22"/>
            <w:lang w:val="sq-AL"/>
          </w:rPr>
          <w:fldChar w:fldCharType="begin"/>
        </w:r>
        <w:r w:rsidR="00315385" w:rsidRPr="00315385">
          <w:rPr>
            <w:rStyle w:val="Hyperlink"/>
            <w:rFonts w:eastAsiaTheme="majorEastAsia"/>
            <w:i/>
            <w:noProof/>
            <w:webHidden/>
            <w:color w:val="31849B" w:themeColor="accent5" w:themeShade="BF"/>
            <w:sz w:val="20"/>
            <w:szCs w:val="22"/>
            <w:lang w:val="sq-AL"/>
          </w:rPr>
          <w:instrText xml:space="preserve"> PAGEREF _Toc44404425 \h </w:instrText>
        </w:r>
        <w:r w:rsidR="00315385" w:rsidRPr="00315385">
          <w:rPr>
            <w:rStyle w:val="Hyperlink"/>
            <w:rFonts w:eastAsiaTheme="majorEastAsia"/>
            <w:i/>
            <w:noProof/>
            <w:webHidden/>
            <w:color w:val="31849B" w:themeColor="accent5" w:themeShade="BF"/>
            <w:sz w:val="20"/>
            <w:szCs w:val="22"/>
            <w:lang w:val="sq-AL"/>
          </w:rPr>
        </w:r>
        <w:r w:rsidR="00315385" w:rsidRPr="00315385">
          <w:rPr>
            <w:rStyle w:val="Hyperlink"/>
            <w:rFonts w:eastAsiaTheme="majorEastAsia"/>
            <w:i/>
            <w:noProof/>
            <w:webHidden/>
            <w:color w:val="31849B" w:themeColor="accent5" w:themeShade="BF"/>
            <w:sz w:val="20"/>
            <w:szCs w:val="22"/>
            <w:lang w:val="sq-AL"/>
          </w:rPr>
          <w:fldChar w:fldCharType="separate"/>
        </w:r>
        <w:r w:rsidR="00C342E2">
          <w:rPr>
            <w:rStyle w:val="Hyperlink"/>
            <w:rFonts w:eastAsiaTheme="majorEastAsia"/>
            <w:i/>
            <w:noProof/>
            <w:webHidden/>
            <w:color w:val="31849B" w:themeColor="accent5" w:themeShade="BF"/>
            <w:sz w:val="20"/>
            <w:szCs w:val="22"/>
            <w:lang w:val="sq-AL"/>
          </w:rPr>
          <w:t>53</w:t>
        </w:r>
        <w:r w:rsidR="00315385" w:rsidRPr="00315385">
          <w:rPr>
            <w:rStyle w:val="Hyperlink"/>
            <w:rFonts w:eastAsiaTheme="majorEastAsia"/>
            <w:i/>
            <w:noProof/>
            <w:webHidden/>
            <w:color w:val="31849B" w:themeColor="accent5" w:themeShade="BF"/>
            <w:sz w:val="20"/>
            <w:szCs w:val="22"/>
            <w:lang w:val="sq-AL"/>
          </w:rPr>
          <w:fldChar w:fldCharType="end"/>
        </w:r>
      </w:hyperlink>
    </w:p>
    <w:p w:rsidR="00315385" w:rsidRPr="00315385" w:rsidRDefault="00555461">
      <w:pPr>
        <w:pStyle w:val="TableofFigures"/>
        <w:tabs>
          <w:tab w:val="right" w:leader="dot" w:pos="9623"/>
        </w:tabs>
        <w:rPr>
          <w:rStyle w:val="Hyperlink"/>
          <w:rFonts w:eastAsiaTheme="majorEastAsia"/>
          <w:i/>
          <w:noProof/>
          <w:color w:val="31849B" w:themeColor="accent5" w:themeShade="BF"/>
          <w:sz w:val="20"/>
          <w:lang w:val="sq-AL"/>
        </w:rPr>
      </w:pPr>
      <w:hyperlink w:anchor="_Toc44404426" w:history="1">
        <w:r w:rsidR="00315385" w:rsidRPr="00315385">
          <w:rPr>
            <w:rStyle w:val="Hyperlink"/>
            <w:rFonts w:eastAsiaTheme="majorEastAsia"/>
            <w:i/>
            <w:noProof/>
            <w:color w:val="31849B" w:themeColor="accent5" w:themeShade="BF"/>
            <w:sz w:val="20"/>
            <w:szCs w:val="22"/>
            <w:lang w:val="sq-AL"/>
          </w:rPr>
          <w:t>Tabela 25: Ecuria e kredive të këqija, në përqindje</w:t>
        </w:r>
        <w:r w:rsidR="00315385" w:rsidRPr="00315385">
          <w:rPr>
            <w:rStyle w:val="Hyperlink"/>
            <w:rFonts w:eastAsiaTheme="majorEastAsia"/>
            <w:i/>
            <w:noProof/>
            <w:webHidden/>
            <w:color w:val="31849B" w:themeColor="accent5" w:themeShade="BF"/>
            <w:sz w:val="20"/>
            <w:szCs w:val="22"/>
            <w:lang w:val="sq-AL"/>
          </w:rPr>
          <w:tab/>
        </w:r>
        <w:r w:rsidR="00315385" w:rsidRPr="00315385">
          <w:rPr>
            <w:rStyle w:val="Hyperlink"/>
            <w:rFonts w:eastAsiaTheme="majorEastAsia"/>
            <w:i/>
            <w:noProof/>
            <w:webHidden/>
            <w:color w:val="31849B" w:themeColor="accent5" w:themeShade="BF"/>
            <w:sz w:val="20"/>
            <w:szCs w:val="22"/>
            <w:lang w:val="sq-AL"/>
          </w:rPr>
          <w:fldChar w:fldCharType="begin"/>
        </w:r>
        <w:r w:rsidR="00315385" w:rsidRPr="00315385">
          <w:rPr>
            <w:rStyle w:val="Hyperlink"/>
            <w:rFonts w:eastAsiaTheme="majorEastAsia"/>
            <w:i/>
            <w:noProof/>
            <w:webHidden/>
            <w:color w:val="31849B" w:themeColor="accent5" w:themeShade="BF"/>
            <w:sz w:val="20"/>
            <w:szCs w:val="22"/>
            <w:lang w:val="sq-AL"/>
          </w:rPr>
          <w:instrText xml:space="preserve"> PAGEREF _Toc44404426 \h </w:instrText>
        </w:r>
        <w:r w:rsidR="00315385" w:rsidRPr="00315385">
          <w:rPr>
            <w:rStyle w:val="Hyperlink"/>
            <w:rFonts w:eastAsiaTheme="majorEastAsia"/>
            <w:i/>
            <w:noProof/>
            <w:webHidden/>
            <w:color w:val="31849B" w:themeColor="accent5" w:themeShade="BF"/>
            <w:sz w:val="20"/>
            <w:szCs w:val="22"/>
            <w:lang w:val="sq-AL"/>
          </w:rPr>
        </w:r>
        <w:r w:rsidR="00315385" w:rsidRPr="00315385">
          <w:rPr>
            <w:rStyle w:val="Hyperlink"/>
            <w:rFonts w:eastAsiaTheme="majorEastAsia"/>
            <w:i/>
            <w:noProof/>
            <w:webHidden/>
            <w:color w:val="31849B" w:themeColor="accent5" w:themeShade="BF"/>
            <w:sz w:val="20"/>
            <w:szCs w:val="22"/>
            <w:lang w:val="sq-AL"/>
          </w:rPr>
          <w:fldChar w:fldCharType="separate"/>
        </w:r>
        <w:r w:rsidR="00C342E2">
          <w:rPr>
            <w:rStyle w:val="Hyperlink"/>
            <w:rFonts w:eastAsiaTheme="majorEastAsia"/>
            <w:i/>
            <w:noProof/>
            <w:webHidden/>
            <w:color w:val="31849B" w:themeColor="accent5" w:themeShade="BF"/>
            <w:sz w:val="20"/>
            <w:szCs w:val="22"/>
            <w:lang w:val="sq-AL"/>
          </w:rPr>
          <w:t>54</w:t>
        </w:r>
        <w:r w:rsidR="00315385" w:rsidRPr="00315385">
          <w:rPr>
            <w:rStyle w:val="Hyperlink"/>
            <w:rFonts w:eastAsiaTheme="majorEastAsia"/>
            <w:i/>
            <w:noProof/>
            <w:webHidden/>
            <w:color w:val="31849B" w:themeColor="accent5" w:themeShade="BF"/>
            <w:sz w:val="20"/>
            <w:szCs w:val="22"/>
            <w:lang w:val="sq-AL"/>
          </w:rPr>
          <w:fldChar w:fldCharType="end"/>
        </w:r>
      </w:hyperlink>
    </w:p>
    <w:p w:rsidR="00315385" w:rsidRPr="00315385" w:rsidRDefault="00555461">
      <w:pPr>
        <w:pStyle w:val="TableofFigures"/>
        <w:tabs>
          <w:tab w:val="right" w:leader="dot" w:pos="9623"/>
        </w:tabs>
        <w:rPr>
          <w:rStyle w:val="Hyperlink"/>
          <w:rFonts w:eastAsiaTheme="majorEastAsia"/>
          <w:i/>
          <w:noProof/>
          <w:color w:val="31849B" w:themeColor="accent5" w:themeShade="BF"/>
          <w:sz w:val="20"/>
          <w:lang w:val="sq-AL"/>
        </w:rPr>
      </w:pPr>
      <w:hyperlink w:anchor="_Toc44404427" w:history="1">
        <w:r w:rsidR="00315385" w:rsidRPr="00315385">
          <w:rPr>
            <w:rStyle w:val="Hyperlink"/>
            <w:rFonts w:eastAsiaTheme="majorEastAsia"/>
            <w:i/>
            <w:noProof/>
            <w:color w:val="31849B" w:themeColor="accent5" w:themeShade="BF"/>
            <w:sz w:val="20"/>
            <w:szCs w:val="22"/>
            <w:lang w:val="sq-AL"/>
          </w:rPr>
          <w:t>Tabela 26: Ecuria e kursit të këmbimit 2015-2020</w:t>
        </w:r>
        <w:r w:rsidR="00315385" w:rsidRPr="00315385">
          <w:rPr>
            <w:rStyle w:val="Hyperlink"/>
            <w:rFonts w:eastAsiaTheme="majorEastAsia"/>
            <w:i/>
            <w:noProof/>
            <w:webHidden/>
            <w:color w:val="31849B" w:themeColor="accent5" w:themeShade="BF"/>
            <w:sz w:val="20"/>
            <w:szCs w:val="22"/>
            <w:lang w:val="sq-AL"/>
          </w:rPr>
          <w:tab/>
        </w:r>
        <w:r w:rsidR="00315385" w:rsidRPr="00315385">
          <w:rPr>
            <w:rStyle w:val="Hyperlink"/>
            <w:rFonts w:eastAsiaTheme="majorEastAsia"/>
            <w:i/>
            <w:noProof/>
            <w:webHidden/>
            <w:color w:val="31849B" w:themeColor="accent5" w:themeShade="BF"/>
            <w:sz w:val="20"/>
            <w:szCs w:val="22"/>
            <w:lang w:val="sq-AL"/>
          </w:rPr>
          <w:fldChar w:fldCharType="begin"/>
        </w:r>
        <w:r w:rsidR="00315385" w:rsidRPr="00315385">
          <w:rPr>
            <w:rStyle w:val="Hyperlink"/>
            <w:rFonts w:eastAsiaTheme="majorEastAsia"/>
            <w:i/>
            <w:noProof/>
            <w:webHidden/>
            <w:color w:val="31849B" w:themeColor="accent5" w:themeShade="BF"/>
            <w:sz w:val="20"/>
            <w:szCs w:val="22"/>
            <w:lang w:val="sq-AL"/>
          </w:rPr>
          <w:instrText xml:space="preserve"> PAGEREF _Toc44404427 \h </w:instrText>
        </w:r>
        <w:r w:rsidR="00315385" w:rsidRPr="00315385">
          <w:rPr>
            <w:rStyle w:val="Hyperlink"/>
            <w:rFonts w:eastAsiaTheme="majorEastAsia"/>
            <w:i/>
            <w:noProof/>
            <w:webHidden/>
            <w:color w:val="31849B" w:themeColor="accent5" w:themeShade="BF"/>
            <w:sz w:val="20"/>
            <w:szCs w:val="22"/>
            <w:lang w:val="sq-AL"/>
          </w:rPr>
        </w:r>
        <w:r w:rsidR="00315385" w:rsidRPr="00315385">
          <w:rPr>
            <w:rStyle w:val="Hyperlink"/>
            <w:rFonts w:eastAsiaTheme="majorEastAsia"/>
            <w:i/>
            <w:noProof/>
            <w:webHidden/>
            <w:color w:val="31849B" w:themeColor="accent5" w:themeShade="BF"/>
            <w:sz w:val="20"/>
            <w:szCs w:val="22"/>
            <w:lang w:val="sq-AL"/>
          </w:rPr>
          <w:fldChar w:fldCharType="separate"/>
        </w:r>
        <w:r w:rsidR="00C342E2">
          <w:rPr>
            <w:rStyle w:val="Hyperlink"/>
            <w:rFonts w:eastAsiaTheme="majorEastAsia"/>
            <w:i/>
            <w:noProof/>
            <w:webHidden/>
            <w:color w:val="31849B" w:themeColor="accent5" w:themeShade="BF"/>
            <w:sz w:val="20"/>
            <w:szCs w:val="22"/>
            <w:lang w:val="sq-AL"/>
          </w:rPr>
          <w:t>55</w:t>
        </w:r>
        <w:r w:rsidR="00315385" w:rsidRPr="00315385">
          <w:rPr>
            <w:rStyle w:val="Hyperlink"/>
            <w:rFonts w:eastAsiaTheme="majorEastAsia"/>
            <w:i/>
            <w:noProof/>
            <w:webHidden/>
            <w:color w:val="31849B" w:themeColor="accent5" w:themeShade="BF"/>
            <w:sz w:val="20"/>
            <w:szCs w:val="22"/>
            <w:lang w:val="sq-AL"/>
          </w:rPr>
          <w:fldChar w:fldCharType="end"/>
        </w:r>
      </w:hyperlink>
    </w:p>
    <w:p w:rsidR="00315385" w:rsidRPr="00315385" w:rsidRDefault="00555461">
      <w:pPr>
        <w:pStyle w:val="TableofFigures"/>
        <w:tabs>
          <w:tab w:val="right" w:leader="dot" w:pos="9623"/>
        </w:tabs>
        <w:rPr>
          <w:rStyle w:val="Hyperlink"/>
          <w:rFonts w:eastAsiaTheme="majorEastAsia"/>
          <w:i/>
          <w:noProof/>
          <w:color w:val="31849B" w:themeColor="accent5" w:themeShade="BF"/>
          <w:sz w:val="20"/>
          <w:lang w:val="sq-AL"/>
        </w:rPr>
      </w:pPr>
      <w:hyperlink w:anchor="_Toc44404428" w:history="1">
        <w:r w:rsidR="00315385" w:rsidRPr="00315385">
          <w:rPr>
            <w:rStyle w:val="Hyperlink"/>
            <w:rFonts w:eastAsiaTheme="majorEastAsia"/>
            <w:i/>
            <w:noProof/>
            <w:color w:val="31849B" w:themeColor="accent5" w:themeShade="BF"/>
            <w:sz w:val="20"/>
            <w:szCs w:val="22"/>
            <w:lang w:val="sq-AL"/>
          </w:rPr>
          <w:t>Tabela 27: Treguesit kryesorë të performancës sipas ministrive të linjës, 4M I 2020</w:t>
        </w:r>
        <w:r w:rsidR="00315385" w:rsidRPr="00315385">
          <w:rPr>
            <w:rStyle w:val="Hyperlink"/>
            <w:rFonts w:eastAsiaTheme="majorEastAsia"/>
            <w:i/>
            <w:noProof/>
            <w:webHidden/>
            <w:color w:val="31849B" w:themeColor="accent5" w:themeShade="BF"/>
            <w:sz w:val="20"/>
            <w:szCs w:val="22"/>
            <w:lang w:val="sq-AL"/>
          </w:rPr>
          <w:tab/>
        </w:r>
        <w:r w:rsidR="00315385" w:rsidRPr="00315385">
          <w:rPr>
            <w:rStyle w:val="Hyperlink"/>
            <w:rFonts w:eastAsiaTheme="majorEastAsia"/>
            <w:i/>
            <w:noProof/>
            <w:webHidden/>
            <w:color w:val="31849B" w:themeColor="accent5" w:themeShade="BF"/>
            <w:sz w:val="20"/>
            <w:szCs w:val="22"/>
            <w:lang w:val="sq-AL"/>
          </w:rPr>
          <w:fldChar w:fldCharType="begin"/>
        </w:r>
        <w:r w:rsidR="00315385" w:rsidRPr="00315385">
          <w:rPr>
            <w:rStyle w:val="Hyperlink"/>
            <w:rFonts w:eastAsiaTheme="majorEastAsia"/>
            <w:i/>
            <w:noProof/>
            <w:webHidden/>
            <w:color w:val="31849B" w:themeColor="accent5" w:themeShade="BF"/>
            <w:sz w:val="20"/>
            <w:szCs w:val="22"/>
            <w:lang w:val="sq-AL"/>
          </w:rPr>
          <w:instrText xml:space="preserve"> PAGEREF _Toc44404428 \h </w:instrText>
        </w:r>
        <w:r w:rsidR="00315385" w:rsidRPr="00315385">
          <w:rPr>
            <w:rStyle w:val="Hyperlink"/>
            <w:rFonts w:eastAsiaTheme="majorEastAsia"/>
            <w:i/>
            <w:noProof/>
            <w:webHidden/>
            <w:color w:val="31849B" w:themeColor="accent5" w:themeShade="BF"/>
            <w:sz w:val="20"/>
            <w:szCs w:val="22"/>
            <w:lang w:val="sq-AL"/>
          </w:rPr>
        </w:r>
        <w:r w:rsidR="00315385" w:rsidRPr="00315385">
          <w:rPr>
            <w:rStyle w:val="Hyperlink"/>
            <w:rFonts w:eastAsiaTheme="majorEastAsia"/>
            <w:i/>
            <w:noProof/>
            <w:webHidden/>
            <w:color w:val="31849B" w:themeColor="accent5" w:themeShade="BF"/>
            <w:sz w:val="20"/>
            <w:szCs w:val="22"/>
            <w:lang w:val="sq-AL"/>
          </w:rPr>
          <w:fldChar w:fldCharType="separate"/>
        </w:r>
        <w:r w:rsidR="00C342E2">
          <w:rPr>
            <w:rStyle w:val="Hyperlink"/>
            <w:rFonts w:eastAsiaTheme="majorEastAsia"/>
            <w:i/>
            <w:noProof/>
            <w:webHidden/>
            <w:color w:val="31849B" w:themeColor="accent5" w:themeShade="BF"/>
            <w:sz w:val="20"/>
            <w:szCs w:val="22"/>
            <w:lang w:val="sq-AL"/>
          </w:rPr>
          <w:t>55</w:t>
        </w:r>
        <w:r w:rsidR="00315385" w:rsidRPr="00315385">
          <w:rPr>
            <w:rStyle w:val="Hyperlink"/>
            <w:rFonts w:eastAsiaTheme="majorEastAsia"/>
            <w:i/>
            <w:noProof/>
            <w:webHidden/>
            <w:color w:val="31849B" w:themeColor="accent5" w:themeShade="BF"/>
            <w:sz w:val="20"/>
            <w:szCs w:val="22"/>
            <w:lang w:val="sq-AL"/>
          </w:rPr>
          <w:fldChar w:fldCharType="end"/>
        </w:r>
      </w:hyperlink>
    </w:p>
    <w:p w:rsidR="00315385" w:rsidRPr="00315385" w:rsidRDefault="00555461">
      <w:pPr>
        <w:pStyle w:val="TableofFigures"/>
        <w:tabs>
          <w:tab w:val="right" w:leader="dot" w:pos="9623"/>
        </w:tabs>
        <w:rPr>
          <w:rStyle w:val="Hyperlink"/>
          <w:rFonts w:eastAsiaTheme="majorEastAsia"/>
          <w:i/>
          <w:noProof/>
          <w:color w:val="31849B" w:themeColor="accent5" w:themeShade="BF"/>
          <w:sz w:val="20"/>
          <w:lang w:val="sq-AL"/>
        </w:rPr>
      </w:pPr>
      <w:hyperlink w:anchor="_Toc44404429" w:history="1">
        <w:r w:rsidR="00315385" w:rsidRPr="00315385">
          <w:rPr>
            <w:rStyle w:val="Hyperlink"/>
            <w:rFonts w:eastAsiaTheme="majorEastAsia"/>
            <w:i/>
            <w:noProof/>
            <w:color w:val="31849B" w:themeColor="accent5" w:themeShade="BF"/>
            <w:sz w:val="20"/>
            <w:szCs w:val="22"/>
            <w:lang w:val="sq-AL"/>
          </w:rPr>
          <w:t>Tabela 28: Shëndetësia dhe mbrojtja sociale</w:t>
        </w:r>
        <w:r w:rsidR="00315385" w:rsidRPr="00315385">
          <w:rPr>
            <w:rStyle w:val="Hyperlink"/>
            <w:rFonts w:eastAsiaTheme="majorEastAsia"/>
            <w:i/>
            <w:noProof/>
            <w:webHidden/>
            <w:color w:val="31849B" w:themeColor="accent5" w:themeShade="BF"/>
            <w:sz w:val="20"/>
            <w:szCs w:val="22"/>
            <w:lang w:val="sq-AL"/>
          </w:rPr>
          <w:tab/>
        </w:r>
        <w:r w:rsidR="00315385" w:rsidRPr="00315385">
          <w:rPr>
            <w:rStyle w:val="Hyperlink"/>
            <w:rFonts w:eastAsiaTheme="majorEastAsia"/>
            <w:i/>
            <w:noProof/>
            <w:webHidden/>
            <w:color w:val="31849B" w:themeColor="accent5" w:themeShade="BF"/>
            <w:sz w:val="20"/>
            <w:szCs w:val="22"/>
            <w:lang w:val="sq-AL"/>
          </w:rPr>
          <w:fldChar w:fldCharType="begin"/>
        </w:r>
        <w:r w:rsidR="00315385" w:rsidRPr="00315385">
          <w:rPr>
            <w:rStyle w:val="Hyperlink"/>
            <w:rFonts w:eastAsiaTheme="majorEastAsia"/>
            <w:i/>
            <w:noProof/>
            <w:webHidden/>
            <w:color w:val="31849B" w:themeColor="accent5" w:themeShade="BF"/>
            <w:sz w:val="20"/>
            <w:szCs w:val="22"/>
            <w:lang w:val="sq-AL"/>
          </w:rPr>
          <w:instrText xml:space="preserve"> PAGEREF _Toc44404429 \h </w:instrText>
        </w:r>
        <w:r w:rsidR="00315385" w:rsidRPr="00315385">
          <w:rPr>
            <w:rStyle w:val="Hyperlink"/>
            <w:rFonts w:eastAsiaTheme="majorEastAsia"/>
            <w:i/>
            <w:noProof/>
            <w:webHidden/>
            <w:color w:val="31849B" w:themeColor="accent5" w:themeShade="BF"/>
            <w:sz w:val="20"/>
            <w:szCs w:val="22"/>
            <w:lang w:val="sq-AL"/>
          </w:rPr>
        </w:r>
        <w:r w:rsidR="00315385" w:rsidRPr="00315385">
          <w:rPr>
            <w:rStyle w:val="Hyperlink"/>
            <w:rFonts w:eastAsiaTheme="majorEastAsia"/>
            <w:i/>
            <w:noProof/>
            <w:webHidden/>
            <w:color w:val="31849B" w:themeColor="accent5" w:themeShade="BF"/>
            <w:sz w:val="20"/>
            <w:szCs w:val="22"/>
            <w:lang w:val="sq-AL"/>
          </w:rPr>
          <w:fldChar w:fldCharType="separate"/>
        </w:r>
        <w:r w:rsidR="00C342E2">
          <w:rPr>
            <w:rStyle w:val="Hyperlink"/>
            <w:rFonts w:eastAsiaTheme="majorEastAsia"/>
            <w:i/>
            <w:noProof/>
            <w:webHidden/>
            <w:color w:val="31849B" w:themeColor="accent5" w:themeShade="BF"/>
            <w:sz w:val="20"/>
            <w:szCs w:val="22"/>
            <w:lang w:val="sq-AL"/>
          </w:rPr>
          <w:t>56</w:t>
        </w:r>
        <w:r w:rsidR="00315385" w:rsidRPr="00315385">
          <w:rPr>
            <w:rStyle w:val="Hyperlink"/>
            <w:rFonts w:eastAsiaTheme="majorEastAsia"/>
            <w:i/>
            <w:noProof/>
            <w:webHidden/>
            <w:color w:val="31849B" w:themeColor="accent5" w:themeShade="BF"/>
            <w:sz w:val="20"/>
            <w:szCs w:val="22"/>
            <w:lang w:val="sq-AL"/>
          </w:rPr>
          <w:fldChar w:fldCharType="end"/>
        </w:r>
      </w:hyperlink>
    </w:p>
    <w:p w:rsidR="00315385" w:rsidRPr="00315385" w:rsidRDefault="00555461">
      <w:pPr>
        <w:pStyle w:val="TableofFigures"/>
        <w:tabs>
          <w:tab w:val="right" w:leader="dot" w:pos="9623"/>
        </w:tabs>
        <w:rPr>
          <w:rStyle w:val="Hyperlink"/>
          <w:rFonts w:eastAsiaTheme="majorEastAsia"/>
          <w:i/>
          <w:noProof/>
          <w:color w:val="31849B" w:themeColor="accent5" w:themeShade="BF"/>
          <w:sz w:val="20"/>
          <w:lang w:val="sq-AL"/>
        </w:rPr>
      </w:pPr>
      <w:hyperlink w:anchor="_Toc44404430" w:history="1">
        <w:r w:rsidR="00315385" w:rsidRPr="00315385">
          <w:rPr>
            <w:rStyle w:val="Hyperlink"/>
            <w:rFonts w:eastAsiaTheme="majorEastAsia"/>
            <w:i/>
            <w:noProof/>
            <w:color w:val="31849B" w:themeColor="accent5" w:themeShade="BF"/>
            <w:sz w:val="20"/>
            <w:szCs w:val="22"/>
            <w:lang w:val="sq-AL"/>
          </w:rPr>
          <w:t>Tabela 29: Arsimi</w:t>
        </w:r>
        <w:r w:rsidR="00315385" w:rsidRPr="00315385">
          <w:rPr>
            <w:rStyle w:val="Hyperlink"/>
            <w:rFonts w:eastAsiaTheme="majorEastAsia"/>
            <w:i/>
            <w:noProof/>
            <w:webHidden/>
            <w:color w:val="31849B" w:themeColor="accent5" w:themeShade="BF"/>
            <w:sz w:val="20"/>
            <w:szCs w:val="22"/>
            <w:lang w:val="sq-AL"/>
          </w:rPr>
          <w:tab/>
        </w:r>
        <w:r w:rsidR="00315385" w:rsidRPr="00315385">
          <w:rPr>
            <w:rStyle w:val="Hyperlink"/>
            <w:rFonts w:eastAsiaTheme="majorEastAsia"/>
            <w:i/>
            <w:noProof/>
            <w:webHidden/>
            <w:color w:val="31849B" w:themeColor="accent5" w:themeShade="BF"/>
            <w:sz w:val="20"/>
            <w:szCs w:val="22"/>
            <w:lang w:val="sq-AL"/>
          </w:rPr>
          <w:fldChar w:fldCharType="begin"/>
        </w:r>
        <w:r w:rsidR="00315385" w:rsidRPr="00315385">
          <w:rPr>
            <w:rStyle w:val="Hyperlink"/>
            <w:rFonts w:eastAsiaTheme="majorEastAsia"/>
            <w:i/>
            <w:noProof/>
            <w:webHidden/>
            <w:color w:val="31849B" w:themeColor="accent5" w:themeShade="BF"/>
            <w:sz w:val="20"/>
            <w:szCs w:val="22"/>
            <w:lang w:val="sq-AL"/>
          </w:rPr>
          <w:instrText xml:space="preserve"> PAGEREF _Toc44404430 \h </w:instrText>
        </w:r>
        <w:r w:rsidR="00315385" w:rsidRPr="00315385">
          <w:rPr>
            <w:rStyle w:val="Hyperlink"/>
            <w:rFonts w:eastAsiaTheme="majorEastAsia"/>
            <w:i/>
            <w:noProof/>
            <w:webHidden/>
            <w:color w:val="31849B" w:themeColor="accent5" w:themeShade="BF"/>
            <w:sz w:val="20"/>
            <w:szCs w:val="22"/>
            <w:lang w:val="sq-AL"/>
          </w:rPr>
        </w:r>
        <w:r w:rsidR="00315385" w:rsidRPr="00315385">
          <w:rPr>
            <w:rStyle w:val="Hyperlink"/>
            <w:rFonts w:eastAsiaTheme="majorEastAsia"/>
            <w:i/>
            <w:noProof/>
            <w:webHidden/>
            <w:color w:val="31849B" w:themeColor="accent5" w:themeShade="BF"/>
            <w:sz w:val="20"/>
            <w:szCs w:val="22"/>
            <w:lang w:val="sq-AL"/>
          </w:rPr>
          <w:fldChar w:fldCharType="separate"/>
        </w:r>
        <w:r w:rsidR="00C342E2">
          <w:rPr>
            <w:rStyle w:val="Hyperlink"/>
            <w:rFonts w:eastAsiaTheme="majorEastAsia"/>
            <w:i/>
            <w:noProof/>
            <w:webHidden/>
            <w:color w:val="31849B" w:themeColor="accent5" w:themeShade="BF"/>
            <w:sz w:val="20"/>
            <w:szCs w:val="22"/>
            <w:lang w:val="sq-AL"/>
          </w:rPr>
          <w:t>58</w:t>
        </w:r>
        <w:r w:rsidR="00315385" w:rsidRPr="00315385">
          <w:rPr>
            <w:rStyle w:val="Hyperlink"/>
            <w:rFonts w:eastAsiaTheme="majorEastAsia"/>
            <w:i/>
            <w:noProof/>
            <w:webHidden/>
            <w:color w:val="31849B" w:themeColor="accent5" w:themeShade="BF"/>
            <w:sz w:val="20"/>
            <w:szCs w:val="22"/>
            <w:lang w:val="sq-AL"/>
          </w:rPr>
          <w:fldChar w:fldCharType="end"/>
        </w:r>
      </w:hyperlink>
    </w:p>
    <w:p w:rsidR="00315385" w:rsidRPr="00315385" w:rsidRDefault="00555461">
      <w:pPr>
        <w:pStyle w:val="TableofFigures"/>
        <w:tabs>
          <w:tab w:val="right" w:leader="dot" w:pos="9623"/>
        </w:tabs>
        <w:rPr>
          <w:rStyle w:val="Hyperlink"/>
          <w:rFonts w:eastAsiaTheme="majorEastAsia"/>
          <w:i/>
          <w:noProof/>
          <w:color w:val="31849B" w:themeColor="accent5" w:themeShade="BF"/>
          <w:sz w:val="20"/>
          <w:lang w:val="sq-AL"/>
        </w:rPr>
      </w:pPr>
      <w:hyperlink w:anchor="_Toc44404431" w:history="1">
        <w:r w:rsidR="00315385" w:rsidRPr="00315385">
          <w:rPr>
            <w:rStyle w:val="Hyperlink"/>
            <w:rFonts w:eastAsiaTheme="majorEastAsia"/>
            <w:i/>
            <w:noProof/>
            <w:color w:val="31849B" w:themeColor="accent5" w:themeShade="BF"/>
            <w:sz w:val="20"/>
            <w:szCs w:val="22"/>
            <w:lang w:val="sq-AL"/>
          </w:rPr>
          <w:t>Tabela 30 Bujqësia dhe Zhvillimi Rural</w:t>
        </w:r>
        <w:r w:rsidR="00315385" w:rsidRPr="00315385">
          <w:rPr>
            <w:rStyle w:val="Hyperlink"/>
            <w:rFonts w:eastAsiaTheme="majorEastAsia"/>
            <w:i/>
            <w:noProof/>
            <w:webHidden/>
            <w:color w:val="31849B" w:themeColor="accent5" w:themeShade="BF"/>
            <w:sz w:val="20"/>
            <w:szCs w:val="22"/>
            <w:lang w:val="sq-AL"/>
          </w:rPr>
          <w:tab/>
        </w:r>
        <w:r w:rsidR="00315385" w:rsidRPr="00315385">
          <w:rPr>
            <w:rStyle w:val="Hyperlink"/>
            <w:rFonts w:eastAsiaTheme="majorEastAsia"/>
            <w:i/>
            <w:noProof/>
            <w:webHidden/>
            <w:color w:val="31849B" w:themeColor="accent5" w:themeShade="BF"/>
            <w:sz w:val="20"/>
            <w:szCs w:val="22"/>
            <w:lang w:val="sq-AL"/>
          </w:rPr>
          <w:fldChar w:fldCharType="begin"/>
        </w:r>
        <w:r w:rsidR="00315385" w:rsidRPr="00315385">
          <w:rPr>
            <w:rStyle w:val="Hyperlink"/>
            <w:rFonts w:eastAsiaTheme="majorEastAsia"/>
            <w:i/>
            <w:noProof/>
            <w:webHidden/>
            <w:color w:val="31849B" w:themeColor="accent5" w:themeShade="BF"/>
            <w:sz w:val="20"/>
            <w:szCs w:val="22"/>
            <w:lang w:val="sq-AL"/>
          </w:rPr>
          <w:instrText xml:space="preserve"> PAGEREF _Toc44404431 \h </w:instrText>
        </w:r>
        <w:r w:rsidR="00315385" w:rsidRPr="00315385">
          <w:rPr>
            <w:rStyle w:val="Hyperlink"/>
            <w:rFonts w:eastAsiaTheme="majorEastAsia"/>
            <w:i/>
            <w:noProof/>
            <w:webHidden/>
            <w:color w:val="31849B" w:themeColor="accent5" w:themeShade="BF"/>
            <w:sz w:val="20"/>
            <w:szCs w:val="22"/>
            <w:lang w:val="sq-AL"/>
          </w:rPr>
        </w:r>
        <w:r w:rsidR="00315385" w:rsidRPr="00315385">
          <w:rPr>
            <w:rStyle w:val="Hyperlink"/>
            <w:rFonts w:eastAsiaTheme="majorEastAsia"/>
            <w:i/>
            <w:noProof/>
            <w:webHidden/>
            <w:color w:val="31849B" w:themeColor="accent5" w:themeShade="BF"/>
            <w:sz w:val="20"/>
            <w:szCs w:val="22"/>
            <w:lang w:val="sq-AL"/>
          </w:rPr>
          <w:fldChar w:fldCharType="separate"/>
        </w:r>
        <w:r w:rsidR="00C342E2">
          <w:rPr>
            <w:rStyle w:val="Hyperlink"/>
            <w:rFonts w:eastAsiaTheme="majorEastAsia"/>
            <w:i/>
            <w:noProof/>
            <w:webHidden/>
            <w:color w:val="31849B" w:themeColor="accent5" w:themeShade="BF"/>
            <w:sz w:val="20"/>
            <w:szCs w:val="22"/>
            <w:lang w:val="sq-AL"/>
          </w:rPr>
          <w:t>60</w:t>
        </w:r>
        <w:r w:rsidR="00315385" w:rsidRPr="00315385">
          <w:rPr>
            <w:rStyle w:val="Hyperlink"/>
            <w:rFonts w:eastAsiaTheme="majorEastAsia"/>
            <w:i/>
            <w:noProof/>
            <w:webHidden/>
            <w:color w:val="31849B" w:themeColor="accent5" w:themeShade="BF"/>
            <w:sz w:val="20"/>
            <w:szCs w:val="22"/>
            <w:lang w:val="sq-AL"/>
          </w:rPr>
          <w:fldChar w:fldCharType="end"/>
        </w:r>
      </w:hyperlink>
    </w:p>
    <w:p w:rsidR="00315385" w:rsidRPr="00315385" w:rsidRDefault="00555461">
      <w:pPr>
        <w:pStyle w:val="TableofFigures"/>
        <w:tabs>
          <w:tab w:val="right" w:leader="dot" w:pos="9623"/>
        </w:tabs>
        <w:rPr>
          <w:rStyle w:val="Hyperlink"/>
          <w:rFonts w:eastAsiaTheme="majorEastAsia"/>
          <w:i/>
          <w:noProof/>
          <w:color w:val="31849B" w:themeColor="accent5" w:themeShade="BF"/>
          <w:sz w:val="20"/>
          <w:lang w:val="sq-AL"/>
        </w:rPr>
      </w:pPr>
      <w:hyperlink w:anchor="_Toc44404432" w:history="1">
        <w:r w:rsidR="00315385" w:rsidRPr="00315385">
          <w:rPr>
            <w:rStyle w:val="Hyperlink"/>
            <w:rFonts w:eastAsiaTheme="majorEastAsia"/>
            <w:i/>
            <w:noProof/>
            <w:color w:val="31849B" w:themeColor="accent5" w:themeShade="BF"/>
            <w:sz w:val="20"/>
            <w:szCs w:val="22"/>
            <w:lang w:val="sq-AL"/>
          </w:rPr>
          <w:t>Tabela 31: Infrastruktura dhe Energjia</w:t>
        </w:r>
        <w:r w:rsidR="00315385" w:rsidRPr="00315385">
          <w:rPr>
            <w:rStyle w:val="Hyperlink"/>
            <w:rFonts w:eastAsiaTheme="majorEastAsia"/>
            <w:i/>
            <w:noProof/>
            <w:webHidden/>
            <w:color w:val="31849B" w:themeColor="accent5" w:themeShade="BF"/>
            <w:sz w:val="20"/>
            <w:szCs w:val="22"/>
            <w:lang w:val="sq-AL"/>
          </w:rPr>
          <w:tab/>
        </w:r>
        <w:r w:rsidR="00315385" w:rsidRPr="00315385">
          <w:rPr>
            <w:rStyle w:val="Hyperlink"/>
            <w:rFonts w:eastAsiaTheme="majorEastAsia"/>
            <w:i/>
            <w:noProof/>
            <w:webHidden/>
            <w:color w:val="31849B" w:themeColor="accent5" w:themeShade="BF"/>
            <w:sz w:val="20"/>
            <w:szCs w:val="22"/>
            <w:lang w:val="sq-AL"/>
          </w:rPr>
          <w:fldChar w:fldCharType="begin"/>
        </w:r>
        <w:r w:rsidR="00315385" w:rsidRPr="00315385">
          <w:rPr>
            <w:rStyle w:val="Hyperlink"/>
            <w:rFonts w:eastAsiaTheme="majorEastAsia"/>
            <w:i/>
            <w:noProof/>
            <w:webHidden/>
            <w:color w:val="31849B" w:themeColor="accent5" w:themeShade="BF"/>
            <w:sz w:val="20"/>
            <w:szCs w:val="22"/>
            <w:lang w:val="sq-AL"/>
          </w:rPr>
          <w:instrText xml:space="preserve"> PAGEREF _Toc44404432 \h </w:instrText>
        </w:r>
        <w:r w:rsidR="00315385" w:rsidRPr="00315385">
          <w:rPr>
            <w:rStyle w:val="Hyperlink"/>
            <w:rFonts w:eastAsiaTheme="majorEastAsia"/>
            <w:i/>
            <w:noProof/>
            <w:webHidden/>
            <w:color w:val="31849B" w:themeColor="accent5" w:themeShade="BF"/>
            <w:sz w:val="20"/>
            <w:szCs w:val="22"/>
            <w:lang w:val="sq-AL"/>
          </w:rPr>
        </w:r>
        <w:r w:rsidR="00315385" w:rsidRPr="00315385">
          <w:rPr>
            <w:rStyle w:val="Hyperlink"/>
            <w:rFonts w:eastAsiaTheme="majorEastAsia"/>
            <w:i/>
            <w:noProof/>
            <w:webHidden/>
            <w:color w:val="31849B" w:themeColor="accent5" w:themeShade="BF"/>
            <w:sz w:val="20"/>
            <w:szCs w:val="22"/>
            <w:lang w:val="sq-AL"/>
          </w:rPr>
          <w:fldChar w:fldCharType="separate"/>
        </w:r>
        <w:r w:rsidR="00C342E2">
          <w:rPr>
            <w:rStyle w:val="Hyperlink"/>
            <w:rFonts w:eastAsiaTheme="majorEastAsia"/>
            <w:i/>
            <w:noProof/>
            <w:webHidden/>
            <w:color w:val="31849B" w:themeColor="accent5" w:themeShade="BF"/>
            <w:sz w:val="20"/>
            <w:szCs w:val="22"/>
            <w:lang w:val="sq-AL"/>
          </w:rPr>
          <w:t>62</w:t>
        </w:r>
        <w:r w:rsidR="00315385" w:rsidRPr="00315385">
          <w:rPr>
            <w:rStyle w:val="Hyperlink"/>
            <w:rFonts w:eastAsiaTheme="majorEastAsia"/>
            <w:i/>
            <w:noProof/>
            <w:webHidden/>
            <w:color w:val="31849B" w:themeColor="accent5" w:themeShade="BF"/>
            <w:sz w:val="20"/>
            <w:szCs w:val="22"/>
            <w:lang w:val="sq-AL"/>
          </w:rPr>
          <w:fldChar w:fldCharType="end"/>
        </w:r>
      </w:hyperlink>
    </w:p>
    <w:p w:rsidR="00315385" w:rsidRPr="00315385" w:rsidRDefault="00555461">
      <w:pPr>
        <w:pStyle w:val="TableofFigures"/>
        <w:tabs>
          <w:tab w:val="right" w:leader="dot" w:pos="9623"/>
        </w:tabs>
        <w:rPr>
          <w:rStyle w:val="Hyperlink"/>
          <w:rFonts w:eastAsiaTheme="majorEastAsia"/>
          <w:i/>
          <w:noProof/>
          <w:color w:val="31849B" w:themeColor="accent5" w:themeShade="BF"/>
          <w:sz w:val="20"/>
          <w:lang w:val="sq-AL"/>
        </w:rPr>
      </w:pPr>
      <w:hyperlink w:anchor="_Toc44404433" w:history="1">
        <w:r w:rsidR="00315385" w:rsidRPr="00315385">
          <w:rPr>
            <w:rStyle w:val="Hyperlink"/>
            <w:rFonts w:eastAsiaTheme="majorEastAsia"/>
            <w:i/>
            <w:noProof/>
            <w:color w:val="31849B" w:themeColor="accent5" w:themeShade="BF"/>
            <w:sz w:val="20"/>
            <w:szCs w:val="22"/>
            <w:lang w:val="sq-AL"/>
          </w:rPr>
          <w:t>Tabela 32: TURIZMI DHE MJEDISI</w:t>
        </w:r>
        <w:r w:rsidR="00315385" w:rsidRPr="00315385">
          <w:rPr>
            <w:rStyle w:val="Hyperlink"/>
            <w:rFonts w:eastAsiaTheme="majorEastAsia"/>
            <w:i/>
            <w:noProof/>
            <w:webHidden/>
            <w:color w:val="31849B" w:themeColor="accent5" w:themeShade="BF"/>
            <w:sz w:val="20"/>
            <w:szCs w:val="22"/>
            <w:lang w:val="sq-AL"/>
          </w:rPr>
          <w:tab/>
        </w:r>
        <w:r w:rsidR="00315385" w:rsidRPr="00315385">
          <w:rPr>
            <w:rStyle w:val="Hyperlink"/>
            <w:rFonts w:eastAsiaTheme="majorEastAsia"/>
            <w:i/>
            <w:noProof/>
            <w:webHidden/>
            <w:color w:val="31849B" w:themeColor="accent5" w:themeShade="BF"/>
            <w:sz w:val="20"/>
            <w:szCs w:val="22"/>
            <w:lang w:val="sq-AL"/>
          </w:rPr>
          <w:fldChar w:fldCharType="begin"/>
        </w:r>
        <w:r w:rsidR="00315385" w:rsidRPr="00315385">
          <w:rPr>
            <w:rStyle w:val="Hyperlink"/>
            <w:rFonts w:eastAsiaTheme="majorEastAsia"/>
            <w:i/>
            <w:noProof/>
            <w:webHidden/>
            <w:color w:val="31849B" w:themeColor="accent5" w:themeShade="BF"/>
            <w:sz w:val="20"/>
            <w:szCs w:val="22"/>
            <w:lang w:val="sq-AL"/>
          </w:rPr>
          <w:instrText xml:space="preserve"> PAGEREF _Toc44404433 \h </w:instrText>
        </w:r>
        <w:r w:rsidR="00315385" w:rsidRPr="00315385">
          <w:rPr>
            <w:rStyle w:val="Hyperlink"/>
            <w:rFonts w:eastAsiaTheme="majorEastAsia"/>
            <w:i/>
            <w:noProof/>
            <w:webHidden/>
            <w:color w:val="31849B" w:themeColor="accent5" w:themeShade="BF"/>
            <w:sz w:val="20"/>
            <w:szCs w:val="22"/>
            <w:lang w:val="sq-AL"/>
          </w:rPr>
        </w:r>
        <w:r w:rsidR="00315385" w:rsidRPr="00315385">
          <w:rPr>
            <w:rStyle w:val="Hyperlink"/>
            <w:rFonts w:eastAsiaTheme="majorEastAsia"/>
            <w:i/>
            <w:noProof/>
            <w:webHidden/>
            <w:color w:val="31849B" w:themeColor="accent5" w:themeShade="BF"/>
            <w:sz w:val="20"/>
            <w:szCs w:val="22"/>
            <w:lang w:val="sq-AL"/>
          </w:rPr>
          <w:fldChar w:fldCharType="separate"/>
        </w:r>
        <w:r w:rsidR="00C342E2">
          <w:rPr>
            <w:rStyle w:val="Hyperlink"/>
            <w:rFonts w:eastAsiaTheme="majorEastAsia"/>
            <w:i/>
            <w:noProof/>
            <w:webHidden/>
            <w:color w:val="31849B" w:themeColor="accent5" w:themeShade="BF"/>
            <w:sz w:val="20"/>
            <w:szCs w:val="22"/>
            <w:lang w:val="sq-AL"/>
          </w:rPr>
          <w:t>65</w:t>
        </w:r>
        <w:r w:rsidR="00315385" w:rsidRPr="00315385">
          <w:rPr>
            <w:rStyle w:val="Hyperlink"/>
            <w:rFonts w:eastAsiaTheme="majorEastAsia"/>
            <w:i/>
            <w:noProof/>
            <w:webHidden/>
            <w:color w:val="31849B" w:themeColor="accent5" w:themeShade="BF"/>
            <w:sz w:val="20"/>
            <w:szCs w:val="22"/>
            <w:lang w:val="sq-AL"/>
          </w:rPr>
          <w:fldChar w:fldCharType="end"/>
        </w:r>
      </w:hyperlink>
    </w:p>
    <w:p w:rsidR="00315385" w:rsidRPr="00315385" w:rsidRDefault="00555461">
      <w:pPr>
        <w:pStyle w:val="TableofFigures"/>
        <w:tabs>
          <w:tab w:val="right" w:leader="dot" w:pos="9623"/>
        </w:tabs>
        <w:rPr>
          <w:rStyle w:val="Hyperlink"/>
          <w:rFonts w:eastAsiaTheme="majorEastAsia"/>
          <w:i/>
          <w:noProof/>
          <w:color w:val="31849B" w:themeColor="accent5" w:themeShade="BF"/>
          <w:sz w:val="20"/>
          <w:lang w:val="sq-AL"/>
        </w:rPr>
      </w:pPr>
      <w:hyperlink w:anchor="_Toc44404434" w:history="1">
        <w:r w:rsidR="00315385" w:rsidRPr="00315385">
          <w:rPr>
            <w:rStyle w:val="Hyperlink"/>
            <w:rFonts w:eastAsiaTheme="majorEastAsia"/>
            <w:i/>
            <w:noProof/>
            <w:color w:val="31849B" w:themeColor="accent5" w:themeShade="BF"/>
            <w:sz w:val="20"/>
            <w:szCs w:val="22"/>
            <w:lang w:val="sq-AL"/>
          </w:rPr>
          <w:t>Tabela 33: Drejtësia</w:t>
        </w:r>
        <w:r w:rsidR="00315385" w:rsidRPr="00315385">
          <w:rPr>
            <w:rStyle w:val="Hyperlink"/>
            <w:rFonts w:eastAsiaTheme="majorEastAsia"/>
            <w:i/>
            <w:noProof/>
            <w:webHidden/>
            <w:color w:val="31849B" w:themeColor="accent5" w:themeShade="BF"/>
            <w:sz w:val="20"/>
            <w:szCs w:val="22"/>
            <w:lang w:val="sq-AL"/>
          </w:rPr>
          <w:tab/>
        </w:r>
        <w:r w:rsidR="00315385" w:rsidRPr="00315385">
          <w:rPr>
            <w:rStyle w:val="Hyperlink"/>
            <w:rFonts w:eastAsiaTheme="majorEastAsia"/>
            <w:i/>
            <w:noProof/>
            <w:webHidden/>
            <w:color w:val="31849B" w:themeColor="accent5" w:themeShade="BF"/>
            <w:sz w:val="20"/>
            <w:szCs w:val="22"/>
            <w:lang w:val="sq-AL"/>
          </w:rPr>
          <w:fldChar w:fldCharType="begin"/>
        </w:r>
        <w:r w:rsidR="00315385" w:rsidRPr="00315385">
          <w:rPr>
            <w:rStyle w:val="Hyperlink"/>
            <w:rFonts w:eastAsiaTheme="majorEastAsia"/>
            <w:i/>
            <w:noProof/>
            <w:webHidden/>
            <w:color w:val="31849B" w:themeColor="accent5" w:themeShade="BF"/>
            <w:sz w:val="20"/>
            <w:szCs w:val="22"/>
            <w:lang w:val="sq-AL"/>
          </w:rPr>
          <w:instrText xml:space="preserve"> PAGEREF _Toc44404434 \h </w:instrText>
        </w:r>
        <w:r w:rsidR="00315385" w:rsidRPr="00315385">
          <w:rPr>
            <w:rStyle w:val="Hyperlink"/>
            <w:rFonts w:eastAsiaTheme="majorEastAsia"/>
            <w:i/>
            <w:noProof/>
            <w:webHidden/>
            <w:color w:val="31849B" w:themeColor="accent5" w:themeShade="BF"/>
            <w:sz w:val="20"/>
            <w:szCs w:val="22"/>
            <w:lang w:val="sq-AL"/>
          </w:rPr>
        </w:r>
        <w:r w:rsidR="00315385" w:rsidRPr="00315385">
          <w:rPr>
            <w:rStyle w:val="Hyperlink"/>
            <w:rFonts w:eastAsiaTheme="majorEastAsia"/>
            <w:i/>
            <w:noProof/>
            <w:webHidden/>
            <w:color w:val="31849B" w:themeColor="accent5" w:themeShade="BF"/>
            <w:sz w:val="20"/>
            <w:szCs w:val="22"/>
            <w:lang w:val="sq-AL"/>
          </w:rPr>
          <w:fldChar w:fldCharType="separate"/>
        </w:r>
        <w:r w:rsidR="00C342E2">
          <w:rPr>
            <w:rStyle w:val="Hyperlink"/>
            <w:rFonts w:eastAsiaTheme="majorEastAsia"/>
            <w:i/>
            <w:noProof/>
            <w:webHidden/>
            <w:color w:val="31849B" w:themeColor="accent5" w:themeShade="BF"/>
            <w:sz w:val="20"/>
            <w:szCs w:val="22"/>
            <w:lang w:val="sq-AL"/>
          </w:rPr>
          <w:t>66</w:t>
        </w:r>
        <w:r w:rsidR="00315385" w:rsidRPr="00315385">
          <w:rPr>
            <w:rStyle w:val="Hyperlink"/>
            <w:rFonts w:eastAsiaTheme="majorEastAsia"/>
            <w:i/>
            <w:noProof/>
            <w:webHidden/>
            <w:color w:val="31849B" w:themeColor="accent5" w:themeShade="BF"/>
            <w:sz w:val="20"/>
            <w:szCs w:val="22"/>
            <w:lang w:val="sq-AL"/>
          </w:rPr>
          <w:fldChar w:fldCharType="end"/>
        </w:r>
      </w:hyperlink>
    </w:p>
    <w:p w:rsidR="00315385" w:rsidRPr="00315385" w:rsidRDefault="00555461">
      <w:pPr>
        <w:pStyle w:val="TableofFigures"/>
        <w:tabs>
          <w:tab w:val="right" w:leader="dot" w:pos="9623"/>
        </w:tabs>
        <w:rPr>
          <w:rStyle w:val="Hyperlink"/>
          <w:rFonts w:eastAsiaTheme="majorEastAsia"/>
          <w:i/>
          <w:noProof/>
          <w:color w:val="31849B" w:themeColor="accent5" w:themeShade="BF"/>
          <w:sz w:val="20"/>
          <w:lang w:val="sq-AL"/>
        </w:rPr>
      </w:pPr>
      <w:hyperlink w:anchor="_Toc44404435" w:history="1">
        <w:r w:rsidR="00315385" w:rsidRPr="00315385">
          <w:rPr>
            <w:rStyle w:val="Hyperlink"/>
            <w:rFonts w:eastAsiaTheme="majorEastAsia"/>
            <w:i/>
            <w:noProof/>
            <w:color w:val="31849B" w:themeColor="accent5" w:themeShade="BF"/>
            <w:sz w:val="20"/>
            <w:szCs w:val="22"/>
            <w:lang w:val="sq-AL"/>
          </w:rPr>
          <w:t>Tabela 34: Institucionet e Sistemit të Drejtësisë</w:t>
        </w:r>
        <w:r w:rsidR="00315385" w:rsidRPr="00315385">
          <w:rPr>
            <w:rStyle w:val="Hyperlink"/>
            <w:rFonts w:eastAsiaTheme="majorEastAsia"/>
            <w:i/>
            <w:noProof/>
            <w:webHidden/>
            <w:color w:val="31849B" w:themeColor="accent5" w:themeShade="BF"/>
            <w:sz w:val="20"/>
            <w:szCs w:val="22"/>
            <w:lang w:val="sq-AL"/>
          </w:rPr>
          <w:tab/>
        </w:r>
        <w:r w:rsidR="00315385" w:rsidRPr="00315385">
          <w:rPr>
            <w:rStyle w:val="Hyperlink"/>
            <w:rFonts w:eastAsiaTheme="majorEastAsia"/>
            <w:i/>
            <w:noProof/>
            <w:webHidden/>
            <w:color w:val="31849B" w:themeColor="accent5" w:themeShade="BF"/>
            <w:sz w:val="20"/>
            <w:szCs w:val="22"/>
            <w:lang w:val="sq-AL"/>
          </w:rPr>
          <w:fldChar w:fldCharType="begin"/>
        </w:r>
        <w:r w:rsidR="00315385" w:rsidRPr="00315385">
          <w:rPr>
            <w:rStyle w:val="Hyperlink"/>
            <w:rFonts w:eastAsiaTheme="majorEastAsia"/>
            <w:i/>
            <w:noProof/>
            <w:webHidden/>
            <w:color w:val="31849B" w:themeColor="accent5" w:themeShade="BF"/>
            <w:sz w:val="20"/>
            <w:szCs w:val="22"/>
            <w:lang w:val="sq-AL"/>
          </w:rPr>
          <w:instrText xml:space="preserve"> PAGEREF _Toc44404435 \h </w:instrText>
        </w:r>
        <w:r w:rsidR="00315385" w:rsidRPr="00315385">
          <w:rPr>
            <w:rStyle w:val="Hyperlink"/>
            <w:rFonts w:eastAsiaTheme="majorEastAsia"/>
            <w:i/>
            <w:noProof/>
            <w:webHidden/>
            <w:color w:val="31849B" w:themeColor="accent5" w:themeShade="BF"/>
            <w:sz w:val="20"/>
            <w:szCs w:val="22"/>
            <w:lang w:val="sq-AL"/>
          </w:rPr>
        </w:r>
        <w:r w:rsidR="00315385" w:rsidRPr="00315385">
          <w:rPr>
            <w:rStyle w:val="Hyperlink"/>
            <w:rFonts w:eastAsiaTheme="majorEastAsia"/>
            <w:i/>
            <w:noProof/>
            <w:webHidden/>
            <w:color w:val="31849B" w:themeColor="accent5" w:themeShade="BF"/>
            <w:sz w:val="20"/>
            <w:szCs w:val="22"/>
            <w:lang w:val="sq-AL"/>
          </w:rPr>
          <w:fldChar w:fldCharType="separate"/>
        </w:r>
        <w:r w:rsidR="00C342E2">
          <w:rPr>
            <w:rStyle w:val="Hyperlink"/>
            <w:rFonts w:eastAsiaTheme="majorEastAsia"/>
            <w:i/>
            <w:noProof/>
            <w:webHidden/>
            <w:color w:val="31849B" w:themeColor="accent5" w:themeShade="BF"/>
            <w:sz w:val="20"/>
            <w:szCs w:val="22"/>
            <w:lang w:val="sq-AL"/>
          </w:rPr>
          <w:t>67</w:t>
        </w:r>
        <w:r w:rsidR="00315385" w:rsidRPr="00315385">
          <w:rPr>
            <w:rStyle w:val="Hyperlink"/>
            <w:rFonts w:eastAsiaTheme="majorEastAsia"/>
            <w:i/>
            <w:noProof/>
            <w:webHidden/>
            <w:color w:val="31849B" w:themeColor="accent5" w:themeShade="BF"/>
            <w:sz w:val="20"/>
            <w:szCs w:val="22"/>
            <w:lang w:val="sq-AL"/>
          </w:rPr>
          <w:fldChar w:fldCharType="end"/>
        </w:r>
      </w:hyperlink>
    </w:p>
    <w:p w:rsidR="00315385" w:rsidRPr="00315385" w:rsidRDefault="00555461">
      <w:pPr>
        <w:pStyle w:val="TableofFigures"/>
        <w:tabs>
          <w:tab w:val="right" w:leader="dot" w:pos="9623"/>
        </w:tabs>
        <w:rPr>
          <w:rStyle w:val="Hyperlink"/>
          <w:rFonts w:eastAsiaTheme="majorEastAsia"/>
          <w:i/>
          <w:noProof/>
          <w:color w:val="31849B" w:themeColor="accent5" w:themeShade="BF"/>
          <w:sz w:val="20"/>
          <w:lang w:val="sq-AL"/>
        </w:rPr>
      </w:pPr>
      <w:hyperlink w:anchor="_Toc44404436" w:history="1">
        <w:r w:rsidR="00315385" w:rsidRPr="00315385">
          <w:rPr>
            <w:rStyle w:val="Hyperlink"/>
            <w:rFonts w:eastAsiaTheme="majorEastAsia"/>
            <w:i/>
            <w:noProof/>
            <w:color w:val="31849B" w:themeColor="accent5" w:themeShade="BF"/>
            <w:sz w:val="20"/>
            <w:szCs w:val="22"/>
            <w:lang w:val="sq-AL"/>
          </w:rPr>
          <w:t>Tabela 35: Financat, Ekonomia, Punësimi dhe Arsimi Profesional</w:t>
        </w:r>
        <w:r w:rsidR="00315385" w:rsidRPr="00315385">
          <w:rPr>
            <w:rStyle w:val="Hyperlink"/>
            <w:rFonts w:eastAsiaTheme="majorEastAsia"/>
            <w:i/>
            <w:noProof/>
            <w:webHidden/>
            <w:color w:val="31849B" w:themeColor="accent5" w:themeShade="BF"/>
            <w:sz w:val="20"/>
            <w:szCs w:val="22"/>
            <w:lang w:val="sq-AL"/>
          </w:rPr>
          <w:tab/>
        </w:r>
        <w:r w:rsidR="00315385" w:rsidRPr="00315385">
          <w:rPr>
            <w:rStyle w:val="Hyperlink"/>
            <w:rFonts w:eastAsiaTheme="majorEastAsia"/>
            <w:i/>
            <w:noProof/>
            <w:webHidden/>
            <w:color w:val="31849B" w:themeColor="accent5" w:themeShade="BF"/>
            <w:sz w:val="20"/>
            <w:szCs w:val="22"/>
            <w:lang w:val="sq-AL"/>
          </w:rPr>
          <w:fldChar w:fldCharType="begin"/>
        </w:r>
        <w:r w:rsidR="00315385" w:rsidRPr="00315385">
          <w:rPr>
            <w:rStyle w:val="Hyperlink"/>
            <w:rFonts w:eastAsiaTheme="majorEastAsia"/>
            <w:i/>
            <w:noProof/>
            <w:webHidden/>
            <w:color w:val="31849B" w:themeColor="accent5" w:themeShade="BF"/>
            <w:sz w:val="20"/>
            <w:szCs w:val="22"/>
            <w:lang w:val="sq-AL"/>
          </w:rPr>
          <w:instrText xml:space="preserve"> PAGEREF _Toc44404436 \h </w:instrText>
        </w:r>
        <w:r w:rsidR="00315385" w:rsidRPr="00315385">
          <w:rPr>
            <w:rStyle w:val="Hyperlink"/>
            <w:rFonts w:eastAsiaTheme="majorEastAsia"/>
            <w:i/>
            <w:noProof/>
            <w:webHidden/>
            <w:color w:val="31849B" w:themeColor="accent5" w:themeShade="BF"/>
            <w:sz w:val="20"/>
            <w:szCs w:val="22"/>
            <w:lang w:val="sq-AL"/>
          </w:rPr>
        </w:r>
        <w:r w:rsidR="00315385" w:rsidRPr="00315385">
          <w:rPr>
            <w:rStyle w:val="Hyperlink"/>
            <w:rFonts w:eastAsiaTheme="majorEastAsia"/>
            <w:i/>
            <w:noProof/>
            <w:webHidden/>
            <w:color w:val="31849B" w:themeColor="accent5" w:themeShade="BF"/>
            <w:sz w:val="20"/>
            <w:szCs w:val="22"/>
            <w:lang w:val="sq-AL"/>
          </w:rPr>
          <w:fldChar w:fldCharType="separate"/>
        </w:r>
        <w:r w:rsidR="00C342E2">
          <w:rPr>
            <w:rStyle w:val="Hyperlink"/>
            <w:rFonts w:eastAsiaTheme="majorEastAsia"/>
            <w:i/>
            <w:noProof/>
            <w:webHidden/>
            <w:color w:val="31849B" w:themeColor="accent5" w:themeShade="BF"/>
            <w:sz w:val="20"/>
            <w:szCs w:val="22"/>
            <w:lang w:val="sq-AL"/>
          </w:rPr>
          <w:t>67</w:t>
        </w:r>
        <w:r w:rsidR="00315385" w:rsidRPr="00315385">
          <w:rPr>
            <w:rStyle w:val="Hyperlink"/>
            <w:rFonts w:eastAsiaTheme="majorEastAsia"/>
            <w:i/>
            <w:noProof/>
            <w:webHidden/>
            <w:color w:val="31849B" w:themeColor="accent5" w:themeShade="BF"/>
            <w:sz w:val="20"/>
            <w:szCs w:val="22"/>
            <w:lang w:val="sq-AL"/>
          </w:rPr>
          <w:fldChar w:fldCharType="end"/>
        </w:r>
      </w:hyperlink>
    </w:p>
    <w:p w:rsidR="00315385" w:rsidRPr="00315385" w:rsidRDefault="00555461">
      <w:pPr>
        <w:pStyle w:val="TableofFigures"/>
        <w:tabs>
          <w:tab w:val="right" w:leader="dot" w:pos="9623"/>
        </w:tabs>
        <w:rPr>
          <w:rStyle w:val="Hyperlink"/>
          <w:rFonts w:eastAsiaTheme="majorEastAsia"/>
          <w:i/>
          <w:noProof/>
          <w:color w:val="31849B" w:themeColor="accent5" w:themeShade="BF"/>
          <w:sz w:val="20"/>
          <w:lang w:val="sq-AL"/>
        </w:rPr>
      </w:pPr>
      <w:hyperlink w:anchor="_Toc44404437" w:history="1">
        <w:r w:rsidR="00315385" w:rsidRPr="00315385">
          <w:rPr>
            <w:rStyle w:val="Hyperlink"/>
            <w:rFonts w:eastAsiaTheme="majorEastAsia"/>
            <w:i/>
            <w:noProof/>
            <w:color w:val="31849B" w:themeColor="accent5" w:themeShade="BF"/>
            <w:sz w:val="20"/>
            <w:szCs w:val="22"/>
            <w:lang w:val="sq-AL"/>
          </w:rPr>
          <w:t>Tabela 36: Mbrojtja</w:t>
        </w:r>
        <w:r w:rsidR="00315385" w:rsidRPr="00315385">
          <w:rPr>
            <w:rStyle w:val="Hyperlink"/>
            <w:rFonts w:eastAsiaTheme="majorEastAsia"/>
            <w:i/>
            <w:noProof/>
            <w:webHidden/>
            <w:color w:val="31849B" w:themeColor="accent5" w:themeShade="BF"/>
            <w:sz w:val="20"/>
            <w:szCs w:val="22"/>
            <w:lang w:val="sq-AL"/>
          </w:rPr>
          <w:tab/>
        </w:r>
        <w:r w:rsidR="00315385" w:rsidRPr="00315385">
          <w:rPr>
            <w:rStyle w:val="Hyperlink"/>
            <w:rFonts w:eastAsiaTheme="majorEastAsia"/>
            <w:i/>
            <w:noProof/>
            <w:webHidden/>
            <w:color w:val="31849B" w:themeColor="accent5" w:themeShade="BF"/>
            <w:sz w:val="20"/>
            <w:szCs w:val="22"/>
            <w:lang w:val="sq-AL"/>
          </w:rPr>
          <w:fldChar w:fldCharType="begin"/>
        </w:r>
        <w:r w:rsidR="00315385" w:rsidRPr="00315385">
          <w:rPr>
            <w:rStyle w:val="Hyperlink"/>
            <w:rFonts w:eastAsiaTheme="majorEastAsia"/>
            <w:i/>
            <w:noProof/>
            <w:webHidden/>
            <w:color w:val="31849B" w:themeColor="accent5" w:themeShade="BF"/>
            <w:sz w:val="20"/>
            <w:szCs w:val="22"/>
            <w:lang w:val="sq-AL"/>
          </w:rPr>
          <w:instrText xml:space="preserve"> PAGEREF _Toc44404437 \h </w:instrText>
        </w:r>
        <w:r w:rsidR="00315385" w:rsidRPr="00315385">
          <w:rPr>
            <w:rStyle w:val="Hyperlink"/>
            <w:rFonts w:eastAsiaTheme="majorEastAsia"/>
            <w:i/>
            <w:noProof/>
            <w:webHidden/>
            <w:color w:val="31849B" w:themeColor="accent5" w:themeShade="BF"/>
            <w:sz w:val="20"/>
            <w:szCs w:val="22"/>
            <w:lang w:val="sq-AL"/>
          </w:rPr>
        </w:r>
        <w:r w:rsidR="00315385" w:rsidRPr="00315385">
          <w:rPr>
            <w:rStyle w:val="Hyperlink"/>
            <w:rFonts w:eastAsiaTheme="majorEastAsia"/>
            <w:i/>
            <w:noProof/>
            <w:webHidden/>
            <w:color w:val="31849B" w:themeColor="accent5" w:themeShade="BF"/>
            <w:sz w:val="20"/>
            <w:szCs w:val="22"/>
            <w:lang w:val="sq-AL"/>
          </w:rPr>
          <w:fldChar w:fldCharType="separate"/>
        </w:r>
        <w:r w:rsidR="00C342E2">
          <w:rPr>
            <w:rStyle w:val="Hyperlink"/>
            <w:rFonts w:eastAsiaTheme="majorEastAsia"/>
            <w:i/>
            <w:noProof/>
            <w:webHidden/>
            <w:color w:val="31849B" w:themeColor="accent5" w:themeShade="BF"/>
            <w:sz w:val="20"/>
            <w:szCs w:val="22"/>
            <w:lang w:val="sq-AL"/>
          </w:rPr>
          <w:t>69</w:t>
        </w:r>
        <w:r w:rsidR="00315385" w:rsidRPr="00315385">
          <w:rPr>
            <w:rStyle w:val="Hyperlink"/>
            <w:rFonts w:eastAsiaTheme="majorEastAsia"/>
            <w:i/>
            <w:noProof/>
            <w:webHidden/>
            <w:color w:val="31849B" w:themeColor="accent5" w:themeShade="BF"/>
            <w:sz w:val="20"/>
            <w:szCs w:val="22"/>
            <w:lang w:val="sq-AL"/>
          </w:rPr>
          <w:fldChar w:fldCharType="end"/>
        </w:r>
      </w:hyperlink>
    </w:p>
    <w:p w:rsidR="00315385" w:rsidRPr="00315385" w:rsidRDefault="00555461">
      <w:pPr>
        <w:pStyle w:val="TableofFigures"/>
        <w:tabs>
          <w:tab w:val="right" w:leader="dot" w:pos="9623"/>
        </w:tabs>
        <w:rPr>
          <w:rStyle w:val="Hyperlink"/>
          <w:rFonts w:eastAsiaTheme="majorEastAsia"/>
          <w:i/>
          <w:noProof/>
          <w:color w:val="31849B" w:themeColor="accent5" w:themeShade="BF"/>
          <w:sz w:val="20"/>
          <w:lang w:val="sq-AL"/>
        </w:rPr>
      </w:pPr>
      <w:hyperlink w:anchor="_Toc44404438" w:history="1">
        <w:r w:rsidR="00315385" w:rsidRPr="00315385">
          <w:rPr>
            <w:rStyle w:val="Hyperlink"/>
            <w:rFonts w:eastAsiaTheme="majorEastAsia"/>
            <w:i/>
            <w:noProof/>
            <w:color w:val="31849B" w:themeColor="accent5" w:themeShade="BF"/>
            <w:sz w:val="20"/>
            <w:szCs w:val="22"/>
            <w:lang w:val="sq-AL"/>
          </w:rPr>
          <w:t>Tabela 37:  Rendi dhe Siguria Publike</w:t>
        </w:r>
        <w:r w:rsidR="00315385" w:rsidRPr="00315385">
          <w:rPr>
            <w:rStyle w:val="Hyperlink"/>
            <w:rFonts w:eastAsiaTheme="majorEastAsia"/>
            <w:i/>
            <w:noProof/>
            <w:webHidden/>
            <w:color w:val="31849B" w:themeColor="accent5" w:themeShade="BF"/>
            <w:sz w:val="20"/>
            <w:szCs w:val="22"/>
            <w:lang w:val="sq-AL"/>
          </w:rPr>
          <w:tab/>
        </w:r>
        <w:r w:rsidR="00315385" w:rsidRPr="00315385">
          <w:rPr>
            <w:rStyle w:val="Hyperlink"/>
            <w:rFonts w:eastAsiaTheme="majorEastAsia"/>
            <w:i/>
            <w:noProof/>
            <w:webHidden/>
            <w:color w:val="31849B" w:themeColor="accent5" w:themeShade="BF"/>
            <w:sz w:val="20"/>
            <w:szCs w:val="22"/>
            <w:lang w:val="sq-AL"/>
          </w:rPr>
          <w:fldChar w:fldCharType="begin"/>
        </w:r>
        <w:r w:rsidR="00315385" w:rsidRPr="00315385">
          <w:rPr>
            <w:rStyle w:val="Hyperlink"/>
            <w:rFonts w:eastAsiaTheme="majorEastAsia"/>
            <w:i/>
            <w:noProof/>
            <w:webHidden/>
            <w:color w:val="31849B" w:themeColor="accent5" w:themeShade="BF"/>
            <w:sz w:val="20"/>
            <w:szCs w:val="22"/>
            <w:lang w:val="sq-AL"/>
          </w:rPr>
          <w:instrText xml:space="preserve"> PAGEREF _Toc44404438 \h </w:instrText>
        </w:r>
        <w:r w:rsidR="00315385" w:rsidRPr="00315385">
          <w:rPr>
            <w:rStyle w:val="Hyperlink"/>
            <w:rFonts w:eastAsiaTheme="majorEastAsia"/>
            <w:i/>
            <w:noProof/>
            <w:webHidden/>
            <w:color w:val="31849B" w:themeColor="accent5" w:themeShade="BF"/>
            <w:sz w:val="20"/>
            <w:szCs w:val="22"/>
            <w:lang w:val="sq-AL"/>
          </w:rPr>
        </w:r>
        <w:r w:rsidR="00315385" w:rsidRPr="00315385">
          <w:rPr>
            <w:rStyle w:val="Hyperlink"/>
            <w:rFonts w:eastAsiaTheme="majorEastAsia"/>
            <w:i/>
            <w:noProof/>
            <w:webHidden/>
            <w:color w:val="31849B" w:themeColor="accent5" w:themeShade="BF"/>
            <w:sz w:val="20"/>
            <w:szCs w:val="22"/>
            <w:lang w:val="sq-AL"/>
          </w:rPr>
          <w:fldChar w:fldCharType="separate"/>
        </w:r>
        <w:r w:rsidR="00C342E2">
          <w:rPr>
            <w:rStyle w:val="Hyperlink"/>
            <w:rFonts w:eastAsiaTheme="majorEastAsia"/>
            <w:i/>
            <w:noProof/>
            <w:webHidden/>
            <w:color w:val="31849B" w:themeColor="accent5" w:themeShade="BF"/>
            <w:sz w:val="20"/>
            <w:szCs w:val="22"/>
            <w:lang w:val="sq-AL"/>
          </w:rPr>
          <w:t>72</w:t>
        </w:r>
        <w:r w:rsidR="00315385" w:rsidRPr="00315385">
          <w:rPr>
            <w:rStyle w:val="Hyperlink"/>
            <w:rFonts w:eastAsiaTheme="majorEastAsia"/>
            <w:i/>
            <w:noProof/>
            <w:webHidden/>
            <w:color w:val="31849B" w:themeColor="accent5" w:themeShade="BF"/>
            <w:sz w:val="20"/>
            <w:szCs w:val="22"/>
            <w:lang w:val="sq-AL"/>
          </w:rPr>
          <w:fldChar w:fldCharType="end"/>
        </w:r>
      </w:hyperlink>
    </w:p>
    <w:p w:rsidR="00315385" w:rsidRPr="00315385" w:rsidRDefault="00555461">
      <w:pPr>
        <w:pStyle w:val="TableofFigures"/>
        <w:tabs>
          <w:tab w:val="right" w:leader="dot" w:pos="9623"/>
        </w:tabs>
        <w:rPr>
          <w:rStyle w:val="Hyperlink"/>
          <w:rFonts w:eastAsiaTheme="majorEastAsia"/>
          <w:i/>
          <w:noProof/>
          <w:color w:val="31849B" w:themeColor="accent5" w:themeShade="BF"/>
          <w:sz w:val="20"/>
          <w:lang w:val="sq-AL"/>
        </w:rPr>
      </w:pPr>
      <w:hyperlink w:anchor="_Toc44404439" w:history="1">
        <w:r w:rsidR="00315385" w:rsidRPr="00315385">
          <w:rPr>
            <w:rStyle w:val="Hyperlink"/>
            <w:rFonts w:eastAsiaTheme="majorEastAsia"/>
            <w:i/>
            <w:noProof/>
            <w:color w:val="31849B" w:themeColor="accent5" w:themeShade="BF"/>
            <w:sz w:val="20"/>
            <w:szCs w:val="22"/>
            <w:lang w:val="sq-AL"/>
          </w:rPr>
          <w:t>Tabela 38: Kultura</w:t>
        </w:r>
        <w:r w:rsidR="00315385" w:rsidRPr="00315385">
          <w:rPr>
            <w:rStyle w:val="Hyperlink"/>
            <w:rFonts w:eastAsiaTheme="majorEastAsia"/>
            <w:i/>
            <w:noProof/>
            <w:webHidden/>
            <w:color w:val="31849B" w:themeColor="accent5" w:themeShade="BF"/>
            <w:sz w:val="20"/>
            <w:szCs w:val="22"/>
            <w:lang w:val="sq-AL"/>
          </w:rPr>
          <w:tab/>
        </w:r>
        <w:r w:rsidR="00315385" w:rsidRPr="00315385">
          <w:rPr>
            <w:rStyle w:val="Hyperlink"/>
            <w:rFonts w:eastAsiaTheme="majorEastAsia"/>
            <w:i/>
            <w:noProof/>
            <w:webHidden/>
            <w:color w:val="31849B" w:themeColor="accent5" w:themeShade="BF"/>
            <w:sz w:val="20"/>
            <w:szCs w:val="22"/>
            <w:lang w:val="sq-AL"/>
          </w:rPr>
          <w:fldChar w:fldCharType="begin"/>
        </w:r>
        <w:r w:rsidR="00315385" w:rsidRPr="00315385">
          <w:rPr>
            <w:rStyle w:val="Hyperlink"/>
            <w:rFonts w:eastAsiaTheme="majorEastAsia"/>
            <w:i/>
            <w:noProof/>
            <w:webHidden/>
            <w:color w:val="31849B" w:themeColor="accent5" w:themeShade="BF"/>
            <w:sz w:val="20"/>
            <w:szCs w:val="22"/>
            <w:lang w:val="sq-AL"/>
          </w:rPr>
          <w:instrText xml:space="preserve"> PAGEREF _Toc44404439 \h </w:instrText>
        </w:r>
        <w:r w:rsidR="00315385" w:rsidRPr="00315385">
          <w:rPr>
            <w:rStyle w:val="Hyperlink"/>
            <w:rFonts w:eastAsiaTheme="majorEastAsia"/>
            <w:i/>
            <w:noProof/>
            <w:webHidden/>
            <w:color w:val="31849B" w:themeColor="accent5" w:themeShade="BF"/>
            <w:sz w:val="20"/>
            <w:szCs w:val="22"/>
            <w:lang w:val="sq-AL"/>
          </w:rPr>
        </w:r>
        <w:r w:rsidR="00315385" w:rsidRPr="00315385">
          <w:rPr>
            <w:rStyle w:val="Hyperlink"/>
            <w:rFonts w:eastAsiaTheme="majorEastAsia"/>
            <w:i/>
            <w:noProof/>
            <w:webHidden/>
            <w:color w:val="31849B" w:themeColor="accent5" w:themeShade="BF"/>
            <w:sz w:val="20"/>
            <w:szCs w:val="22"/>
            <w:lang w:val="sq-AL"/>
          </w:rPr>
          <w:fldChar w:fldCharType="separate"/>
        </w:r>
        <w:r w:rsidR="00C342E2">
          <w:rPr>
            <w:rStyle w:val="Hyperlink"/>
            <w:rFonts w:eastAsiaTheme="majorEastAsia"/>
            <w:i/>
            <w:noProof/>
            <w:webHidden/>
            <w:color w:val="31849B" w:themeColor="accent5" w:themeShade="BF"/>
            <w:sz w:val="20"/>
            <w:szCs w:val="22"/>
            <w:lang w:val="sq-AL"/>
          </w:rPr>
          <w:t>75</w:t>
        </w:r>
        <w:r w:rsidR="00315385" w:rsidRPr="00315385">
          <w:rPr>
            <w:rStyle w:val="Hyperlink"/>
            <w:rFonts w:eastAsiaTheme="majorEastAsia"/>
            <w:i/>
            <w:noProof/>
            <w:webHidden/>
            <w:color w:val="31849B" w:themeColor="accent5" w:themeShade="BF"/>
            <w:sz w:val="20"/>
            <w:szCs w:val="22"/>
            <w:lang w:val="sq-AL"/>
          </w:rPr>
          <w:fldChar w:fldCharType="end"/>
        </w:r>
      </w:hyperlink>
    </w:p>
    <w:p w:rsidR="00315385" w:rsidRPr="00315385" w:rsidRDefault="00555461">
      <w:pPr>
        <w:pStyle w:val="TableofFigures"/>
        <w:tabs>
          <w:tab w:val="right" w:leader="dot" w:pos="9623"/>
        </w:tabs>
        <w:rPr>
          <w:rStyle w:val="Hyperlink"/>
          <w:rFonts w:eastAsiaTheme="majorEastAsia"/>
          <w:i/>
          <w:noProof/>
          <w:color w:val="31849B" w:themeColor="accent5" w:themeShade="BF"/>
          <w:sz w:val="20"/>
          <w:lang w:val="sq-AL"/>
        </w:rPr>
      </w:pPr>
      <w:hyperlink w:anchor="_Toc44404440" w:history="1">
        <w:r w:rsidR="00315385" w:rsidRPr="00315385">
          <w:rPr>
            <w:rStyle w:val="Hyperlink"/>
            <w:rFonts w:eastAsiaTheme="majorEastAsia"/>
            <w:i/>
            <w:noProof/>
            <w:color w:val="31849B" w:themeColor="accent5" w:themeShade="BF"/>
            <w:sz w:val="20"/>
            <w:szCs w:val="22"/>
            <w:lang w:val="sq-AL"/>
          </w:rPr>
          <w:t>Tabela 39: Politika e Jashtme</w:t>
        </w:r>
        <w:r w:rsidR="00315385" w:rsidRPr="00315385">
          <w:rPr>
            <w:rStyle w:val="Hyperlink"/>
            <w:rFonts w:eastAsiaTheme="majorEastAsia"/>
            <w:i/>
            <w:noProof/>
            <w:webHidden/>
            <w:color w:val="31849B" w:themeColor="accent5" w:themeShade="BF"/>
            <w:sz w:val="20"/>
            <w:szCs w:val="22"/>
            <w:lang w:val="sq-AL"/>
          </w:rPr>
          <w:tab/>
        </w:r>
        <w:r w:rsidR="00315385" w:rsidRPr="00315385">
          <w:rPr>
            <w:rStyle w:val="Hyperlink"/>
            <w:rFonts w:eastAsiaTheme="majorEastAsia"/>
            <w:i/>
            <w:noProof/>
            <w:webHidden/>
            <w:color w:val="31849B" w:themeColor="accent5" w:themeShade="BF"/>
            <w:sz w:val="20"/>
            <w:szCs w:val="22"/>
            <w:lang w:val="sq-AL"/>
          </w:rPr>
          <w:fldChar w:fldCharType="begin"/>
        </w:r>
        <w:r w:rsidR="00315385" w:rsidRPr="00315385">
          <w:rPr>
            <w:rStyle w:val="Hyperlink"/>
            <w:rFonts w:eastAsiaTheme="majorEastAsia"/>
            <w:i/>
            <w:noProof/>
            <w:webHidden/>
            <w:color w:val="31849B" w:themeColor="accent5" w:themeShade="BF"/>
            <w:sz w:val="20"/>
            <w:szCs w:val="22"/>
            <w:lang w:val="sq-AL"/>
          </w:rPr>
          <w:instrText xml:space="preserve"> PAGEREF _Toc44404440 \h </w:instrText>
        </w:r>
        <w:r w:rsidR="00315385" w:rsidRPr="00315385">
          <w:rPr>
            <w:rStyle w:val="Hyperlink"/>
            <w:rFonts w:eastAsiaTheme="majorEastAsia"/>
            <w:i/>
            <w:noProof/>
            <w:webHidden/>
            <w:color w:val="31849B" w:themeColor="accent5" w:themeShade="BF"/>
            <w:sz w:val="20"/>
            <w:szCs w:val="22"/>
            <w:lang w:val="sq-AL"/>
          </w:rPr>
        </w:r>
        <w:r w:rsidR="00315385" w:rsidRPr="00315385">
          <w:rPr>
            <w:rStyle w:val="Hyperlink"/>
            <w:rFonts w:eastAsiaTheme="majorEastAsia"/>
            <w:i/>
            <w:noProof/>
            <w:webHidden/>
            <w:color w:val="31849B" w:themeColor="accent5" w:themeShade="BF"/>
            <w:sz w:val="20"/>
            <w:szCs w:val="22"/>
            <w:lang w:val="sq-AL"/>
          </w:rPr>
          <w:fldChar w:fldCharType="separate"/>
        </w:r>
        <w:r w:rsidR="00C342E2">
          <w:rPr>
            <w:rStyle w:val="Hyperlink"/>
            <w:rFonts w:eastAsiaTheme="majorEastAsia"/>
            <w:i/>
            <w:noProof/>
            <w:webHidden/>
            <w:color w:val="31849B" w:themeColor="accent5" w:themeShade="BF"/>
            <w:sz w:val="20"/>
            <w:szCs w:val="22"/>
            <w:lang w:val="sq-AL"/>
          </w:rPr>
          <w:t>77</w:t>
        </w:r>
        <w:r w:rsidR="00315385" w:rsidRPr="00315385">
          <w:rPr>
            <w:rStyle w:val="Hyperlink"/>
            <w:rFonts w:eastAsiaTheme="majorEastAsia"/>
            <w:i/>
            <w:noProof/>
            <w:webHidden/>
            <w:color w:val="31849B" w:themeColor="accent5" w:themeShade="BF"/>
            <w:sz w:val="20"/>
            <w:szCs w:val="22"/>
            <w:lang w:val="sq-AL"/>
          </w:rPr>
          <w:fldChar w:fldCharType="end"/>
        </w:r>
      </w:hyperlink>
    </w:p>
    <w:p w:rsidR="00C74FE0" w:rsidRDefault="00070183" w:rsidP="00FC6A7C">
      <w:pPr>
        <w:pStyle w:val="TableofFigures"/>
        <w:tabs>
          <w:tab w:val="right" w:leader="dot" w:pos="9620"/>
        </w:tabs>
        <w:rPr>
          <w:rStyle w:val="Hyperlink"/>
          <w:rFonts w:eastAsiaTheme="majorEastAsia"/>
          <w:i/>
          <w:noProof/>
          <w:color w:val="31849B" w:themeColor="accent5" w:themeShade="BF"/>
          <w:sz w:val="20"/>
          <w:szCs w:val="22"/>
          <w:lang w:val="sq-AL"/>
        </w:rPr>
      </w:pPr>
      <w:r w:rsidRPr="00C74FE0">
        <w:rPr>
          <w:rStyle w:val="Hyperlink"/>
          <w:rFonts w:eastAsiaTheme="majorEastAsia"/>
          <w:i/>
          <w:noProof/>
          <w:color w:val="31849B" w:themeColor="accent5" w:themeShade="BF"/>
          <w:sz w:val="20"/>
          <w:szCs w:val="22"/>
          <w:lang w:val="sq-AL"/>
        </w:rPr>
        <w:fldChar w:fldCharType="end"/>
      </w:r>
    </w:p>
    <w:p w:rsidR="004008C0" w:rsidRDefault="004008C0" w:rsidP="004008C0">
      <w:pPr>
        <w:pStyle w:val="Heading1"/>
        <w:spacing w:before="0"/>
      </w:pPr>
    </w:p>
    <w:p w:rsidR="004008C0" w:rsidRDefault="004008C0" w:rsidP="004008C0">
      <w:pPr>
        <w:pStyle w:val="Heading1"/>
        <w:spacing w:before="0"/>
      </w:pPr>
      <w:r>
        <w:t>Lista e Grafikëve</w:t>
      </w:r>
    </w:p>
    <w:p w:rsidR="004008C0" w:rsidRPr="004008C0" w:rsidRDefault="004008C0" w:rsidP="004008C0">
      <w:pPr>
        <w:rPr>
          <w:rFonts w:eastAsiaTheme="majorEastAsia"/>
          <w:lang w:val="sq-AL"/>
        </w:rPr>
      </w:pPr>
    </w:p>
    <w:p w:rsidR="00315385" w:rsidRPr="00315385" w:rsidRDefault="005D4A49">
      <w:pPr>
        <w:pStyle w:val="TableofFigures"/>
        <w:tabs>
          <w:tab w:val="right" w:leader="dot" w:pos="9623"/>
        </w:tabs>
        <w:rPr>
          <w:rStyle w:val="Hyperlink"/>
          <w:rFonts w:eastAsiaTheme="majorEastAsia"/>
          <w:i/>
          <w:noProof/>
          <w:color w:val="31849B" w:themeColor="accent5" w:themeShade="BF"/>
          <w:sz w:val="20"/>
          <w:lang w:val="sq-AL"/>
        </w:rPr>
      </w:pPr>
      <w:r w:rsidRPr="00524EBF">
        <w:rPr>
          <w:rStyle w:val="Hyperlink"/>
          <w:rFonts w:eastAsiaTheme="majorEastAsia"/>
          <w:i/>
          <w:noProof/>
          <w:color w:val="31849B" w:themeColor="accent5" w:themeShade="BF"/>
          <w:sz w:val="20"/>
          <w:szCs w:val="22"/>
          <w:lang w:val="sq-AL"/>
        </w:rPr>
        <w:fldChar w:fldCharType="begin"/>
      </w:r>
      <w:r w:rsidRPr="00524EBF">
        <w:rPr>
          <w:rStyle w:val="Hyperlink"/>
          <w:rFonts w:eastAsiaTheme="majorEastAsia"/>
          <w:i/>
          <w:noProof/>
          <w:color w:val="31849B" w:themeColor="accent5" w:themeShade="BF"/>
          <w:sz w:val="20"/>
          <w:szCs w:val="22"/>
          <w:lang w:val="sq-AL"/>
        </w:rPr>
        <w:instrText xml:space="preserve"> TOC \h \z \c "Grafiku" </w:instrText>
      </w:r>
      <w:r w:rsidRPr="00524EBF">
        <w:rPr>
          <w:rStyle w:val="Hyperlink"/>
          <w:rFonts w:eastAsiaTheme="majorEastAsia"/>
          <w:i/>
          <w:noProof/>
          <w:color w:val="31849B" w:themeColor="accent5" w:themeShade="BF"/>
          <w:sz w:val="20"/>
          <w:szCs w:val="22"/>
          <w:lang w:val="sq-AL"/>
        </w:rPr>
        <w:fldChar w:fldCharType="separate"/>
      </w:r>
      <w:hyperlink w:anchor="_Toc44404441" w:history="1">
        <w:r w:rsidR="00315385" w:rsidRPr="00315385">
          <w:rPr>
            <w:rStyle w:val="Hyperlink"/>
            <w:rFonts w:eastAsiaTheme="majorEastAsia"/>
            <w:i/>
            <w:noProof/>
            <w:color w:val="31849B" w:themeColor="accent5" w:themeShade="BF"/>
            <w:sz w:val="20"/>
            <w:szCs w:val="22"/>
            <w:lang w:val="sq-AL"/>
          </w:rPr>
          <w:t>Grafiku 1: Totali i të ardhurave Janar- Maj 2020/2019  (në milionë lekë)</w:t>
        </w:r>
        <w:r w:rsidR="00315385" w:rsidRPr="00315385">
          <w:rPr>
            <w:rStyle w:val="Hyperlink"/>
            <w:rFonts w:eastAsiaTheme="majorEastAsia"/>
            <w:i/>
            <w:noProof/>
            <w:webHidden/>
            <w:color w:val="31849B" w:themeColor="accent5" w:themeShade="BF"/>
            <w:sz w:val="20"/>
            <w:szCs w:val="22"/>
            <w:lang w:val="sq-AL"/>
          </w:rPr>
          <w:tab/>
        </w:r>
        <w:r w:rsidR="00315385" w:rsidRPr="00315385">
          <w:rPr>
            <w:rStyle w:val="Hyperlink"/>
            <w:rFonts w:eastAsiaTheme="majorEastAsia"/>
            <w:i/>
            <w:noProof/>
            <w:webHidden/>
            <w:color w:val="31849B" w:themeColor="accent5" w:themeShade="BF"/>
            <w:sz w:val="20"/>
            <w:szCs w:val="22"/>
            <w:lang w:val="sq-AL"/>
          </w:rPr>
          <w:fldChar w:fldCharType="begin"/>
        </w:r>
        <w:r w:rsidR="00315385" w:rsidRPr="00315385">
          <w:rPr>
            <w:rStyle w:val="Hyperlink"/>
            <w:rFonts w:eastAsiaTheme="majorEastAsia"/>
            <w:i/>
            <w:noProof/>
            <w:webHidden/>
            <w:color w:val="31849B" w:themeColor="accent5" w:themeShade="BF"/>
            <w:sz w:val="20"/>
            <w:szCs w:val="22"/>
            <w:lang w:val="sq-AL"/>
          </w:rPr>
          <w:instrText xml:space="preserve"> PAGEREF _Toc44404441 \h </w:instrText>
        </w:r>
        <w:r w:rsidR="00315385" w:rsidRPr="00315385">
          <w:rPr>
            <w:rStyle w:val="Hyperlink"/>
            <w:rFonts w:eastAsiaTheme="majorEastAsia"/>
            <w:i/>
            <w:noProof/>
            <w:webHidden/>
            <w:color w:val="31849B" w:themeColor="accent5" w:themeShade="BF"/>
            <w:sz w:val="20"/>
            <w:szCs w:val="22"/>
            <w:lang w:val="sq-AL"/>
          </w:rPr>
        </w:r>
        <w:r w:rsidR="00315385" w:rsidRPr="00315385">
          <w:rPr>
            <w:rStyle w:val="Hyperlink"/>
            <w:rFonts w:eastAsiaTheme="majorEastAsia"/>
            <w:i/>
            <w:noProof/>
            <w:webHidden/>
            <w:color w:val="31849B" w:themeColor="accent5" w:themeShade="BF"/>
            <w:sz w:val="20"/>
            <w:szCs w:val="22"/>
            <w:lang w:val="sq-AL"/>
          </w:rPr>
          <w:fldChar w:fldCharType="separate"/>
        </w:r>
        <w:r w:rsidR="00C342E2">
          <w:rPr>
            <w:rStyle w:val="Hyperlink"/>
            <w:rFonts w:eastAsiaTheme="majorEastAsia"/>
            <w:i/>
            <w:noProof/>
            <w:webHidden/>
            <w:color w:val="31849B" w:themeColor="accent5" w:themeShade="BF"/>
            <w:sz w:val="20"/>
            <w:szCs w:val="22"/>
            <w:lang w:val="sq-AL"/>
          </w:rPr>
          <w:t>8</w:t>
        </w:r>
        <w:r w:rsidR="00315385" w:rsidRPr="00315385">
          <w:rPr>
            <w:rStyle w:val="Hyperlink"/>
            <w:rFonts w:eastAsiaTheme="majorEastAsia"/>
            <w:i/>
            <w:noProof/>
            <w:webHidden/>
            <w:color w:val="31849B" w:themeColor="accent5" w:themeShade="BF"/>
            <w:sz w:val="20"/>
            <w:szCs w:val="22"/>
            <w:lang w:val="sq-AL"/>
          </w:rPr>
          <w:fldChar w:fldCharType="end"/>
        </w:r>
      </w:hyperlink>
    </w:p>
    <w:p w:rsidR="00315385" w:rsidRPr="00315385" w:rsidRDefault="00555461">
      <w:pPr>
        <w:pStyle w:val="TableofFigures"/>
        <w:tabs>
          <w:tab w:val="right" w:leader="dot" w:pos="9623"/>
        </w:tabs>
        <w:rPr>
          <w:rStyle w:val="Hyperlink"/>
          <w:rFonts w:eastAsiaTheme="majorEastAsia"/>
          <w:i/>
          <w:noProof/>
          <w:color w:val="31849B" w:themeColor="accent5" w:themeShade="BF"/>
          <w:sz w:val="20"/>
          <w:lang w:val="sq-AL"/>
        </w:rPr>
      </w:pPr>
      <w:hyperlink w:anchor="_Toc44404442" w:history="1">
        <w:r w:rsidR="00315385" w:rsidRPr="00315385">
          <w:rPr>
            <w:rStyle w:val="Hyperlink"/>
            <w:rFonts w:eastAsiaTheme="majorEastAsia"/>
            <w:i/>
            <w:noProof/>
            <w:color w:val="31849B" w:themeColor="accent5" w:themeShade="BF"/>
            <w:sz w:val="20"/>
            <w:szCs w:val="22"/>
            <w:lang w:val="sq-AL"/>
          </w:rPr>
          <w:t>Grafiku 2: Import i Taksuar dhe Eksport Total 2020/2019(në miliard lekë)</w:t>
        </w:r>
        <w:r w:rsidR="00315385" w:rsidRPr="00315385">
          <w:rPr>
            <w:rStyle w:val="Hyperlink"/>
            <w:rFonts w:eastAsiaTheme="majorEastAsia"/>
            <w:i/>
            <w:noProof/>
            <w:webHidden/>
            <w:color w:val="31849B" w:themeColor="accent5" w:themeShade="BF"/>
            <w:sz w:val="20"/>
            <w:szCs w:val="22"/>
            <w:lang w:val="sq-AL"/>
          </w:rPr>
          <w:tab/>
        </w:r>
        <w:r w:rsidR="00315385" w:rsidRPr="00315385">
          <w:rPr>
            <w:rStyle w:val="Hyperlink"/>
            <w:rFonts w:eastAsiaTheme="majorEastAsia"/>
            <w:i/>
            <w:noProof/>
            <w:webHidden/>
            <w:color w:val="31849B" w:themeColor="accent5" w:themeShade="BF"/>
            <w:sz w:val="20"/>
            <w:szCs w:val="22"/>
            <w:lang w:val="sq-AL"/>
          </w:rPr>
          <w:fldChar w:fldCharType="begin"/>
        </w:r>
        <w:r w:rsidR="00315385" w:rsidRPr="00315385">
          <w:rPr>
            <w:rStyle w:val="Hyperlink"/>
            <w:rFonts w:eastAsiaTheme="majorEastAsia"/>
            <w:i/>
            <w:noProof/>
            <w:webHidden/>
            <w:color w:val="31849B" w:themeColor="accent5" w:themeShade="BF"/>
            <w:sz w:val="20"/>
            <w:szCs w:val="22"/>
            <w:lang w:val="sq-AL"/>
          </w:rPr>
          <w:instrText xml:space="preserve"> PAGEREF _Toc44404442 \h </w:instrText>
        </w:r>
        <w:r w:rsidR="00315385" w:rsidRPr="00315385">
          <w:rPr>
            <w:rStyle w:val="Hyperlink"/>
            <w:rFonts w:eastAsiaTheme="majorEastAsia"/>
            <w:i/>
            <w:noProof/>
            <w:webHidden/>
            <w:color w:val="31849B" w:themeColor="accent5" w:themeShade="BF"/>
            <w:sz w:val="20"/>
            <w:szCs w:val="22"/>
            <w:lang w:val="sq-AL"/>
          </w:rPr>
        </w:r>
        <w:r w:rsidR="00315385" w:rsidRPr="00315385">
          <w:rPr>
            <w:rStyle w:val="Hyperlink"/>
            <w:rFonts w:eastAsiaTheme="majorEastAsia"/>
            <w:i/>
            <w:noProof/>
            <w:webHidden/>
            <w:color w:val="31849B" w:themeColor="accent5" w:themeShade="BF"/>
            <w:sz w:val="20"/>
            <w:szCs w:val="22"/>
            <w:lang w:val="sq-AL"/>
          </w:rPr>
          <w:fldChar w:fldCharType="separate"/>
        </w:r>
        <w:r w:rsidR="00C342E2">
          <w:rPr>
            <w:rStyle w:val="Hyperlink"/>
            <w:rFonts w:eastAsiaTheme="majorEastAsia"/>
            <w:i/>
            <w:noProof/>
            <w:webHidden/>
            <w:color w:val="31849B" w:themeColor="accent5" w:themeShade="BF"/>
            <w:sz w:val="20"/>
            <w:szCs w:val="22"/>
            <w:lang w:val="sq-AL"/>
          </w:rPr>
          <w:t>9</w:t>
        </w:r>
        <w:r w:rsidR="00315385" w:rsidRPr="00315385">
          <w:rPr>
            <w:rStyle w:val="Hyperlink"/>
            <w:rFonts w:eastAsiaTheme="majorEastAsia"/>
            <w:i/>
            <w:noProof/>
            <w:webHidden/>
            <w:color w:val="31849B" w:themeColor="accent5" w:themeShade="BF"/>
            <w:sz w:val="20"/>
            <w:szCs w:val="22"/>
            <w:lang w:val="sq-AL"/>
          </w:rPr>
          <w:fldChar w:fldCharType="end"/>
        </w:r>
      </w:hyperlink>
    </w:p>
    <w:p w:rsidR="00315385" w:rsidRPr="00315385" w:rsidRDefault="00555461">
      <w:pPr>
        <w:pStyle w:val="TableofFigures"/>
        <w:tabs>
          <w:tab w:val="right" w:leader="dot" w:pos="9623"/>
        </w:tabs>
        <w:rPr>
          <w:rStyle w:val="Hyperlink"/>
          <w:rFonts w:eastAsiaTheme="majorEastAsia"/>
          <w:i/>
          <w:noProof/>
          <w:color w:val="31849B" w:themeColor="accent5" w:themeShade="BF"/>
          <w:sz w:val="20"/>
          <w:lang w:val="sq-AL"/>
        </w:rPr>
      </w:pPr>
      <w:hyperlink w:anchor="_Toc44404443" w:history="1">
        <w:r w:rsidR="00315385" w:rsidRPr="00315385">
          <w:rPr>
            <w:rStyle w:val="Hyperlink"/>
            <w:rFonts w:eastAsiaTheme="majorEastAsia"/>
            <w:i/>
            <w:noProof/>
            <w:color w:val="31849B" w:themeColor="accent5" w:themeShade="BF"/>
            <w:sz w:val="20"/>
            <w:szCs w:val="22"/>
            <w:lang w:val="sq-AL"/>
          </w:rPr>
          <w:t>Grafiku 3: Të ardhurat Doganore për Janar- Maj 2020, mujore dhe progresive (në milion lekë)</w:t>
        </w:r>
        <w:r w:rsidR="00315385" w:rsidRPr="00315385">
          <w:rPr>
            <w:rStyle w:val="Hyperlink"/>
            <w:rFonts w:eastAsiaTheme="majorEastAsia"/>
            <w:i/>
            <w:noProof/>
            <w:webHidden/>
            <w:color w:val="31849B" w:themeColor="accent5" w:themeShade="BF"/>
            <w:sz w:val="20"/>
            <w:szCs w:val="22"/>
            <w:lang w:val="sq-AL"/>
          </w:rPr>
          <w:tab/>
        </w:r>
        <w:r w:rsidR="00315385" w:rsidRPr="00315385">
          <w:rPr>
            <w:rStyle w:val="Hyperlink"/>
            <w:rFonts w:eastAsiaTheme="majorEastAsia"/>
            <w:i/>
            <w:noProof/>
            <w:webHidden/>
            <w:color w:val="31849B" w:themeColor="accent5" w:themeShade="BF"/>
            <w:sz w:val="20"/>
            <w:szCs w:val="22"/>
            <w:lang w:val="sq-AL"/>
          </w:rPr>
          <w:fldChar w:fldCharType="begin"/>
        </w:r>
        <w:r w:rsidR="00315385" w:rsidRPr="00315385">
          <w:rPr>
            <w:rStyle w:val="Hyperlink"/>
            <w:rFonts w:eastAsiaTheme="majorEastAsia"/>
            <w:i/>
            <w:noProof/>
            <w:webHidden/>
            <w:color w:val="31849B" w:themeColor="accent5" w:themeShade="BF"/>
            <w:sz w:val="20"/>
            <w:szCs w:val="22"/>
            <w:lang w:val="sq-AL"/>
          </w:rPr>
          <w:instrText xml:space="preserve"> PAGEREF _Toc44404443 \h </w:instrText>
        </w:r>
        <w:r w:rsidR="00315385" w:rsidRPr="00315385">
          <w:rPr>
            <w:rStyle w:val="Hyperlink"/>
            <w:rFonts w:eastAsiaTheme="majorEastAsia"/>
            <w:i/>
            <w:noProof/>
            <w:webHidden/>
            <w:color w:val="31849B" w:themeColor="accent5" w:themeShade="BF"/>
            <w:sz w:val="20"/>
            <w:szCs w:val="22"/>
            <w:lang w:val="sq-AL"/>
          </w:rPr>
        </w:r>
        <w:r w:rsidR="00315385" w:rsidRPr="00315385">
          <w:rPr>
            <w:rStyle w:val="Hyperlink"/>
            <w:rFonts w:eastAsiaTheme="majorEastAsia"/>
            <w:i/>
            <w:noProof/>
            <w:webHidden/>
            <w:color w:val="31849B" w:themeColor="accent5" w:themeShade="BF"/>
            <w:sz w:val="20"/>
            <w:szCs w:val="22"/>
            <w:lang w:val="sq-AL"/>
          </w:rPr>
          <w:fldChar w:fldCharType="separate"/>
        </w:r>
        <w:r w:rsidR="00C342E2">
          <w:rPr>
            <w:rStyle w:val="Hyperlink"/>
            <w:rFonts w:eastAsiaTheme="majorEastAsia"/>
            <w:i/>
            <w:noProof/>
            <w:webHidden/>
            <w:color w:val="31849B" w:themeColor="accent5" w:themeShade="BF"/>
            <w:sz w:val="20"/>
            <w:szCs w:val="22"/>
            <w:lang w:val="sq-AL"/>
          </w:rPr>
          <w:t>9</w:t>
        </w:r>
        <w:r w:rsidR="00315385" w:rsidRPr="00315385">
          <w:rPr>
            <w:rStyle w:val="Hyperlink"/>
            <w:rFonts w:eastAsiaTheme="majorEastAsia"/>
            <w:i/>
            <w:noProof/>
            <w:webHidden/>
            <w:color w:val="31849B" w:themeColor="accent5" w:themeShade="BF"/>
            <w:sz w:val="20"/>
            <w:szCs w:val="22"/>
            <w:lang w:val="sq-AL"/>
          </w:rPr>
          <w:fldChar w:fldCharType="end"/>
        </w:r>
      </w:hyperlink>
    </w:p>
    <w:p w:rsidR="00315385" w:rsidRPr="00315385" w:rsidRDefault="00555461">
      <w:pPr>
        <w:pStyle w:val="TableofFigures"/>
        <w:tabs>
          <w:tab w:val="right" w:leader="dot" w:pos="9623"/>
        </w:tabs>
        <w:rPr>
          <w:rStyle w:val="Hyperlink"/>
          <w:rFonts w:eastAsiaTheme="majorEastAsia"/>
          <w:i/>
          <w:noProof/>
          <w:color w:val="31849B" w:themeColor="accent5" w:themeShade="BF"/>
          <w:sz w:val="20"/>
          <w:lang w:val="sq-AL"/>
        </w:rPr>
      </w:pPr>
      <w:hyperlink w:anchor="_Toc44404444" w:history="1">
        <w:r w:rsidR="00315385" w:rsidRPr="00315385">
          <w:rPr>
            <w:rStyle w:val="Hyperlink"/>
            <w:rFonts w:eastAsiaTheme="majorEastAsia"/>
            <w:i/>
            <w:noProof/>
            <w:color w:val="31849B" w:themeColor="accent5" w:themeShade="BF"/>
            <w:sz w:val="20"/>
            <w:szCs w:val="22"/>
            <w:lang w:val="sq-AL"/>
          </w:rPr>
          <w:t>Grafiku 4: Kontribuesit kryesor në të ardhurat doganore Janar- Maj 2020/2019 (në milion lekë)</w:t>
        </w:r>
        <w:r w:rsidR="00315385" w:rsidRPr="00315385">
          <w:rPr>
            <w:rStyle w:val="Hyperlink"/>
            <w:rFonts w:eastAsiaTheme="majorEastAsia"/>
            <w:i/>
            <w:noProof/>
            <w:webHidden/>
            <w:color w:val="31849B" w:themeColor="accent5" w:themeShade="BF"/>
            <w:sz w:val="20"/>
            <w:szCs w:val="22"/>
            <w:lang w:val="sq-AL"/>
          </w:rPr>
          <w:tab/>
        </w:r>
        <w:r w:rsidR="00315385" w:rsidRPr="00315385">
          <w:rPr>
            <w:rStyle w:val="Hyperlink"/>
            <w:rFonts w:eastAsiaTheme="majorEastAsia"/>
            <w:i/>
            <w:noProof/>
            <w:webHidden/>
            <w:color w:val="31849B" w:themeColor="accent5" w:themeShade="BF"/>
            <w:sz w:val="20"/>
            <w:szCs w:val="22"/>
            <w:lang w:val="sq-AL"/>
          </w:rPr>
          <w:fldChar w:fldCharType="begin"/>
        </w:r>
        <w:r w:rsidR="00315385" w:rsidRPr="00315385">
          <w:rPr>
            <w:rStyle w:val="Hyperlink"/>
            <w:rFonts w:eastAsiaTheme="majorEastAsia"/>
            <w:i/>
            <w:noProof/>
            <w:webHidden/>
            <w:color w:val="31849B" w:themeColor="accent5" w:themeShade="BF"/>
            <w:sz w:val="20"/>
            <w:szCs w:val="22"/>
            <w:lang w:val="sq-AL"/>
          </w:rPr>
          <w:instrText xml:space="preserve"> PAGEREF _Toc44404444 \h </w:instrText>
        </w:r>
        <w:r w:rsidR="00315385" w:rsidRPr="00315385">
          <w:rPr>
            <w:rStyle w:val="Hyperlink"/>
            <w:rFonts w:eastAsiaTheme="majorEastAsia"/>
            <w:i/>
            <w:noProof/>
            <w:webHidden/>
            <w:color w:val="31849B" w:themeColor="accent5" w:themeShade="BF"/>
            <w:sz w:val="20"/>
            <w:szCs w:val="22"/>
            <w:lang w:val="sq-AL"/>
          </w:rPr>
        </w:r>
        <w:r w:rsidR="00315385" w:rsidRPr="00315385">
          <w:rPr>
            <w:rStyle w:val="Hyperlink"/>
            <w:rFonts w:eastAsiaTheme="majorEastAsia"/>
            <w:i/>
            <w:noProof/>
            <w:webHidden/>
            <w:color w:val="31849B" w:themeColor="accent5" w:themeShade="BF"/>
            <w:sz w:val="20"/>
            <w:szCs w:val="22"/>
            <w:lang w:val="sq-AL"/>
          </w:rPr>
          <w:fldChar w:fldCharType="separate"/>
        </w:r>
        <w:r w:rsidR="00C342E2">
          <w:rPr>
            <w:rStyle w:val="Hyperlink"/>
            <w:rFonts w:eastAsiaTheme="majorEastAsia"/>
            <w:i/>
            <w:noProof/>
            <w:webHidden/>
            <w:color w:val="31849B" w:themeColor="accent5" w:themeShade="BF"/>
            <w:sz w:val="20"/>
            <w:szCs w:val="22"/>
            <w:lang w:val="sq-AL"/>
          </w:rPr>
          <w:t>10</w:t>
        </w:r>
        <w:r w:rsidR="00315385" w:rsidRPr="00315385">
          <w:rPr>
            <w:rStyle w:val="Hyperlink"/>
            <w:rFonts w:eastAsiaTheme="majorEastAsia"/>
            <w:i/>
            <w:noProof/>
            <w:webHidden/>
            <w:color w:val="31849B" w:themeColor="accent5" w:themeShade="BF"/>
            <w:sz w:val="20"/>
            <w:szCs w:val="22"/>
            <w:lang w:val="sq-AL"/>
          </w:rPr>
          <w:fldChar w:fldCharType="end"/>
        </w:r>
      </w:hyperlink>
    </w:p>
    <w:p w:rsidR="00315385" w:rsidRPr="00315385" w:rsidRDefault="00555461">
      <w:pPr>
        <w:pStyle w:val="TableofFigures"/>
        <w:tabs>
          <w:tab w:val="right" w:leader="dot" w:pos="9623"/>
        </w:tabs>
        <w:rPr>
          <w:rStyle w:val="Hyperlink"/>
          <w:rFonts w:eastAsiaTheme="majorEastAsia"/>
          <w:i/>
          <w:noProof/>
          <w:color w:val="31849B" w:themeColor="accent5" w:themeShade="BF"/>
          <w:sz w:val="20"/>
          <w:lang w:val="sq-AL"/>
        </w:rPr>
      </w:pPr>
      <w:hyperlink w:anchor="_Toc44404445" w:history="1">
        <w:r w:rsidR="00315385" w:rsidRPr="00315385">
          <w:rPr>
            <w:rStyle w:val="Hyperlink"/>
            <w:rFonts w:eastAsiaTheme="majorEastAsia"/>
            <w:i/>
            <w:noProof/>
            <w:color w:val="31849B" w:themeColor="accent5" w:themeShade="BF"/>
            <w:sz w:val="20"/>
            <w:szCs w:val="22"/>
            <w:lang w:val="sq-AL"/>
          </w:rPr>
          <w:t>Grafiku 5: Të ardhurat  nga Tatimet Janar- Maj 2020, Mujore dhe Progresive (në milionë lekë)</w:t>
        </w:r>
        <w:r w:rsidR="00315385" w:rsidRPr="00315385">
          <w:rPr>
            <w:rStyle w:val="Hyperlink"/>
            <w:rFonts w:eastAsiaTheme="majorEastAsia"/>
            <w:i/>
            <w:noProof/>
            <w:webHidden/>
            <w:color w:val="31849B" w:themeColor="accent5" w:themeShade="BF"/>
            <w:sz w:val="20"/>
            <w:szCs w:val="22"/>
            <w:lang w:val="sq-AL"/>
          </w:rPr>
          <w:tab/>
        </w:r>
        <w:r w:rsidR="00315385" w:rsidRPr="00315385">
          <w:rPr>
            <w:rStyle w:val="Hyperlink"/>
            <w:rFonts w:eastAsiaTheme="majorEastAsia"/>
            <w:i/>
            <w:noProof/>
            <w:webHidden/>
            <w:color w:val="31849B" w:themeColor="accent5" w:themeShade="BF"/>
            <w:sz w:val="20"/>
            <w:szCs w:val="22"/>
            <w:lang w:val="sq-AL"/>
          </w:rPr>
          <w:fldChar w:fldCharType="begin"/>
        </w:r>
        <w:r w:rsidR="00315385" w:rsidRPr="00315385">
          <w:rPr>
            <w:rStyle w:val="Hyperlink"/>
            <w:rFonts w:eastAsiaTheme="majorEastAsia"/>
            <w:i/>
            <w:noProof/>
            <w:webHidden/>
            <w:color w:val="31849B" w:themeColor="accent5" w:themeShade="BF"/>
            <w:sz w:val="20"/>
            <w:szCs w:val="22"/>
            <w:lang w:val="sq-AL"/>
          </w:rPr>
          <w:instrText xml:space="preserve"> PAGEREF _Toc44404445 \h </w:instrText>
        </w:r>
        <w:r w:rsidR="00315385" w:rsidRPr="00315385">
          <w:rPr>
            <w:rStyle w:val="Hyperlink"/>
            <w:rFonts w:eastAsiaTheme="majorEastAsia"/>
            <w:i/>
            <w:noProof/>
            <w:webHidden/>
            <w:color w:val="31849B" w:themeColor="accent5" w:themeShade="BF"/>
            <w:sz w:val="20"/>
            <w:szCs w:val="22"/>
            <w:lang w:val="sq-AL"/>
          </w:rPr>
        </w:r>
        <w:r w:rsidR="00315385" w:rsidRPr="00315385">
          <w:rPr>
            <w:rStyle w:val="Hyperlink"/>
            <w:rFonts w:eastAsiaTheme="majorEastAsia"/>
            <w:i/>
            <w:noProof/>
            <w:webHidden/>
            <w:color w:val="31849B" w:themeColor="accent5" w:themeShade="BF"/>
            <w:sz w:val="20"/>
            <w:szCs w:val="22"/>
            <w:lang w:val="sq-AL"/>
          </w:rPr>
          <w:fldChar w:fldCharType="separate"/>
        </w:r>
        <w:r w:rsidR="00C342E2">
          <w:rPr>
            <w:rStyle w:val="Hyperlink"/>
            <w:rFonts w:eastAsiaTheme="majorEastAsia"/>
            <w:i/>
            <w:noProof/>
            <w:webHidden/>
            <w:color w:val="31849B" w:themeColor="accent5" w:themeShade="BF"/>
            <w:sz w:val="20"/>
            <w:szCs w:val="22"/>
            <w:lang w:val="sq-AL"/>
          </w:rPr>
          <w:t>12</w:t>
        </w:r>
        <w:r w:rsidR="00315385" w:rsidRPr="00315385">
          <w:rPr>
            <w:rStyle w:val="Hyperlink"/>
            <w:rFonts w:eastAsiaTheme="majorEastAsia"/>
            <w:i/>
            <w:noProof/>
            <w:webHidden/>
            <w:color w:val="31849B" w:themeColor="accent5" w:themeShade="BF"/>
            <w:sz w:val="20"/>
            <w:szCs w:val="22"/>
            <w:lang w:val="sq-AL"/>
          </w:rPr>
          <w:fldChar w:fldCharType="end"/>
        </w:r>
      </w:hyperlink>
    </w:p>
    <w:p w:rsidR="00315385" w:rsidRPr="00315385" w:rsidRDefault="00555461">
      <w:pPr>
        <w:pStyle w:val="TableofFigures"/>
        <w:tabs>
          <w:tab w:val="right" w:leader="dot" w:pos="9623"/>
        </w:tabs>
        <w:rPr>
          <w:rStyle w:val="Hyperlink"/>
          <w:rFonts w:eastAsiaTheme="majorEastAsia"/>
          <w:i/>
          <w:noProof/>
          <w:color w:val="31849B" w:themeColor="accent5" w:themeShade="BF"/>
          <w:sz w:val="20"/>
          <w:lang w:val="sq-AL"/>
        </w:rPr>
      </w:pPr>
      <w:hyperlink w:anchor="_Toc44404446" w:history="1">
        <w:r w:rsidR="00315385" w:rsidRPr="00315385">
          <w:rPr>
            <w:rStyle w:val="Hyperlink"/>
            <w:rFonts w:eastAsiaTheme="majorEastAsia"/>
            <w:i/>
            <w:noProof/>
            <w:color w:val="31849B" w:themeColor="accent5" w:themeShade="BF"/>
            <w:sz w:val="20"/>
            <w:szCs w:val="22"/>
            <w:lang w:val="sq-AL"/>
          </w:rPr>
          <w:t>Grafiku 6: Të ardhura nga TVSH dhe rimbursimi i TVSH, 5 mujori në vite (në miliardë lekë)</w:t>
        </w:r>
        <w:r w:rsidR="00315385" w:rsidRPr="00315385">
          <w:rPr>
            <w:rStyle w:val="Hyperlink"/>
            <w:rFonts w:eastAsiaTheme="majorEastAsia"/>
            <w:i/>
            <w:noProof/>
            <w:webHidden/>
            <w:color w:val="31849B" w:themeColor="accent5" w:themeShade="BF"/>
            <w:sz w:val="20"/>
            <w:szCs w:val="22"/>
            <w:lang w:val="sq-AL"/>
          </w:rPr>
          <w:tab/>
        </w:r>
        <w:r w:rsidR="00315385" w:rsidRPr="00315385">
          <w:rPr>
            <w:rStyle w:val="Hyperlink"/>
            <w:rFonts w:eastAsiaTheme="majorEastAsia"/>
            <w:i/>
            <w:noProof/>
            <w:webHidden/>
            <w:color w:val="31849B" w:themeColor="accent5" w:themeShade="BF"/>
            <w:sz w:val="20"/>
            <w:szCs w:val="22"/>
            <w:lang w:val="sq-AL"/>
          </w:rPr>
          <w:fldChar w:fldCharType="begin"/>
        </w:r>
        <w:r w:rsidR="00315385" w:rsidRPr="00315385">
          <w:rPr>
            <w:rStyle w:val="Hyperlink"/>
            <w:rFonts w:eastAsiaTheme="majorEastAsia"/>
            <w:i/>
            <w:noProof/>
            <w:webHidden/>
            <w:color w:val="31849B" w:themeColor="accent5" w:themeShade="BF"/>
            <w:sz w:val="20"/>
            <w:szCs w:val="22"/>
            <w:lang w:val="sq-AL"/>
          </w:rPr>
          <w:instrText xml:space="preserve"> PAGEREF _Toc44404446 \h </w:instrText>
        </w:r>
        <w:r w:rsidR="00315385" w:rsidRPr="00315385">
          <w:rPr>
            <w:rStyle w:val="Hyperlink"/>
            <w:rFonts w:eastAsiaTheme="majorEastAsia"/>
            <w:i/>
            <w:noProof/>
            <w:webHidden/>
            <w:color w:val="31849B" w:themeColor="accent5" w:themeShade="BF"/>
            <w:sz w:val="20"/>
            <w:szCs w:val="22"/>
            <w:lang w:val="sq-AL"/>
          </w:rPr>
        </w:r>
        <w:r w:rsidR="00315385" w:rsidRPr="00315385">
          <w:rPr>
            <w:rStyle w:val="Hyperlink"/>
            <w:rFonts w:eastAsiaTheme="majorEastAsia"/>
            <w:i/>
            <w:noProof/>
            <w:webHidden/>
            <w:color w:val="31849B" w:themeColor="accent5" w:themeShade="BF"/>
            <w:sz w:val="20"/>
            <w:szCs w:val="22"/>
            <w:lang w:val="sq-AL"/>
          </w:rPr>
          <w:fldChar w:fldCharType="separate"/>
        </w:r>
        <w:r w:rsidR="00C342E2">
          <w:rPr>
            <w:rStyle w:val="Hyperlink"/>
            <w:rFonts w:eastAsiaTheme="majorEastAsia"/>
            <w:i/>
            <w:noProof/>
            <w:webHidden/>
            <w:color w:val="31849B" w:themeColor="accent5" w:themeShade="BF"/>
            <w:sz w:val="20"/>
            <w:szCs w:val="22"/>
            <w:lang w:val="sq-AL"/>
          </w:rPr>
          <w:t>13</w:t>
        </w:r>
        <w:r w:rsidR="00315385" w:rsidRPr="00315385">
          <w:rPr>
            <w:rStyle w:val="Hyperlink"/>
            <w:rFonts w:eastAsiaTheme="majorEastAsia"/>
            <w:i/>
            <w:noProof/>
            <w:webHidden/>
            <w:color w:val="31849B" w:themeColor="accent5" w:themeShade="BF"/>
            <w:sz w:val="20"/>
            <w:szCs w:val="22"/>
            <w:lang w:val="sq-AL"/>
          </w:rPr>
          <w:fldChar w:fldCharType="end"/>
        </w:r>
      </w:hyperlink>
    </w:p>
    <w:p w:rsidR="00315385" w:rsidRPr="00315385" w:rsidRDefault="00555461">
      <w:pPr>
        <w:pStyle w:val="TableofFigures"/>
        <w:tabs>
          <w:tab w:val="right" w:leader="dot" w:pos="9623"/>
        </w:tabs>
        <w:rPr>
          <w:rStyle w:val="Hyperlink"/>
          <w:rFonts w:eastAsiaTheme="majorEastAsia"/>
          <w:i/>
          <w:noProof/>
          <w:color w:val="31849B" w:themeColor="accent5" w:themeShade="BF"/>
          <w:sz w:val="20"/>
          <w:lang w:val="sq-AL"/>
        </w:rPr>
      </w:pPr>
      <w:hyperlink w:anchor="_Toc44404447" w:history="1">
        <w:r w:rsidR="00315385" w:rsidRPr="00315385">
          <w:rPr>
            <w:rStyle w:val="Hyperlink"/>
            <w:rFonts w:eastAsiaTheme="majorEastAsia"/>
            <w:i/>
            <w:noProof/>
            <w:color w:val="31849B" w:themeColor="accent5" w:themeShade="BF"/>
            <w:sz w:val="20"/>
            <w:szCs w:val="22"/>
            <w:lang w:val="sq-AL"/>
          </w:rPr>
          <w:t>Grafiku 7: Të ardhurat nga Tatim Fitimi, 5 mujori në vite (në miliardë lekë)</w:t>
        </w:r>
        <w:r w:rsidR="00315385" w:rsidRPr="00315385">
          <w:rPr>
            <w:rStyle w:val="Hyperlink"/>
            <w:rFonts w:eastAsiaTheme="majorEastAsia"/>
            <w:i/>
            <w:noProof/>
            <w:webHidden/>
            <w:color w:val="31849B" w:themeColor="accent5" w:themeShade="BF"/>
            <w:sz w:val="20"/>
            <w:szCs w:val="22"/>
            <w:lang w:val="sq-AL"/>
          </w:rPr>
          <w:tab/>
        </w:r>
        <w:r w:rsidR="00315385" w:rsidRPr="00315385">
          <w:rPr>
            <w:rStyle w:val="Hyperlink"/>
            <w:rFonts w:eastAsiaTheme="majorEastAsia"/>
            <w:i/>
            <w:noProof/>
            <w:webHidden/>
            <w:color w:val="31849B" w:themeColor="accent5" w:themeShade="BF"/>
            <w:sz w:val="20"/>
            <w:szCs w:val="22"/>
            <w:lang w:val="sq-AL"/>
          </w:rPr>
          <w:fldChar w:fldCharType="begin"/>
        </w:r>
        <w:r w:rsidR="00315385" w:rsidRPr="00315385">
          <w:rPr>
            <w:rStyle w:val="Hyperlink"/>
            <w:rFonts w:eastAsiaTheme="majorEastAsia"/>
            <w:i/>
            <w:noProof/>
            <w:webHidden/>
            <w:color w:val="31849B" w:themeColor="accent5" w:themeShade="BF"/>
            <w:sz w:val="20"/>
            <w:szCs w:val="22"/>
            <w:lang w:val="sq-AL"/>
          </w:rPr>
          <w:instrText xml:space="preserve"> PAGEREF _Toc44404447 \h </w:instrText>
        </w:r>
        <w:r w:rsidR="00315385" w:rsidRPr="00315385">
          <w:rPr>
            <w:rStyle w:val="Hyperlink"/>
            <w:rFonts w:eastAsiaTheme="majorEastAsia"/>
            <w:i/>
            <w:noProof/>
            <w:webHidden/>
            <w:color w:val="31849B" w:themeColor="accent5" w:themeShade="BF"/>
            <w:sz w:val="20"/>
            <w:szCs w:val="22"/>
            <w:lang w:val="sq-AL"/>
          </w:rPr>
        </w:r>
        <w:r w:rsidR="00315385" w:rsidRPr="00315385">
          <w:rPr>
            <w:rStyle w:val="Hyperlink"/>
            <w:rFonts w:eastAsiaTheme="majorEastAsia"/>
            <w:i/>
            <w:noProof/>
            <w:webHidden/>
            <w:color w:val="31849B" w:themeColor="accent5" w:themeShade="BF"/>
            <w:sz w:val="20"/>
            <w:szCs w:val="22"/>
            <w:lang w:val="sq-AL"/>
          </w:rPr>
          <w:fldChar w:fldCharType="separate"/>
        </w:r>
        <w:r w:rsidR="00C342E2">
          <w:rPr>
            <w:rStyle w:val="Hyperlink"/>
            <w:rFonts w:eastAsiaTheme="majorEastAsia"/>
            <w:i/>
            <w:noProof/>
            <w:webHidden/>
            <w:color w:val="31849B" w:themeColor="accent5" w:themeShade="BF"/>
            <w:sz w:val="20"/>
            <w:szCs w:val="22"/>
            <w:lang w:val="sq-AL"/>
          </w:rPr>
          <w:t>13</w:t>
        </w:r>
        <w:r w:rsidR="00315385" w:rsidRPr="00315385">
          <w:rPr>
            <w:rStyle w:val="Hyperlink"/>
            <w:rFonts w:eastAsiaTheme="majorEastAsia"/>
            <w:i/>
            <w:noProof/>
            <w:webHidden/>
            <w:color w:val="31849B" w:themeColor="accent5" w:themeShade="BF"/>
            <w:sz w:val="20"/>
            <w:szCs w:val="22"/>
            <w:lang w:val="sq-AL"/>
          </w:rPr>
          <w:fldChar w:fldCharType="end"/>
        </w:r>
      </w:hyperlink>
    </w:p>
    <w:p w:rsidR="00315385" w:rsidRPr="00315385" w:rsidRDefault="00555461">
      <w:pPr>
        <w:pStyle w:val="TableofFigures"/>
        <w:tabs>
          <w:tab w:val="right" w:leader="dot" w:pos="9623"/>
        </w:tabs>
        <w:rPr>
          <w:rStyle w:val="Hyperlink"/>
          <w:rFonts w:eastAsiaTheme="majorEastAsia"/>
          <w:i/>
          <w:noProof/>
          <w:color w:val="31849B" w:themeColor="accent5" w:themeShade="BF"/>
          <w:sz w:val="20"/>
          <w:lang w:val="sq-AL"/>
        </w:rPr>
      </w:pPr>
      <w:hyperlink w:anchor="_Toc44404448" w:history="1">
        <w:r w:rsidR="00315385" w:rsidRPr="00315385">
          <w:rPr>
            <w:rStyle w:val="Hyperlink"/>
            <w:rFonts w:eastAsiaTheme="majorEastAsia"/>
            <w:i/>
            <w:noProof/>
            <w:color w:val="31849B" w:themeColor="accent5" w:themeShade="BF"/>
            <w:sz w:val="20"/>
            <w:szCs w:val="22"/>
            <w:lang w:val="sq-AL"/>
          </w:rPr>
          <w:t>Grafiku 8: Të ardhurat nga Tatimi mbi të Ardhurat Personale, në vite (në milion lekë)</w:t>
        </w:r>
        <w:r w:rsidR="00315385" w:rsidRPr="00315385">
          <w:rPr>
            <w:rStyle w:val="Hyperlink"/>
            <w:rFonts w:eastAsiaTheme="majorEastAsia"/>
            <w:i/>
            <w:noProof/>
            <w:webHidden/>
            <w:color w:val="31849B" w:themeColor="accent5" w:themeShade="BF"/>
            <w:sz w:val="20"/>
            <w:szCs w:val="22"/>
            <w:lang w:val="sq-AL"/>
          </w:rPr>
          <w:tab/>
        </w:r>
        <w:r w:rsidR="00315385" w:rsidRPr="00315385">
          <w:rPr>
            <w:rStyle w:val="Hyperlink"/>
            <w:rFonts w:eastAsiaTheme="majorEastAsia"/>
            <w:i/>
            <w:noProof/>
            <w:webHidden/>
            <w:color w:val="31849B" w:themeColor="accent5" w:themeShade="BF"/>
            <w:sz w:val="20"/>
            <w:szCs w:val="22"/>
            <w:lang w:val="sq-AL"/>
          </w:rPr>
          <w:fldChar w:fldCharType="begin"/>
        </w:r>
        <w:r w:rsidR="00315385" w:rsidRPr="00315385">
          <w:rPr>
            <w:rStyle w:val="Hyperlink"/>
            <w:rFonts w:eastAsiaTheme="majorEastAsia"/>
            <w:i/>
            <w:noProof/>
            <w:webHidden/>
            <w:color w:val="31849B" w:themeColor="accent5" w:themeShade="BF"/>
            <w:sz w:val="20"/>
            <w:szCs w:val="22"/>
            <w:lang w:val="sq-AL"/>
          </w:rPr>
          <w:instrText xml:space="preserve"> PAGEREF _Toc44404448 \h </w:instrText>
        </w:r>
        <w:r w:rsidR="00315385" w:rsidRPr="00315385">
          <w:rPr>
            <w:rStyle w:val="Hyperlink"/>
            <w:rFonts w:eastAsiaTheme="majorEastAsia"/>
            <w:i/>
            <w:noProof/>
            <w:webHidden/>
            <w:color w:val="31849B" w:themeColor="accent5" w:themeShade="BF"/>
            <w:sz w:val="20"/>
            <w:szCs w:val="22"/>
            <w:lang w:val="sq-AL"/>
          </w:rPr>
        </w:r>
        <w:r w:rsidR="00315385" w:rsidRPr="00315385">
          <w:rPr>
            <w:rStyle w:val="Hyperlink"/>
            <w:rFonts w:eastAsiaTheme="majorEastAsia"/>
            <w:i/>
            <w:noProof/>
            <w:webHidden/>
            <w:color w:val="31849B" w:themeColor="accent5" w:themeShade="BF"/>
            <w:sz w:val="20"/>
            <w:szCs w:val="22"/>
            <w:lang w:val="sq-AL"/>
          </w:rPr>
          <w:fldChar w:fldCharType="separate"/>
        </w:r>
        <w:r w:rsidR="00C342E2">
          <w:rPr>
            <w:rStyle w:val="Hyperlink"/>
            <w:rFonts w:eastAsiaTheme="majorEastAsia"/>
            <w:i/>
            <w:noProof/>
            <w:webHidden/>
            <w:color w:val="31849B" w:themeColor="accent5" w:themeShade="BF"/>
            <w:sz w:val="20"/>
            <w:szCs w:val="22"/>
            <w:lang w:val="sq-AL"/>
          </w:rPr>
          <w:t>13</w:t>
        </w:r>
        <w:r w:rsidR="00315385" w:rsidRPr="00315385">
          <w:rPr>
            <w:rStyle w:val="Hyperlink"/>
            <w:rFonts w:eastAsiaTheme="majorEastAsia"/>
            <w:i/>
            <w:noProof/>
            <w:webHidden/>
            <w:color w:val="31849B" w:themeColor="accent5" w:themeShade="BF"/>
            <w:sz w:val="20"/>
            <w:szCs w:val="22"/>
            <w:lang w:val="sq-AL"/>
          </w:rPr>
          <w:fldChar w:fldCharType="end"/>
        </w:r>
      </w:hyperlink>
    </w:p>
    <w:p w:rsidR="00315385" w:rsidRPr="00315385" w:rsidRDefault="00555461">
      <w:pPr>
        <w:pStyle w:val="TableofFigures"/>
        <w:tabs>
          <w:tab w:val="right" w:leader="dot" w:pos="9623"/>
        </w:tabs>
        <w:rPr>
          <w:rStyle w:val="Hyperlink"/>
          <w:rFonts w:eastAsiaTheme="majorEastAsia"/>
          <w:i/>
          <w:noProof/>
          <w:color w:val="31849B" w:themeColor="accent5" w:themeShade="BF"/>
          <w:sz w:val="20"/>
          <w:lang w:val="sq-AL"/>
        </w:rPr>
      </w:pPr>
      <w:hyperlink w:anchor="_Toc44404449" w:history="1">
        <w:r w:rsidR="00315385" w:rsidRPr="00315385">
          <w:rPr>
            <w:rStyle w:val="Hyperlink"/>
            <w:rFonts w:eastAsiaTheme="majorEastAsia"/>
            <w:i/>
            <w:noProof/>
            <w:color w:val="31849B" w:themeColor="accent5" w:themeShade="BF"/>
            <w:sz w:val="20"/>
            <w:szCs w:val="22"/>
            <w:lang w:val="sq-AL"/>
          </w:rPr>
          <w:t>Grafiku 9: Të ardhurat 5 mujore nga Taksat nacionale, në vite (në miliardë lekë)</w:t>
        </w:r>
        <w:r w:rsidR="00315385" w:rsidRPr="00315385">
          <w:rPr>
            <w:rStyle w:val="Hyperlink"/>
            <w:rFonts w:eastAsiaTheme="majorEastAsia"/>
            <w:i/>
            <w:noProof/>
            <w:webHidden/>
            <w:color w:val="31849B" w:themeColor="accent5" w:themeShade="BF"/>
            <w:sz w:val="20"/>
            <w:szCs w:val="22"/>
            <w:lang w:val="sq-AL"/>
          </w:rPr>
          <w:tab/>
        </w:r>
        <w:r w:rsidR="00315385" w:rsidRPr="00315385">
          <w:rPr>
            <w:rStyle w:val="Hyperlink"/>
            <w:rFonts w:eastAsiaTheme="majorEastAsia"/>
            <w:i/>
            <w:noProof/>
            <w:webHidden/>
            <w:color w:val="31849B" w:themeColor="accent5" w:themeShade="BF"/>
            <w:sz w:val="20"/>
            <w:szCs w:val="22"/>
            <w:lang w:val="sq-AL"/>
          </w:rPr>
          <w:fldChar w:fldCharType="begin"/>
        </w:r>
        <w:r w:rsidR="00315385" w:rsidRPr="00315385">
          <w:rPr>
            <w:rStyle w:val="Hyperlink"/>
            <w:rFonts w:eastAsiaTheme="majorEastAsia"/>
            <w:i/>
            <w:noProof/>
            <w:webHidden/>
            <w:color w:val="31849B" w:themeColor="accent5" w:themeShade="BF"/>
            <w:sz w:val="20"/>
            <w:szCs w:val="22"/>
            <w:lang w:val="sq-AL"/>
          </w:rPr>
          <w:instrText xml:space="preserve"> PAGEREF _Toc44404449 \h </w:instrText>
        </w:r>
        <w:r w:rsidR="00315385" w:rsidRPr="00315385">
          <w:rPr>
            <w:rStyle w:val="Hyperlink"/>
            <w:rFonts w:eastAsiaTheme="majorEastAsia"/>
            <w:i/>
            <w:noProof/>
            <w:webHidden/>
            <w:color w:val="31849B" w:themeColor="accent5" w:themeShade="BF"/>
            <w:sz w:val="20"/>
            <w:szCs w:val="22"/>
            <w:lang w:val="sq-AL"/>
          </w:rPr>
        </w:r>
        <w:r w:rsidR="00315385" w:rsidRPr="00315385">
          <w:rPr>
            <w:rStyle w:val="Hyperlink"/>
            <w:rFonts w:eastAsiaTheme="majorEastAsia"/>
            <w:i/>
            <w:noProof/>
            <w:webHidden/>
            <w:color w:val="31849B" w:themeColor="accent5" w:themeShade="BF"/>
            <w:sz w:val="20"/>
            <w:szCs w:val="22"/>
            <w:lang w:val="sq-AL"/>
          </w:rPr>
          <w:fldChar w:fldCharType="separate"/>
        </w:r>
        <w:r w:rsidR="00C342E2">
          <w:rPr>
            <w:rStyle w:val="Hyperlink"/>
            <w:rFonts w:eastAsiaTheme="majorEastAsia"/>
            <w:i/>
            <w:noProof/>
            <w:webHidden/>
            <w:color w:val="31849B" w:themeColor="accent5" w:themeShade="BF"/>
            <w:sz w:val="20"/>
            <w:szCs w:val="22"/>
            <w:lang w:val="sq-AL"/>
          </w:rPr>
          <w:t>14</w:t>
        </w:r>
        <w:r w:rsidR="00315385" w:rsidRPr="00315385">
          <w:rPr>
            <w:rStyle w:val="Hyperlink"/>
            <w:rFonts w:eastAsiaTheme="majorEastAsia"/>
            <w:i/>
            <w:noProof/>
            <w:webHidden/>
            <w:color w:val="31849B" w:themeColor="accent5" w:themeShade="BF"/>
            <w:sz w:val="20"/>
            <w:szCs w:val="22"/>
            <w:lang w:val="sq-AL"/>
          </w:rPr>
          <w:fldChar w:fldCharType="end"/>
        </w:r>
      </w:hyperlink>
    </w:p>
    <w:p w:rsidR="00315385" w:rsidRPr="00315385" w:rsidRDefault="00555461">
      <w:pPr>
        <w:pStyle w:val="TableofFigures"/>
        <w:tabs>
          <w:tab w:val="right" w:leader="dot" w:pos="9623"/>
        </w:tabs>
        <w:rPr>
          <w:rStyle w:val="Hyperlink"/>
          <w:rFonts w:eastAsiaTheme="majorEastAsia"/>
          <w:i/>
          <w:noProof/>
          <w:color w:val="31849B" w:themeColor="accent5" w:themeShade="BF"/>
          <w:sz w:val="20"/>
          <w:lang w:val="sq-AL"/>
        </w:rPr>
      </w:pPr>
      <w:hyperlink w:anchor="_Toc44404450" w:history="1">
        <w:r w:rsidR="00315385" w:rsidRPr="00315385">
          <w:rPr>
            <w:rStyle w:val="Hyperlink"/>
            <w:rFonts w:eastAsiaTheme="majorEastAsia"/>
            <w:i/>
            <w:noProof/>
            <w:color w:val="31849B" w:themeColor="accent5" w:themeShade="BF"/>
            <w:sz w:val="20"/>
            <w:szCs w:val="22"/>
            <w:lang w:val="sq-AL"/>
          </w:rPr>
          <w:t>Grafiku 10: Të ardhurat nga kontributet e mbledhura nga DPT, në vite (në miliardë lekë)</w:t>
        </w:r>
        <w:r w:rsidR="00315385" w:rsidRPr="00315385">
          <w:rPr>
            <w:rStyle w:val="Hyperlink"/>
            <w:rFonts w:eastAsiaTheme="majorEastAsia"/>
            <w:i/>
            <w:noProof/>
            <w:webHidden/>
            <w:color w:val="31849B" w:themeColor="accent5" w:themeShade="BF"/>
            <w:sz w:val="20"/>
            <w:szCs w:val="22"/>
            <w:lang w:val="sq-AL"/>
          </w:rPr>
          <w:tab/>
        </w:r>
        <w:r w:rsidR="00315385" w:rsidRPr="00315385">
          <w:rPr>
            <w:rStyle w:val="Hyperlink"/>
            <w:rFonts w:eastAsiaTheme="majorEastAsia"/>
            <w:i/>
            <w:noProof/>
            <w:webHidden/>
            <w:color w:val="31849B" w:themeColor="accent5" w:themeShade="BF"/>
            <w:sz w:val="20"/>
            <w:szCs w:val="22"/>
            <w:lang w:val="sq-AL"/>
          </w:rPr>
          <w:fldChar w:fldCharType="begin"/>
        </w:r>
        <w:r w:rsidR="00315385" w:rsidRPr="00315385">
          <w:rPr>
            <w:rStyle w:val="Hyperlink"/>
            <w:rFonts w:eastAsiaTheme="majorEastAsia"/>
            <w:i/>
            <w:noProof/>
            <w:webHidden/>
            <w:color w:val="31849B" w:themeColor="accent5" w:themeShade="BF"/>
            <w:sz w:val="20"/>
            <w:szCs w:val="22"/>
            <w:lang w:val="sq-AL"/>
          </w:rPr>
          <w:instrText xml:space="preserve"> PAGEREF _Toc44404450 \h </w:instrText>
        </w:r>
        <w:r w:rsidR="00315385" w:rsidRPr="00315385">
          <w:rPr>
            <w:rStyle w:val="Hyperlink"/>
            <w:rFonts w:eastAsiaTheme="majorEastAsia"/>
            <w:i/>
            <w:noProof/>
            <w:webHidden/>
            <w:color w:val="31849B" w:themeColor="accent5" w:themeShade="BF"/>
            <w:sz w:val="20"/>
            <w:szCs w:val="22"/>
            <w:lang w:val="sq-AL"/>
          </w:rPr>
        </w:r>
        <w:r w:rsidR="00315385" w:rsidRPr="00315385">
          <w:rPr>
            <w:rStyle w:val="Hyperlink"/>
            <w:rFonts w:eastAsiaTheme="majorEastAsia"/>
            <w:i/>
            <w:noProof/>
            <w:webHidden/>
            <w:color w:val="31849B" w:themeColor="accent5" w:themeShade="BF"/>
            <w:sz w:val="20"/>
            <w:szCs w:val="22"/>
            <w:lang w:val="sq-AL"/>
          </w:rPr>
          <w:fldChar w:fldCharType="separate"/>
        </w:r>
        <w:r w:rsidR="00C342E2">
          <w:rPr>
            <w:rStyle w:val="Hyperlink"/>
            <w:rFonts w:eastAsiaTheme="majorEastAsia"/>
            <w:i/>
            <w:noProof/>
            <w:webHidden/>
            <w:color w:val="31849B" w:themeColor="accent5" w:themeShade="BF"/>
            <w:sz w:val="20"/>
            <w:szCs w:val="22"/>
            <w:lang w:val="sq-AL"/>
          </w:rPr>
          <w:t>14</w:t>
        </w:r>
        <w:r w:rsidR="00315385" w:rsidRPr="00315385">
          <w:rPr>
            <w:rStyle w:val="Hyperlink"/>
            <w:rFonts w:eastAsiaTheme="majorEastAsia"/>
            <w:i/>
            <w:noProof/>
            <w:webHidden/>
            <w:color w:val="31849B" w:themeColor="accent5" w:themeShade="BF"/>
            <w:sz w:val="20"/>
            <w:szCs w:val="22"/>
            <w:lang w:val="sq-AL"/>
          </w:rPr>
          <w:fldChar w:fldCharType="end"/>
        </w:r>
      </w:hyperlink>
    </w:p>
    <w:p w:rsidR="00315385" w:rsidRPr="00315385" w:rsidRDefault="00555461">
      <w:pPr>
        <w:pStyle w:val="TableofFigures"/>
        <w:tabs>
          <w:tab w:val="right" w:leader="dot" w:pos="9623"/>
        </w:tabs>
        <w:rPr>
          <w:rStyle w:val="Hyperlink"/>
          <w:rFonts w:eastAsiaTheme="majorEastAsia"/>
          <w:i/>
          <w:noProof/>
          <w:color w:val="31849B" w:themeColor="accent5" w:themeShade="BF"/>
          <w:sz w:val="20"/>
          <w:lang w:val="sq-AL"/>
        </w:rPr>
      </w:pPr>
      <w:hyperlink w:anchor="_Toc44404451" w:history="1">
        <w:r w:rsidR="00315385" w:rsidRPr="00315385">
          <w:rPr>
            <w:rStyle w:val="Hyperlink"/>
            <w:rFonts w:eastAsiaTheme="majorEastAsia"/>
            <w:i/>
            <w:noProof/>
            <w:color w:val="31849B" w:themeColor="accent5" w:themeShade="BF"/>
            <w:sz w:val="20"/>
            <w:szCs w:val="22"/>
            <w:lang w:val="sq-AL"/>
          </w:rPr>
          <w:t>Grafiku 11: Shpenzimet e përgjithshme dhe ritmi i rritjes së tyre (në miliardë LEK)</w:t>
        </w:r>
        <w:r w:rsidR="00315385" w:rsidRPr="00315385">
          <w:rPr>
            <w:rStyle w:val="Hyperlink"/>
            <w:rFonts w:eastAsiaTheme="majorEastAsia"/>
            <w:i/>
            <w:noProof/>
            <w:webHidden/>
            <w:color w:val="31849B" w:themeColor="accent5" w:themeShade="BF"/>
            <w:sz w:val="20"/>
            <w:szCs w:val="22"/>
            <w:lang w:val="sq-AL"/>
          </w:rPr>
          <w:tab/>
        </w:r>
        <w:r w:rsidR="00315385" w:rsidRPr="00315385">
          <w:rPr>
            <w:rStyle w:val="Hyperlink"/>
            <w:rFonts w:eastAsiaTheme="majorEastAsia"/>
            <w:i/>
            <w:noProof/>
            <w:webHidden/>
            <w:color w:val="31849B" w:themeColor="accent5" w:themeShade="BF"/>
            <w:sz w:val="20"/>
            <w:szCs w:val="22"/>
            <w:lang w:val="sq-AL"/>
          </w:rPr>
          <w:fldChar w:fldCharType="begin"/>
        </w:r>
        <w:r w:rsidR="00315385" w:rsidRPr="00315385">
          <w:rPr>
            <w:rStyle w:val="Hyperlink"/>
            <w:rFonts w:eastAsiaTheme="majorEastAsia"/>
            <w:i/>
            <w:noProof/>
            <w:webHidden/>
            <w:color w:val="31849B" w:themeColor="accent5" w:themeShade="BF"/>
            <w:sz w:val="20"/>
            <w:szCs w:val="22"/>
            <w:lang w:val="sq-AL"/>
          </w:rPr>
          <w:instrText xml:space="preserve"> PAGEREF _Toc44404451 \h </w:instrText>
        </w:r>
        <w:r w:rsidR="00315385" w:rsidRPr="00315385">
          <w:rPr>
            <w:rStyle w:val="Hyperlink"/>
            <w:rFonts w:eastAsiaTheme="majorEastAsia"/>
            <w:i/>
            <w:noProof/>
            <w:webHidden/>
            <w:color w:val="31849B" w:themeColor="accent5" w:themeShade="BF"/>
            <w:sz w:val="20"/>
            <w:szCs w:val="22"/>
            <w:lang w:val="sq-AL"/>
          </w:rPr>
        </w:r>
        <w:r w:rsidR="00315385" w:rsidRPr="00315385">
          <w:rPr>
            <w:rStyle w:val="Hyperlink"/>
            <w:rFonts w:eastAsiaTheme="majorEastAsia"/>
            <w:i/>
            <w:noProof/>
            <w:webHidden/>
            <w:color w:val="31849B" w:themeColor="accent5" w:themeShade="BF"/>
            <w:sz w:val="20"/>
            <w:szCs w:val="22"/>
            <w:lang w:val="sq-AL"/>
          </w:rPr>
          <w:fldChar w:fldCharType="separate"/>
        </w:r>
        <w:r w:rsidR="00C342E2">
          <w:rPr>
            <w:rStyle w:val="Hyperlink"/>
            <w:rFonts w:eastAsiaTheme="majorEastAsia"/>
            <w:i/>
            <w:noProof/>
            <w:webHidden/>
            <w:color w:val="31849B" w:themeColor="accent5" w:themeShade="BF"/>
            <w:sz w:val="20"/>
            <w:szCs w:val="22"/>
            <w:lang w:val="sq-AL"/>
          </w:rPr>
          <w:t>16</w:t>
        </w:r>
        <w:r w:rsidR="00315385" w:rsidRPr="00315385">
          <w:rPr>
            <w:rStyle w:val="Hyperlink"/>
            <w:rFonts w:eastAsiaTheme="majorEastAsia"/>
            <w:i/>
            <w:noProof/>
            <w:webHidden/>
            <w:color w:val="31849B" w:themeColor="accent5" w:themeShade="BF"/>
            <w:sz w:val="20"/>
            <w:szCs w:val="22"/>
            <w:lang w:val="sq-AL"/>
          </w:rPr>
          <w:fldChar w:fldCharType="end"/>
        </w:r>
      </w:hyperlink>
    </w:p>
    <w:p w:rsidR="00315385" w:rsidRPr="00315385" w:rsidRDefault="00555461">
      <w:pPr>
        <w:pStyle w:val="TableofFigures"/>
        <w:tabs>
          <w:tab w:val="right" w:leader="dot" w:pos="9623"/>
        </w:tabs>
        <w:rPr>
          <w:rStyle w:val="Hyperlink"/>
          <w:rFonts w:eastAsiaTheme="majorEastAsia"/>
          <w:i/>
          <w:noProof/>
          <w:color w:val="31849B" w:themeColor="accent5" w:themeShade="BF"/>
          <w:sz w:val="20"/>
          <w:lang w:val="sq-AL"/>
        </w:rPr>
      </w:pPr>
      <w:hyperlink w:anchor="_Toc44404452" w:history="1">
        <w:r w:rsidR="00315385" w:rsidRPr="00315385">
          <w:rPr>
            <w:rStyle w:val="Hyperlink"/>
            <w:rFonts w:eastAsiaTheme="majorEastAsia"/>
            <w:i/>
            <w:noProof/>
            <w:color w:val="31849B" w:themeColor="accent5" w:themeShade="BF"/>
            <w:sz w:val="20"/>
            <w:szCs w:val="22"/>
            <w:lang w:val="sq-AL"/>
          </w:rPr>
          <w:t>Grafiku 12: Shpenzimet korente dhe kapitale Plan vs Fakt (në miliard LEK)</w:t>
        </w:r>
        <w:r w:rsidR="00315385" w:rsidRPr="00315385">
          <w:rPr>
            <w:rStyle w:val="Hyperlink"/>
            <w:rFonts w:eastAsiaTheme="majorEastAsia"/>
            <w:i/>
            <w:noProof/>
            <w:webHidden/>
            <w:color w:val="31849B" w:themeColor="accent5" w:themeShade="BF"/>
            <w:sz w:val="20"/>
            <w:szCs w:val="22"/>
            <w:lang w:val="sq-AL"/>
          </w:rPr>
          <w:tab/>
        </w:r>
        <w:r w:rsidR="00315385" w:rsidRPr="00315385">
          <w:rPr>
            <w:rStyle w:val="Hyperlink"/>
            <w:rFonts w:eastAsiaTheme="majorEastAsia"/>
            <w:i/>
            <w:noProof/>
            <w:webHidden/>
            <w:color w:val="31849B" w:themeColor="accent5" w:themeShade="BF"/>
            <w:sz w:val="20"/>
            <w:szCs w:val="22"/>
            <w:lang w:val="sq-AL"/>
          </w:rPr>
          <w:fldChar w:fldCharType="begin"/>
        </w:r>
        <w:r w:rsidR="00315385" w:rsidRPr="00315385">
          <w:rPr>
            <w:rStyle w:val="Hyperlink"/>
            <w:rFonts w:eastAsiaTheme="majorEastAsia"/>
            <w:i/>
            <w:noProof/>
            <w:webHidden/>
            <w:color w:val="31849B" w:themeColor="accent5" w:themeShade="BF"/>
            <w:sz w:val="20"/>
            <w:szCs w:val="22"/>
            <w:lang w:val="sq-AL"/>
          </w:rPr>
          <w:instrText xml:space="preserve"> PAGEREF _Toc44404452 \h </w:instrText>
        </w:r>
        <w:r w:rsidR="00315385" w:rsidRPr="00315385">
          <w:rPr>
            <w:rStyle w:val="Hyperlink"/>
            <w:rFonts w:eastAsiaTheme="majorEastAsia"/>
            <w:i/>
            <w:noProof/>
            <w:webHidden/>
            <w:color w:val="31849B" w:themeColor="accent5" w:themeShade="BF"/>
            <w:sz w:val="20"/>
            <w:szCs w:val="22"/>
            <w:lang w:val="sq-AL"/>
          </w:rPr>
        </w:r>
        <w:r w:rsidR="00315385" w:rsidRPr="00315385">
          <w:rPr>
            <w:rStyle w:val="Hyperlink"/>
            <w:rFonts w:eastAsiaTheme="majorEastAsia"/>
            <w:i/>
            <w:noProof/>
            <w:webHidden/>
            <w:color w:val="31849B" w:themeColor="accent5" w:themeShade="BF"/>
            <w:sz w:val="20"/>
            <w:szCs w:val="22"/>
            <w:lang w:val="sq-AL"/>
          </w:rPr>
          <w:fldChar w:fldCharType="separate"/>
        </w:r>
        <w:r w:rsidR="00C342E2">
          <w:rPr>
            <w:rStyle w:val="Hyperlink"/>
            <w:rFonts w:eastAsiaTheme="majorEastAsia"/>
            <w:i/>
            <w:noProof/>
            <w:webHidden/>
            <w:color w:val="31849B" w:themeColor="accent5" w:themeShade="BF"/>
            <w:sz w:val="20"/>
            <w:szCs w:val="22"/>
            <w:lang w:val="sq-AL"/>
          </w:rPr>
          <w:t>16</w:t>
        </w:r>
        <w:r w:rsidR="00315385" w:rsidRPr="00315385">
          <w:rPr>
            <w:rStyle w:val="Hyperlink"/>
            <w:rFonts w:eastAsiaTheme="majorEastAsia"/>
            <w:i/>
            <w:noProof/>
            <w:webHidden/>
            <w:color w:val="31849B" w:themeColor="accent5" w:themeShade="BF"/>
            <w:sz w:val="20"/>
            <w:szCs w:val="22"/>
            <w:lang w:val="sq-AL"/>
          </w:rPr>
          <w:fldChar w:fldCharType="end"/>
        </w:r>
      </w:hyperlink>
    </w:p>
    <w:p w:rsidR="00315385" w:rsidRPr="00315385" w:rsidRDefault="00555461">
      <w:pPr>
        <w:pStyle w:val="TableofFigures"/>
        <w:tabs>
          <w:tab w:val="right" w:leader="dot" w:pos="9623"/>
        </w:tabs>
        <w:rPr>
          <w:rStyle w:val="Hyperlink"/>
          <w:rFonts w:eastAsiaTheme="majorEastAsia"/>
          <w:i/>
          <w:noProof/>
          <w:color w:val="31849B" w:themeColor="accent5" w:themeShade="BF"/>
          <w:sz w:val="20"/>
          <w:lang w:val="sq-AL"/>
        </w:rPr>
      </w:pPr>
      <w:hyperlink w:anchor="_Toc44404453" w:history="1">
        <w:r w:rsidR="00315385" w:rsidRPr="00315385">
          <w:rPr>
            <w:rStyle w:val="Hyperlink"/>
            <w:rFonts w:eastAsiaTheme="majorEastAsia"/>
            <w:i/>
            <w:noProof/>
            <w:color w:val="31849B" w:themeColor="accent5" w:themeShade="BF"/>
            <w:sz w:val="20"/>
            <w:szCs w:val="22"/>
            <w:lang w:val="sq-AL"/>
          </w:rPr>
          <w:t>Grafiku 13: Struktura e shpenzimeve të përgjithshme, për periudhën 5 mujore 2020</w:t>
        </w:r>
        <w:r w:rsidR="00315385" w:rsidRPr="00315385">
          <w:rPr>
            <w:rStyle w:val="Hyperlink"/>
            <w:rFonts w:eastAsiaTheme="majorEastAsia"/>
            <w:i/>
            <w:noProof/>
            <w:webHidden/>
            <w:color w:val="31849B" w:themeColor="accent5" w:themeShade="BF"/>
            <w:sz w:val="20"/>
            <w:szCs w:val="22"/>
            <w:lang w:val="sq-AL"/>
          </w:rPr>
          <w:tab/>
        </w:r>
        <w:r w:rsidR="00315385" w:rsidRPr="00315385">
          <w:rPr>
            <w:rStyle w:val="Hyperlink"/>
            <w:rFonts w:eastAsiaTheme="majorEastAsia"/>
            <w:i/>
            <w:noProof/>
            <w:webHidden/>
            <w:color w:val="31849B" w:themeColor="accent5" w:themeShade="BF"/>
            <w:sz w:val="20"/>
            <w:szCs w:val="22"/>
            <w:lang w:val="sq-AL"/>
          </w:rPr>
          <w:fldChar w:fldCharType="begin"/>
        </w:r>
        <w:r w:rsidR="00315385" w:rsidRPr="00315385">
          <w:rPr>
            <w:rStyle w:val="Hyperlink"/>
            <w:rFonts w:eastAsiaTheme="majorEastAsia"/>
            <w:i/>
            <w:noProof/>
            <w:webHidden/>
            <w:color w:val="31849B" w:themeColor="accent5" w:themeShade="BF"/>
            <w:sz w:val="20"/>
            <w:szCs w:val="22"/>
            <w:lang w:val="sq-AL"/>
          </w:rPr>
          <w:instrText xml:space="preserve"> PAGEREF _Toc44404453 \h </w:instrText>
        </w:r>
        <w:r w:rsidR="00315385" w:rsidRPr="00315385">
          <w:rPr>
            <w:rStyle w:val="Hyperlink"/>
            <w:rFonts w:eastAsiaTheme="majorEastAsia"/>
            <w:i/>
            <w:noProof/>
            <w:webHidden/>
            <w:color w:val="31849B" w:themeColor="accent5" w:themeShade="BF"/>
            <w:sz w:val="20"/>
            <w:szCs w:val="22"/>
            <w:lang w:val="sq-AL"/>
          </w:rPr>
        </w:r>
        <w:r w:rsidR="00315385" w:rsidRPr="00315385">
          <w:rPr>
            <w:rStyle w:val="Hyperlink"/>
            <w:rFonts w:eastAsiaTheme="majorEastAsia"/>
            <w:i/>
            <w:noProof/>
            <w:webHidden/>
            <w:color w:val="31849B" w:themeColor="accent5" w:themeShade="BF"/>
            <w:sz w:val="20"/>
            <w:szCs w:val="22"/>
            <w:lang w:val="sq-AL"/>
          </w:rPr>
          <w:fldChar w:fldCharType="separate"/>
        </w:r>
        <w:r w:rsidR="00C342E2">
          <w:rPr>
            <w:rStyle w:val="Hyperlink"/>
            <w:rFonts w:eastAsiaTheme="majorEastAsia"/>
            <w:i/>
            <w:noProof/>
            <w:webHidden/>
            <w:color w:val="31849B" w:themeColor="accent5" w:themeShade="BF"/>
            <w:sz w:val="20"/>
            <w:szCs w:val="22"/>
            <w:lang w:val="sq-AL"/>
          </w:rPr>
          <w:t>16</w:t>
        </w:r>
        <w:r w:rsidR="00315385" w:rsidRPr="00315385">
          <w:rPr>
            <w:rStyle w:val="Hyperlink"/>
            <w:rFonts w:eastAsiaTheme="majorEastAsia"/>
            <w:i/>
            <w:noProof/>
            <w:webHidden/>
            <w:color w:val="31849B" w:themeColor="accent5" w:themeShade="BF"/>
            <w:sz w:val="20"/>
            <w:szCs w:val="22"/>
            <w:lang w:val="sq-AL"/>
          </w:rPr>
          <w:fldChar w:fldCharType="end"/>
        </w:r>
      </w:hyperlink>
    </w:p>
    <w:p w:rsidR="00315385" w:rsidRPr="00315385" w:rsidRDefault="00555461">
      <w:pPr>
        <w:pStyle w:val="TableofFigures"/>
        <w:tabs>
          <w:tab w:val="right" w:leader="dot" w:pos="9623"/>
        </w:tabs>
        <w:rPr>
          <w:rStyle w:val="Hyperlink"/>
          <w:rFonts w:eastAsiaTheme="majorEastAsia"/>
          <w:i/>
          <w:noProof/>
          <w:color w:val="31849B" w:themeColor="accent5" w:themeShade="BF"/>
          <w:sz w:val="20"/>
          <w:lang w:val="sq-AL"/>
        </w:rPr>
      </w:pPr>
      <w:hyperlink w:anchor="_Toc44404454" w:history="1">
        <w:r w:rsidR="00315385" w:rsidRPr="00315385">
          <w:rPr>
            <w:rStyle w:val="Hyperlink"/>
            <w:rFonts w:eastAsiaTheme="majorEastAsia"/>
            <w:i/>
            <w:noProof/>
            <w:color w:val="31849B" w:themeColor="accent5" w:themeShade="BF"/>
            <w:sz w:val="20"/>
            <w:szCs w:val="22"/>
            <w:lang w:val="sq-AL"/>
          </w:rPr>
          <w:t>Grafiku 14: Shpenzimet Korente dhe ritmi i rritjes së tyre (në miliardë LEK)</w:t>
        </w:r>
        <w:r w:rsidR="00315385" w:rsidRPr="00315385">
          <w:rPr>
            <w:rStyle w:val="Hyperlink"/>
            <w:rFonts w:eastAsiaTheme="majorEastAsia"/>
            <w:i/>
            <w:noProof/>
            <w:webHidden/>
            <w:color w:val="31849B" w:themeColor="accent5" w:themeShade="BF"/>
            <w:sz w:val="20"/>
            <w:szCs w:val="22"/>
            <w:lang w:val="sq-AL"/>
          </w:rPr>
          <w:tab/>
        </w:r>
        <w:r w:rsidR="00315385" w:rsidRPr="00315385">
          <w:rPr>
            <w:rStyle w:val="Hyperlink"/>
            <w:rFonts w:eastAsiaTheme="majorEastAsia"/>
            <w:i/>
            <w:noProof/>
            <w:webHidden/>
            <w:color w:val="31849B" w:themeColor="accent5" w:themeShade="BF"/>
            <w:sz w:val="20"/>
            <w:szCs w:val="22"/>
            <w:lang w:val="sq-AL"/>
          </w:rPr>
          <w:fldChar w:fldCharType="begin"/>
        </w:r>
        <w:r w:rsidR="00315385" w:rsidRPr="00315385">
          <w:rPr>
            <w:rStyle w:val="Hyperlink"/>
            <w:rFonts w:eastAsiaTheme="majorEastAsia"/>
            <w:i/>
            <w:noProof/>
            <w:webHidden/>
            <w:color w:val="31849B" w:themeColor="accent5" w:themeShade="BF"/>
            <w:sz w:val="20"/>
            <w:szCs w:val="22"/>
            <w:lang w:val="sq-AL"/>
          </w:rPr>
          <w:instrText xml:space="preserve"> PAGEREF _Toc44404454 \h </w:instrText>
        </w:r>
        <w:r w:rsidR="00315385" w:rsidRPr="00315385">
          <w:rPr>
            <w:rStyle w:val="Hyperlink"/>
            <w:rFonts w:eastAsiaTheme="majorEastAsia"/>
            <w:i/>
            <w:noProof/>
            <w:webHidden/>
            <w:color w:val="31849B" w:themeColor="accent5" w:themeShade="BF"/>
            <w:sz w:val="20"/>
            <w:szCs w:val="22"/>
            <w:lang w:val="sq-AL"/>
          </w:rPr>
        </w:r>
        <w:r w:rsidR="00315385" w:rsidRPr="00315385">
          <w:rPr>
            <w:rStyle w:val="Hyperlink"/>
            <w:rFonts w:eastAsiaTheme="majorEastAsia"/>
            <w:i/>
            <w:noProof/>
            <w:webHidden/>
            <w:color w:val="31849B" w:themeColor="accent5" w:themeShade="BF"/>
            <w:sz w:val="20"/>
            <w:szCs w:val="22"/>
            <w:lang w:val="sq-AL"/>
          </w:rPr>
          <w:fldChar w:fldCharType="separate"/>
        </w:r>
        <w:r w:rsidR="00C342E2">
          <w:rPr>
            <w:rStyle w:val="Hyperlink"/>
            <w:rFonts w:eastAsiaTheme="majorEastAsia"/>
            <w:i/>
            <w:noProof/>
            <w:webHidden/>
            <w:color w:val="31849B" w:themeColor="accent5" w:themeShade="BF"/>
            <w:sz w:val="20"/>
            <w:szCs w:val="22"/>
            <w:lang w:val="sq-AL"/>
          </w:rPr>
          <w:t>17</w:t>
        </w:r>
        <w:r w:rsidR="00315385" w:rsidRPr="00315385">
          <w:rPr>
            <w:rStyle w:val="Hyperlink"/>
            <w:rFonts w:eastAsiaTheme="majorEastAsia"/>
            <w:i/>
            <w:noProof/>
            <w:webHidden/>
            <w:color w:val="31849B" w:themeColor="accent5" w:themeShade="BF"/>
            <w:sz w:val="20"/>
            <w:szCs w:val="22"/>
            <w:lang w:val="sq-AL"/>
          </w:rPr>
          <w:fldChar w:fldCharType="end"/>
        </w:r>
      </w:hyperlink>
    </w:p>
    <w:p w:rsidR="00315385" w:rsidRPr="00315385" w:rsidRDefault="00555461">
      <w:pPr>
        <w:pStyle w:val="TableofFigures"/>
        <w:tabs>
          <w:tab w:val="right" w:leader="dot" w:pos="9623"/>
        </w:tabs>
        <w:rPr>
          <w:rStyle w:val="Hyperlink"/>
          <w:rFonts w:eastAsiaTheme="majorEastAsia"/>
          <w:i/>
          <w:noProof/>
          <w:color w:val="31849B" w:themeColor="accent5" w:themeShade="BF"/>
          <w:sz w:val="20"/>
          <w:lang w:val="sq-AL"/>
        </w:rPr>
      </w:pPr>
      <w:hyperlink w:anchor="_Toc44404455" w:history="1">
        <w:r w:rsidR="00315385" w:rsidRPr="00315385">
          <w:rPr>
            <w:rStyle w:val="Hyperlink"/>
            <w:rFonts w:eastAsiaTheme="majorEastAsia"/>
            <w:i/>
            <w:noProof/>
            <w:color w:val="31849B" w:themeColor="accent5" w:themeShade="BF"/>
            <w:sz w:val="20"/>
            <w:szCs w:val="22"/>
            <w:lang w:val="sq-AL"/>
          </w:rPr>
          <w:t>Grafiku 15: Struktura e shpenzimeve korente, për periudhën 5 mujore 2020</w:t>
        </w:r>
        <w:r w:rsidR="00315385" w:rsidRPr="00315385">
          <w:rPr>
            <w:rStyle w:val="Hyperlink"/>
            <w:rFonts w:eastAsiaTheme="majorEastAsia"/>
            <w:i/>
            <w:noProof/>
            <w:webHidden/>
            <w:color w:val="31849B" w:themeColor="accent5" w:themeShade="BF"/>
            <w:sz w:val="20"/>
            <w:szCs w:val="22"/>
            <w:lang w:val="sq-AL"/>
          </w:rPr>
          <w:tab/>
        </w:r>
        <w:r w:rsidR="00315385" w:rsidRPr="00315385">
          <w:rPr>
            <w:rStyle w:val="Hyperlink"/>
            <w:rFonts w:eastAsiaTheme="majorEastAsia"/>
            <w:i/>
            <w:noProof/>
            <w:webHidden/>
            <w:color w:val="31849B" w:themeColor="accent5" w:themeShade="BF"/>
            <w:sz w:val="20"/>
            <w:szCs w:val="22"/>
            <w:lang w:val="sq-AL"/>
          </w:rPr>
          <w:fldChar w:fldCharType="begin"/>
        </w:r>
        <w:r w:rsidR="00315385" w:rsidRPr="00315385">
          <w:rPr>
            <w:rStyle w:val="Hyperlink"/>
            <w:rFonts w:eastAsiaTheme="majorEastAsia"/>
            <w:i/>
            <w:noProof/>
            <w:webHidden/>
            <w:color w:val="31849B" w:themeColor="accent5" w:themeShade="BF"/>
            <w:sz w:val="20"/>
            <w:szCs w:val="22"/>
            <w:lang w:val="sq-AL"/>
          </w:rPr>
          <w:instrText xml:space="preserve"> PAGEREF _Toc44404455 \h </w:instrText>
        </w:r>
        <w:r w:rsidR="00315385" w:rsidRPr="00315385">
          <w:rPr>
            <w:rStyle w:val="Hyperlink"/>
            <w:rFonts w:eastAsiaTheme="majorEastAsia"/>
            <w:i/>
            <w:noProof/>
            <w:webHidden/>
            <w:color w:val="31849B" w:themeColor="accent5" w:themeShade="BF"/>
            <w:sz w:val="20"/>
            <w:szCs w:val="22"/>
            <w:lang w:val="sq-AL"/>
          </w:rPr>
        </w:r>
        <w:r w:rsidR="00315385" w:rsidRPr="00315385">
          <w:rPr>
            <w:rStyle w:val="Hyperlink"/>
            <w:rFonts w:eastAsiaTheme="majorEastAsia"/>
            <w:i/>
            <w:noProof/>
            <w:webHidden/>
            <w:color w:val="31849B" w:themeColor="accent5" w:themeShade="BF"/>
            <w:sz w:val="20"/>
            <w:szCs w:val="22"/>
            <w:lang w:val="sq-AL"/>
          </w:rPr>
          <w:fldChar w:fldCharType="separate"/>
        </w:r>
        <w:r w:rsidR="00C342E2">
          <w:rPr>
            <w:rStyle w:val="Hyperlink"/>
            <w:rFonts w:eastAsiaTheme="majorEastAsia"/>
            <w:i/>
            <w:noProof/>
            <w:webHidden/>
            <w:color w:val="31849B" w:themeColor="accent5" w:themeShade="BF"/>
            <w:sz w:val="20"/>
            <w:szCs w:val="22"/>
            <w:lang w:val="sq-AL"/>
          </w:rPr>
          <w:t>17</w:t>
        </w:r>
        <w:r w:rsidR="00315385" w:rsidRPr="00315385">
          <w:rPr>
            <w:rStyle w:val="Hyperlink"/>
            <w:rFonts w:eastAsiaTheme="majorEastAsia"/>
            <w:i/>
            <w:noProof/>
            <w:webHidden/>
            <w:color w:val="31849B" w:themeColor="accent5" w:themeShade="BF"/>
            <w:sz w:val="20"/>
            <w:szCs w:val="22"/>
            <w:lang w:val="sq-AL"/>
          </w:rPr>
          <w:fldChar w:fldCharType="end"/>
        </w:r>
      </w:hyperlink>
    </w:p>
    <w:p w:rsidR="00315385" w:rsidRPr="00315385" w:rsidRDefault="00555461">
      <w:pPr>
        <w:pStyle w:val="TableofFigures"/>
        <w:tabs>
          <w:tab w:val="right" w:leader="dot" w:pos="9623"/>
        </w:tabs>
        <w:rPr>
          <w:rStyle w:val="Hyperlink"/>
          <w:rFonts w:eastAsiaTheme="majorEastAsia"/>
          <w:i/>
          <w:noProof/>
          <w:color w:val="31849B" w:themeColor="accent5" w:themeShade="BF"/>
          <w:sz w:val="20"/>
          <w:lang w:val="sq-AL"/>
        </w:rPr>
      </w:pPr>
      <w:hyperlink w:anchor="_Toc44404456" w:history="1">
        <w:r w:rsidR="00315385" w:rsidRPr="00315385">
          <w:rPr>
            <w:rStyle w:val="Hyperlink"/>
            <w:rFonts w:eastAsiaTheme="majorEastAsia"/>
            <w:i/>
            <w:noProof/>
            <w:color w:val="31849B" w:themeColor="accent5" w:themeShade="BF"/>
            <w:sz w:val="20"/>
            <w:szCs w:val="22"/>
            <w:lang w:val="sq-AL"/>
          </w:rPr>
          <w:t>Grafiku 16: Shpenzimet e Personelit dhe ritmi i rritjes së tyre (në miliardë LEK)</w:t>
        </w:r>
        <w:r w:rsidR="00315385" w:rsidRPr="00315385">
          <w:rPr>
            <w:rStyle w:val="Hyperlink"/>
            <w:rFonts w:eastAsiaTheme="majorEastAsia"/>
            <w:i/>
            <w:noProof/>
            <w:webHidden/>
            <w:color w:val="31849B" w:themeColor="accent5" w:themeShade="BF"/>
            <w:sz w:val="20"/>
            <w:szCs w:val="22"/>
            <w:lang w:val="sq-AL"/>
          </w:rPr>
          <w:tab/>
        </w:r>
        <w:r w:rsidR="00315385" w:rsidRPr="00315385">
          <w:rPr>
            <w:rStyle w:val="Hyperlink"/>
            <w:rFonts w:eastAsiaTheme="majorEastAsia"/>
            <w:i/>
            <w:noProof/>
            <w:webHidden/>
            <w:color w:val="31849B" w:themeColor="accent5" w:themeShade="BF"/>
            <w:sz w:val="20"/>
            <w:szCs w:val="22"/>
            <w:lang w:val="sq-AL"/>
          </w:rPr>
          <w:fldChar w:fldCharType="begin"/>
        </w:r>
        <w:r w:rsidR="00315385" w:rsidRPr="00315385">
          <w:rPr>
            <w:rStyle w:val="Hyperlink"/>
            <w:rFonts w:eastAsiaTheme="majorEastAsia"/>
            <w:i/>
            <w:noProof/>
            <w:webHidden/>
            <w:color w:val="31849B" w:themeColor="accent5" w:themeShade="BF"/>
            <w:sz w:val="20"/>
            <w:szCs w:val="22"/>
            <w:lang w:val="sq-AL"/>
          </w:rPr>
          <w:instrText xml:space="preserve"> PAGEREF _Toc44404456 \h </w:instrText>
        </w:r>
        <w:r w:rsidR="00315385" w:rsidRPr="00315385">
          <w:rPr>
            <w:rStyle w:val="Hyperlink"/>
            <w:rFonts w:eastAsiaTheme="majorEastAsia"/>
            <w:i/>
            <w:noProof/>
            <w:webHidden/>
            <w:color w:val="31849B" w:themeColor="accent5" w:themeShade="BF"/>
            <w:sz w:val="20"/>
            <w:szCs w:val="22"/>
            <w:lang w:val="sq-AL"/>
          </w:rPr>
        </w:r>
        <w:r w:rsidR="00315385" w:rsidRPr="00315385">
          <w:rPr>
            <w:rStyle w:val="Hyperlink"/>
            <w:rFonts w:eastAsiaTheme="majorEastAsia"/>
            <w:i/>
            <w:noProof/>
            <w:webHidden/>
            <w:color w:val="31849B" w:themeColor="accent5" w:themeShade="BF"/>
            <w:sz w:val="20"/>
            <w:szCs w:val="22"/>
            <w:lang w:val="sq-AL"/>
          </w:rPr>
          <w:fldChar w:fldCharType="separate"/>
        </w:r>
        <w:r w:rsidR="00C342E2">
          <w:rPr>
            <w:rStyle w:val="Hyperlink"/>
            <w:rFonts w:eastAsiaTheme="majorEastAsia"/>
            <w:i/>
            <w:noProof/>
            <w:webHidden/>
            <w:color w:val="31849B" w:themeColor="accent5" w:themeShade="BF"/>
            <w:sz w:val="20"/>
            <w:szCs w:val="22"/>
            <w:lang w:val="sq-AL"/>
          </w:rPr>
          <w:t>18</w:t>
        </w:r>
        <w:r w:rsidR="00315385" w:rsidRPr="00315385">
          <w:rPr>
            <w:rStyle w:val="Hyperlink"/>
            <w:rFonts w:eastAsiaTheme="majorEastAsia"/>
            <w:i/>
            <w:noProof/>
            <w:webHidden/>
            <w:color w:val="31849B" w:themeColor="accent5" w:themeShade="BF"/>
            <w:sz w:val="20"/>
            <w:szCs w:val="22"/>
            <w:lang w:val="sq-AL"/>
          </w:rPr>
          <w:fldChar w:fldCharType="end"/>
        </w:r>
      </w:hyperlink>
    </w:p>
    <w:p w:rsidR="00315385" w:rsidRPr="00315385" w:rsidRDefault="00555461">
      <w:pPr>
        <w:pStyle w:val="TableofFigures"/>
        <w:tabs>
          <w:tab w:val="right" w:leader="dot" w:pos="9623"/>
        </w:tabs>
        <w:rPr>
          <w:rStyle w:val="Hyperlink"/>
          <w:rFonts w:eastAsiaTheme="majorEastAsia"/>
          <w:i/>
          <w:noProof/>
          <w:color w:val="31849B" w:themeColor="accent5" w:themeShade="BF"/>
          <w:sz w:val="20"/>
          <w:lang w:val="sq-AL"/>
        </w:rPr>
      </w:pPr>
      <w:hyperlink w:anchor="_Toc44404457" w:history="1">
        <w:r w:rsidR="00315385" w:rsidRPr="00315385">
          <w:rPr>
            <w:rStyle w:val="Hyperlink"/>
            <w:rFonts w:eastAsiaTheme="majorEastAsia"/>
            <w:i/>
            <w:noProof/>
            <w:color w:val="31849B" w:themeColor="accent5" w:themeShade="BF"/>
            <w:sz w:val="20"/>
            <w:szCs w:val="22"/>
            <w:lang w:val="sq-AL"/>
          </w:rPr>
          <w:t>Grafiku 17: Shpenzimet e Pagave dhe ritmi i rritjes së tyre (në miliardë LEK)</w:t>
        </w:r>
        <w:r w:rsidR="00315385" w:rsidRPr="00315385">
          <w:rPr>
            <w:rStyle w:val="Hyperlink"/>
            <w:rFonts w:eastAsiaTheme="majorEastAsia"/>
            <w:i/>
            <w:noProof/>
            <w:webHidden/>
            <w:color w:val="31849B" w:themeColor="accent5" w:themeShade="BF"/>
            <w:sz w:val="20"/>
            <w:szCs w:val="22"/>
            <w:lang w:val="sq-AL"/>
          </w:rPr>
          <w:tab/>
        </w:r>
        <w:r w:rsidR="00315385" w:rsidRPr="00315385">
          <w:rPr>
            <w:rStyle w:val="Hyperlink"/>
            <w:rFonts w:eastAsiaTheme="majorEastAsia"/>
            <w:i/>
            <w:noProof/>
            <w:webHidden/>
            <w:color w:val="31849B" w:themeColor="accent5" w:themeShade="BF"/>
            <w:sz w:val="20"/>
            <w:szCs w:val="22"/>
            <w:lang w:val="sq-AL"/>
          </w:rPr>
          <w:fldChar w:fldCharType="begin"/>
        </w:r>
        <w:r w:rsidR="00315385" w:rsidRPr="00315385">
          <w:rPr>
            <w:rStyle w:val="Hyperlink"/>
            <w:rFonts w:eastAsiaTheme="majorEastAsia"/>
            <w:i/>
            <w:noProof/>
            <w:webHidden/>
            <w:color w:val="31849B" w:themeColor="accent5" w:themeShade="BF"/>
            <w:sz w:val="20"/>
            <w:szCs w:val="22"/>
            <w:lang w:val="sq-AL"/>
          </w:rPr>
          <w:instrText xml:space="preserve"> PAGEREF _Toc44404457 \h </w:instrText>
        </w:r>
        <w:r w:rsidR="00315385" w:rsidRPr="00315385">
          <w:rPr>
            <w:rStyle w:val="Hyperlink"/>
            <w:rFonts w:eastAsiaTheme="majorEastAsia"/>
            <w:i/>
            <w:noProof/>
            <w:webHidden/>
            <w:color w:val="31849B" w:themeColor="accent5" w:themeShade="BF"/>
            <w:sz w:val="20"/>
            <w:szCs w:val="22"/>
            <w:lang w:val="sq-AL"/>
          </w:rPr>
        </w:r>
        <w:r w:rsidR="00315385" w:rsidRPr="00315385">
          <w:rPr>
            <w:rStyle w:val="Hyperlink"/>
            <w:rFonts w:eastAsiaTheme="majorEastAsia"/>
            <w:i/>
            <w:noProof/>
            <w:webHidden/>
            <w:color w:val="31849B" w:themeColor="accent5" w:themeShade="BF"/>
            <w:sz w:val="20"/>
            <w:szCs w:val="22"/>
            <w:lang w:val="sq-AL"/>
          </w:rPr>
          <w:fldChar w:fldCharType="separate"/>
        </w:r>
        <w:r w:rsidR="00C342E2">
          <w:rPr>
            <w:rStyle w:val="Hyperlink"/>
            <w:rFonts w:eastAsiaTheme="majorEastAsia"/>
            <w:i/>
            <w:noProof/>
            <w:webHidden/>
            <w:color w:val="31849B" w:themeColor="accent5" w:themeShade="BF"/>
            <w:sz w:val="20"/>
            <w:szCs w:val="22"/>
            <w:lang w:val="sq-AL"/>
          </w:rPr>
          <w:t>18</w:t>
        </w:r>
        <w:r w:rsidR="00315385" w:rsidRPr="00315385">
          <w:rPr>
            <w:rStyle w:val="Hyperlink"/>
            <w:rFonts w:eastAsiaTheme="majorEastAsia"/>
            <w:i/>
            <w:noProof/>
            <w:webHidden/>
            <w:color w:val="31849B" w:themeColor="accent5" w:themeShade="BF"/>
            <w:sz w:val="20"/>
            <w:szCs w:val="22"/>
            <w:lang w:val="sq-AL"/>
          </w:rPr>
          <w:fldChar w:fldCharType="end"/>
        </w:r>
      </w:hyperlink>
    </w:p>
    <w:p w:rsidR="00315385" w:rsidRPr="00315385" w:rsidRDefault="00555461">
      <w:pPr>
        <w:pStyle w:val="TableofFigures"/>
        <w:tabs>
          <w:tab w:val="right" w:leader="dot" w:pos="9623"/>
        </w:tabs>
        <w:rPr>
          <w:rStyle w:val="Hyperlink"/>
          <w:rFonts w:eastAsiaTheme="majorEastAsia"/>
          <w:i/>
          <w:noProof/>
          <w:color w:val="31849B" w:themeColor="accent5" w:themeShade="BF"/>
          <w:sz w:val="20"/>
          <w:lang w:val="sq-AL"/>
        </w:rPr>
      </w:pPr>
      <w:hyperlink w:anchor="_Toc44404458" w:history="1">
        <w:r w:rsidR="00315385" w:rsidRPr="00315385">
          <w:rPr>
            <w:rStyle w:val="Hyperlink"/>
            <w:rFonts w:eastAsiaTheme="majorEastAsia"/>
            <w:i/>
            <w:noProof/>
            <w:color w:val="31849B" w:themeColor="accent5" w:themeShade="BF"/>
            <w:sz w:val="20"/>
            <w:szCs w:val="22"/>
            <w:lang w:val="sq-AL"/>
          </w:rPr>
          <w:t>Grafiku 18: Shpenzimet për Interesa (në miliardë LEK)</w:t>
        </w:r>
        <w:r w:rsidR="00315385" w:rsidRPr="00315385">
          <w:rPr>
            <w:rStyle w:val="Hyperlink"/>
            <w:rFonts w:eastAsiaTheme="majorEastAsia"/>
            <w:i/>
            <w:noProof/>
            <w:webHidden/>
            <w:color w:val="31849B" w:themeColor="accent5" w:themeShade="BF"/>
            <w:sz w:val="20"/>
            <w:szCs w:val="22"/>
            <w:lang w:val="sq-AL"/>
          </w:rPr>
          <w:tab/>
        </w:r>
        <w:r w:rsidR="00315385" w:rsidRPr="00315385">
          <w:rPr>
            <w:rStyle w:val="Hyperlink"/>
            <w:rFonts w:eastAsiaTheme="majorEastAsia"/>
            <w:i/>
            <w:noProof/>
            <w:webHidden/>
            <w:color w:val="31849B" w:themeColor="accent5" w:themeShade="BF"/>
            <w:sz w:val="20"/>
            <w:szCs w:val="22"/>
            <w:lang w:val="sq-AL"/>
          </w:rPr>
          <w:fldChar w:fldCharType="begin"/>
        </w:r>
        <w:r w:rsidR="00315385" w:rsidRPr="00315385">
          <w:rPr>
            <w:rStyle w:val="Hyperlink"/>
            <w:rFonts w:eastAsiaTheme="majorEastAsia"/>
            <w:i/>
            <w:noProof/>
            <w:webHidden/>
            <w:color w:val="31849B" w:themeColor="accent5" w:themeShade="BF"/>
            <w:sz w:val="20"/>
            <w:szCs w:val="22"/>
            <w:lang w:val="sq-AL"/>
          </w:rPr>
          <w:instrText xml:space="preserve"> PAGEREF _Toc44404458 \h </w:instrText>
        </w:r>
        <w:r w:rsidR="00315385" w:rsidRPr="00315385">
          <w:rPr>
            <w:rStyle w:val="Hyperlink"/>
            <w:rFonts w:eastAsiaTheme="majorEastAsia"/>
            <w:i/>
            <w:noProof/>
            <w:webHidden/>
            <w:color w:val="31849B" w:themeColor="accent5" w:themeShade="BF"/>
            <w:sz w:val="20"/>
            <w:szCs w:val="22"/>
            <w:lang w:val="sq-AL"/>
          </w:rPr>
        </w:r>
        <w:r w:rsidR="00315385" w:rsidRPr="00315385">
          <w:rPr>
            <w:rStyle w:val="Hyperlink"/>
            <w:rFonts w:eastAsiaTheme="majorEastAsia"/>
            <w:i/>
            <w:noProof/>
            <w:webHidden/>
            <w:color w:val="31849B" w:themeColor="accent5" w:themeShade="BF"/>
            <w:sz w:val="20"/>
            <w:szCs w:val="22"/>
            <w:lang w:val="sq-AL"/>
          </w:rPr>
          <w:fldChar w:fldCharType="separate"/>
        </w:r>
        <w:r w:rsidR="00C342E2">
          <w:rPr>
            <w:rStyle w:val="Hyperlink"/>
            <w:rFonts w:eastAsiaTheme="majorEastAsia"/>
            <w:i/>
            <w:noProof/>
            <w:webHidden/>
            <w:color w:val="31849B" w:themeColor="accent5" w:themeShade="BF"/>
            <w:sz w:val="20"/>
            <w:szCs w:val="22"/>
            <w:lang w:val="sq-AL"/>
          </w:rPr>
          <w:t>19</w:t>
        </w:r>
        <w:r w:rsidR="00315385" w:rsidRPr="00315385">
          <w:rPr>
            <w:rStyle w:val="Hyperlink"/>
            <w:rFonts w:eastAsiaTheme="majorEastAsia"/>
            <w:i/>
            <w:noProof/>
            <w:webHidden/>
            <w:color w:val="31849B" w:themeColor="accent5" w:themeShade="BF"/>
            <w:sz w:val="20"/>
            <w:szCs w:val="22"/>
            <w:lang w:val="sq-AL"/>
          </w:rPr>
          <w:fldChar w:fldCharType="end"/>
        </w:r>
      </w:hyperlink>
    </w:p>
    <w:p w:rsidR="00315385" w:rsidRPr="00315385" w:rsidRDefault="00555461">
      <w:pPr>
        <w:pStyle w:val="TableofFigures"/>
        <w:tabs>
          <w:tab w:val="right" w:leader="dot" w:pos="9623"/>
        </w:tabs>
        <w:rPr>
          <w:rStyle w:val="Hyperlink"/>
          <w:rFonts w:eastAsiaTheme="majorEastAsia"/>
          <w:i/>
          <w:noProof/>
          <w:color w:val="31849B" w:themeColor="accent5" w:themeShade="BF"/>
          <w:sz w:val="20"/>
          <w:lang w:val="sq-AL"/>
        </w:rPr>
      </w:pPr>
      <w:hyperlink w:anchor="_Toc44404459" w:history="1">
        <w:r w:rsidR="00315385" w:rsidRPr="00315385">
          <w:rPr>
            <w:rStyle w:val="Hyperlink"/>
            <w:rFonts w:eastAsiaTheme="majorEastAsia"/>
            <w:i/>
            <w:noProof/>
            <w:color w:val="31849B" w:themeColor="accent5" w:themeShade="BF"/>
            <w:sz w:val="20"/>
            <w:szCs w:val="22"/>
            <w:lang w:val="sq-AL"/>
          </w:rPr>
          <w:t>Grafiku 19: Shpenzimet Operative dhe ritmi i rritjes së tyre (në miliardë LEK)</w:t>
        </w:r>
        <w:r w:rsidR="00315385" w:rsidRPr="00315385">
          <w:rPr>
            <w:rStyle w:val="Hyperlink"/>
            <w:rFonts w:eastAsiaTheme="majorEastAsia"/>
            <w:i/>
            <w:noProof/>
            <w:webHidden/>
            <w:color w:val="31849B" w:themeColor="accent5" w:themeShade="BF"/>
            <w:sz w:val="20"/>
            <w:szCs w:val="22"/>
            <w:lang w:val="sq-AL"/>
          </w:rPr>
          <w:tab/>
        </w:r>
        <w:r w:rsidR="00315385" w:rsidRPr="00315385">
          <w:rPr>
            <w:rStyle w:val="Hyperlink"/>
            <w:rFonts w:eastAsiaTheme="majorEastAsia"/>
            <w:i/>
            <w:noProof/>
            <w:webHidden/>
            <w:color w:val="31849B" w:themeColor="accent5" w:themeShade="BF"/>
            <w:sz w:val="20"/>
            <w:szCs w:val="22"/>
            <w:lang w:val="sq-AL"/>
          </w:rPr>
          <w:fldChar w:fldCharType="begin"/>
        </w:r>
        <w:r w:rsidR="00315385" w:rsidRPr="00315385">
          <w:rPr>
            <w:rStyle w:val="Hyperlink"/>
            <w:rFonts w:eastAsiaTheme="majorEastAsia"/>
            <w:i/>
            <w:noProof/>
            <w:webHidden/>
            <w:color w:val="31849B" w:themeColor="accent5" w:themeShade="BF"/>
            <w:sz w:val="20"/>
            <w:szCs w:val="22"/>
            <w:lang w:val="sq-AL"/>
          </w:rPr>
          <w:instrText xml:space="preserve"> PAGEREF _Toc44404459 \h </w:instrText>
        </w:r>
        <w:r w:rsidR="00315385" w:rsidRPr="00315385">
          <w:rPr>
            <w:rStyle w:val="Hyperlink"/>
            <w:rFonts w:eastAsiaTheme="majorEastAsia"/>
            <w:i/>
            <w:noProof/>
            <w:webHidden/>
            <w:color w:val="31849B" w:themeColor="accent5" w:themeShade="BF"/>
            <w:sz w:val="20"/>
            <w:szCs w:val="22"/>
            <w:lang w:val="sq-AL"/>
          </w:rPr>
        </w:r>
        <w:r w:rsidR="00315385" w:rsidRPr="00315385">
          <w:rPr>
            <w:rStyle w:val="Hyperlink"/>
            <w:rFonts w:eastAsiaTheme="majorEastAsia"/>
            <w:i/>
            <w:noProof/>
            <w:webHidden/>
            <w:color w:val="31849B" w:themeColor="accent5" w:themeShade="BF"/>
            <w:sz w:val="20"/>
            <w:szCs w:val="22"/>
            <w:lang w:val="sq-AL"/>
          </w:rPr>
          <w:fldChar w:fldCharType="separate"/>
        </w:r>
        <w:r w:rsidR="00C342E2">
          <w:rPr>
            <w:rStyle w:val="Hyperlink"/>
            <w:rFonts w:eastAsiaTheme="majorEastAsia"/>
            <w:i/>
            <w:noProof/>
            <w:webHidden/>
            <w:color w:val="31849B" w:themeColor="accent5" w:themeShade="BF"/>
            <w:sz w:val="20"/>
            <w:szCs w:val="22"/>
            <w:lang w:val="sq-AL"/>
          </w:rPr>
          <w:t>19</w:t>
        </w:r>
        <w:r w:rsidR="00315385" w:rsidRPr="00315385">
          <w:rPr>
            <w:rStyle w:val="Hyperlink"/>
            <w:rFonts w:eastAsiaTheme="majorEastAsia"/>
            <w:i/>
            <w:noProof/>
            <w:webHidden/>
            <w:color w:val="31849B" w:themeColor="accent5" w:themeShade="BF"/>
            <w:sz w:val="20"/>
            <w:szCs w:val="22"/>
            <w:lang w:val="sq-AL"/>
          </w:rPr>
          <w:fldChar w:fldCharType="end"/>
        </w:r>
      </w:hyperlink>
    </w:p>
    <w:p w:rsidR="00315385" w:rsidRPr="00315385" w:rsidRDefault="00555461">
      <w:pPr>
        <w:pStyle w:val="TableofFigures"/>
        <w:tabs>
          <w:tab w:val="right" w:leader="dot" w:pos="9623"/>
        </w:tabs>
        <w:rPr>
          <w:rStyle w:val="Hyperlink"/>
          <w:rFonts w:eastAsiaTheme="majorEastAsia"/>
          <w:i/>
          <w:noProof/>
          <w:color w:val="31849B" w:themeColor="accent5" w:themeShade="BF"/>
          <w:sz w:val="20"/>
          <w:lang w:val="sq-AL"/>
        </w:rPr>
      </w:pPr>
      <w:hyperlink w:anchor="_Toc44404460" w:history="1">
        <w:r w:rsidR="00315385" w:rsidRPr="00315385">
          <w:rPr>
            <w:rStyle w:val="Hyperlink"/>
            <w:rFonts w:eastAsiaTheme="majorEastAsia"/>
            <w:i/>
            <w:noProof/>
            <w:color w:val="31849B" w:themeColor="accent5" w:themeShade="BF"/>
            <w:sz w:val="20"/>
            <w:szCs w:val="22"/>
            <w:lang w:val="sq-AL"/>
          </w:rPr>
          <w:t>Grafiku 20: Shpenzimet për Subvencione dhe ritmi i rritjes së tyre (në miliardë LEK)</w:t>
        </w:r>
        <w:r w:rsidR="00315385" w:rsidRPr="00315385">
          <w:rPr>
            <w:rStyle w:val="Hyperlink"/>
            <w:rFonts w:eastAsiaTheme="majorEastAsia"/>
            <w:i/>
            <w:noProof/>
            <w:webHidden/>
            <w:color w:val="31849B" w:themeColor="accent5" w:themeShade="BF"/>
            <w:sz w:val="20"/>
            <w:szCs w:val="22"/>
            <w:lang w:val="sq-AL"/>
          </w:rPr>
          <w:tab/>
        </w:r>
        <w:r w:rsidR="00315385" w:rsidRPr="00315385">
          <w:rPr>
            <w:rStyle w:val="Hyperlink"/>
            <w:rFonts w:eastAsiaTheme="majorEastAsia"/>
            <w:i/>
            <w:noProof/>
            <w:webHidden/>
            <w:color w:val="31849B" w:themeColor="accent5" w:themeShade="BF"/>
            <w:sz w:val="20"/>
            <w:szCs w:val="22"/>
            <w:lang w:val="sq-AL"/>
          </w:rPr>
          <w:fldChar w:fldCharType="begin"/>
        </w:r>
        <w:r w:rsidR="00315385" w:rsidRPr="00315385">
          <w:rPr>
            <w:rStyle w:val="Hyperlink"/>
            <w:rFonts w:eastAsiaTheme="majorEastAsia"/>
            <w:i/>
            <w:noProof/>
            <w:webHidden/>
            <w:color w:val="31849B" w:themeColor="accent5" w:themeShade="BF"/>
            <w:sz w:val="20"/>
            <w:szCs w:val="22"/>
            <w:lang w:val="sq-AL"/>
          </w:rPr>
          <w:instrText xml:space="preserve"> PAGEREF _Toc44404460 \h </w:instrText>
        </w:r>
        <w:r w:rsidR="00315385" w:rsidRPr="00315385">
          <w:rPr>
            <w:rStyle w:val="Hyperlink"/>
            <w:rFonts w:eastAsiaTheme="majorEastAsia"/>
            <w:i/>
            <w:noProof/>
            <w:webHidden/>
            <w:color w:val="31849B" w:themeColor="accent5" w:themeShade="BF"/>
            <w:sz w:val="20"/>
            <w:szCs w:val="22"/>
            <w:lang w:val="sq-AL"/>
          </w:rPr>
        </w:r>
        <w:r w:rsidR="00315385" w:rsidRPr="00315385">
          <w:rPr>
            <w:rStyle w:val="Hyperlink"/>
            <w:rFonts w:eastAsiaTheme="majorEastAsia"/>
            <w:i/>
            <w:noProof/>
            <w:webHidden/>
            <w:color w:val="31849B" w:themeColor="accent5" w:themeShade="BF"/>
            <w:sz w:val="20"/>
            <w:szCs w:val="22"/>
            <w:lang w:val="sq-AL"/>
          </w:rPr>
          <w:fldChar w:fldCharType="separate"/>
        </w:r>
        <w:r w:rsidR="00C342E2">
          <w:rPr>
            <w:rStyle w:val="Hyperlink"/>
            <w:rFonts w:eastAsiaTheme="majorEastAsia"/>
            <w:i/>
            <w:noProof/>
            <w:webHidden/>
            <w:color w:val="31849B" w:themeColor="accent5" w:themeShade="BF"/>
            <w:sz w:val="20"/>
            <w:szCs w:val="22"/>
            <w:lang w:val="sq-AL"/>
          </w:rPr>
          <w:t>19</w:t>
        </w:r>
        <w:r w:rsidR="00315385" w:rsidRPr="00315385">
          <w:rPr>
            <w:rStyle w:val="Hyperlink"/>
            <w:rFonts w:eastAsiaTheme="majorEastAsia"/>
            <w:i/>
            <w:noProof/>
            <w:webHidden/>
            <w:color w:val="31849B" w:themeColor="accent5" w:themeShade="BF"/>
            <w:sz w:val="20"/>
            <w:szCs w:val="22"/>
            <w:lang w:val="sq-AL"/>
          </w:rPr>
          <w:fldChar w:fldCharType="end"/>
        </w:r>
      </w:hyperlink>
    </w:p>
    <w:p w:rsidR="00315385" w:rsidRPr="00315385" w:rsidRDefault="00555461">
      <w:pPr>
        <w:pStyle w:val="TableofFigures"/>
        <w:tabs>
          <w:tab w:val="right" w:leader="dot" w:pos="9623"/>
        </w:tabs>
        <w:rPr>
          <w:rStyle w:val="Hyperlink"/>
          <w:rFonts w:eastAsiaTheme="majorEastAsia"/>
          <w:i/>
          <w:noProof/>
          <w:color w:val="31849B" w:themeColor="accent5" w:themeShade="BF"/>
          <w:sz w:val="20"/>
          <w:lang w:val="sq-AL"/>
        </w:rPr>
      </w:pPr>
      <w:hyperlink w:anchor="_Toc44404461" w:history="1">
        <w:r w:rsidR="00315385" w:rsidRPr="00315385">
          <w:rPr>
            <w:rStyle w:val="Hyperlink"/>
            <w:rFonts w:eastAsiaTheme="majorEastAsia"/>
            <w:i/>
            <w:noProof/>
            <w:color w:val="31849B" w:themeColor="accent5" w:themeShade="BF"/>
            <w:sz w:val="20"/>
            <w:szCs w:val="22"/>
            <w:lang w:val="sq-AL"/>
          </w:rPr>
          <w:t>Grafiku 21: Shpenzimet për Sigurime Shoqërore dhe Shëndetësore (në miliardë LEK)</w:t>
        </w:r>
        <w:r w:rsidR="00315385" w:rsidRPr="00315385">
          <w:rPr>
            <w:rStyle w:val="Hyperlink"/>
            <w:rFonts w:eastAsiaTheme="majorEastAsia"/>
            <w:i/>
            <w:noProof/>
            <w:webHidden/>
            <w:color w:val="31849B" w:themeColor="accent5" w:themeShade="BF"/>
            <w:sz w:val="20"/>
            <w:szCs w:val="22"/>
            <w:lang w:val="sq-AL"/>
          </w:rPr>
          <w:tab/>
        </w:r>
        <w:r w:rsidR="00315385" w:rsidRPr="00315385">
          <w:rPr>
            <w:rStyle w:val="Hyperlink"/>
            <w:rFonts w:eastAsiaTheme="majorEastAsia"/>
            <w:i/>
            <w:noProof/>
            <w:webHidden/>
            <w:color w:val="31849B" w:themeColor="accent5" w:themeShade="BF"/>
            <w:sz w:val="20"/>
            <w:szCs w:val="22"/>
            <w:lang w:val="sq-AL"/>
          </w:rPr>
          <w:fldChar w:fldCharType="begin"/>
        </w:r>
        <w:r w:rsidR="00315385" w:rsidRPr="00315385">
          <w:rPr>
            <w:rStyle w:val="Hyperlink"/>
            <w:rFonts w:eastAsiaTheme="majorEastAsia"/>
            <w:i/>
            <w:noProof/>
            <w:webHidden/>
            <w:color w:val="31849B" w:themeColor="accent5" w:themeShade="BF"/>
            <w:sz w:val="20"/>
            <w:szCs w:val="22"/>
            <w:lang w:val="sq-AL"/>
          </w:rPr>
          <w:instrText xml:space="preserve"> PAGEREF _Toc44404461 \h </w:instrText>
        </w:r>
        <w:r w:rsidR="00315385" w:rsidRPr="00315385">
          <w:rPr>
            <w:rStyle w:val="Hyperlink"/>
            <w:rFonts w:eastAsiaTheme="majorEastAsia"/>
            <w:i/>
            <w:noProof/>
            <w:webHidden/>
            <w:color w:val="31849B" w:themeColor="accent5" w:themeShade="BF"/>
            <w:sz w:val="20"/>
            <w:szCs w:val="22"/>
            <w:lang w:val="sq-AL"/>
          </w:rPr>
        </w:r>
        <w:r w:rsidR="00315385" w:rsidRPr="00315385">
          <w:rPr>
            <w:rStyle w:val="Hyperlink"/>
            <w:rFonts w:eastAsiaTheme="majorEastAsia"/>
            <w:i/>
            <w:noProof/>
            <w:webHidden/>
            <w:color w:val="31849B" w:themeColor="accent5" w:themeShade="BF"/>
            <w:sz w:val="20"/>
            <w:szCs w:val="22"/>
            <w:lang w:val="sq-AL"/>
          </w:rPr>
          <w:fldChar w:fldCharType="separate"/>
        </w:r>
        <w:r w:rsidR="00C342E2">
          <w:rPr>
            <w:rStyle w:val="Hyperlink"/>
            <w:rFonts w:eastAsiaTheme="majorEastAsia"/>
            <w:i/>
            <w:noProof/>
            <w:webHidden/>
            <w:color w:val="31849B" w:themeColor="accent5" w:themeShade="BF"/>
            <w:sz w:val="20"/>
            <w:szCs w:val="22"/>
            <w:lang w:val="sq-AL"/>
          </w:rPr>
          <w:t>20</w:t>
        </w:r>
        <w:r w:rsidR="00315385" w:rsidRPr="00315385">
          <w:rPr>
            <w:rStyle w:val="Hyperlink"/>
            <w:rFonts w:eastAsiaTheme="majorEastAsia"/>
            <w:i/>
            <w:noProof/>
            <w:webHidden/>
            <w:color w:val="31849B" w:themeColor="accent5" w:themeShade="BF"/>
            <w:sz w:val="20"/>
            <w:szCs w:val="22"/>
            <w:lang w:val="sq-AL"/>
          </w:rPr>
          <w:fldChar w:fldCharType="end"/>
        </w:r>
      </w:hyperlink>
    </w:p>
    <w:p w:rsidR="00315385" w:rsidRPr="00315385" w:rsidRDefault="00555461">
      <w:pPr>
        <w:pStyle w:val="TableofFigures"/>
        <w:tabs>
          <w:tab w:val="right" w:leader="dot" w:pos="9623"/>
        </w:tabs>
        <w:rPr>
          <w:rStyle w:val="Hyperlink"/>
          <w:rFonts w:eastAsiaTheme="majorEastAsia"/>
          <w:i/>
          <w:noProof/>
          <w:color w:val="31849B" w:themeColor="accent5" w:themeShade="BF"/>
          <w:sz w:val="20"/>
          <w:lang w:val="sq-AL"/>
        </w:rPr>
      </w:pPr>
      <w:hyperlink w:anchor="_Toc44404462" w:history="1">
        <w:r w:rsidR="00315385" w:rsidRPr="00315385">
          <w:rPr>
            <w:rStyle w:val="Hyperlink"/>
            <w:rFonts w:eastAsiaTheme="majorEastAsia"/>
            <w:i/>
            <w:noProof/>
            <w:color w:val="31849B" w:themeColor="accent5" w:themeShade="BF"/>
            <w:sz w:val="20"/>
            <w:szCs w:val="22"/>
            <w:lang w:val="sq-AL"/>
          </w:rPr>
          <w:t>Grafiku 22: Shpenzimet për Ndihmën Ekonomike, PAK dhe Papunësinë (në miliardë LEK)</w:t>
        </w:r>
        <w:r w:rsidR="00315385" w:rsidRPr="00315385">
          <w:rPr>
            <w:rStyle w:val="Hyperlink"/>
            <w:rFonts w:eastAsiaTheme="majorEastAsia"/>
            <w:i/>
            <w:noProof/>
            <w:webHidden/>
            <w:color w:val="31849B" w:themeColor="accent5" w:themeShade="BF"/>
            <w:sz w:val="20"/>
            <w:szCs w:val="22"/>
            <w:lang w:val="sq-AL"/>
          </w:rPr>
          <w:tab/>
        </w:r>
        <w:r w:rsidR="00315385" w:rsidRPr="00315385">
          <w:rPr>
            <w:rStyle w:val="Hyperlink"/>
            <w:rFonts w:eastAsiaTheme="majorEastAsia"/>
            <w:i/>
            <w:noProof/>
            <w:webHidden/>
            <w:color w:val="31849B" w:themeColor="accent5" w:themeShade="BF"/>
            <w:sz w:val="20"/>
            <w:szCs w:val="22"/>
            <w:lang w:val="sq-AL"/>
          </w:rPr>
          <w:fldChar w:fldCharType="begin"/>
        </w:r>
        <w:r w:rsidR="00315385" w:rsidRPr="00315385">
          <w:rPr>
            <w:rStyle w:val="Hyperlink"/>
            <w:rFonts w:eastAsiaTheme="majorEastAsia"/>
            <w:i/>
            <w:noProof/>
            <w:webHidden/>
            <w:color w:val="31849B" w:themeColor="accent5" w:themeShade="BF"/>
            <w:sz w:val="20"/>
            <w:szCs w:val="22"/>
            <w:lang w:val="sq-AL"/>
          </w:rPr>
          <w:instrText xml:space="preserve"> PAGEREF _Toc44404462 \h </w:instrText>
        </w:r>
        <w:r w:rsidR="00315385" w:rsidRPr="00315385">
          <w:rPr>
            <w:rStyle w:val="Hyperlink"/>
            <w:rFonts w:eastAsiaTheme="majorEastAsia"/>
            <w:i/>
            <w:noProof/>
            <w:webHidden/>
            <w:color w:val="31849B" w:themeColor="accent5" w:themeShade="BF"/>
            <w:sz w:val="20"/>
            <w:szCs w:val="22"/>
            <w:lang w:val="sq-AL"/>
          </w:rPr>
        </w:r>
        <w:r w:rsidR="00315385" w:rsidRPr="00315385">
          <w:rPr>
            <w:rStyle w:val="Hyperlink"/>
            <w:rFonts w:eastAsiaTheme="majorEastAsia"/>
            <w:i/>
            <w:noProof/>
            <w:webHidden/>
            <w:color w:val="31849B" w:themeColor="accent5" w:themeShade="BF"/>
            <w:sz w:val="20"/>
            <w:szCs w:val="22"/>
            <w:lang w:val="sq-AL"/>
          </w:rPr>
          <w:fldChar w:fldCharType="separate"/>
        </w:r>
        <w:r w:rsidR="00C342E2">
          <w:rPr>
            <w:rStyle w:val="Hyperlink"/>
            <w:rFonts w:eastAsiaTheme="majorEastAsia"/>
            <w:i/>
            <w:noProof/>
            <w:webHidden/>
            <w:color w:val="31849B" w:themeColor="accent5" w:themeShade="BF"/>
            <w:sz w:val="20"/>
            <w:szCs w:val="22"/>
            <w:lang w:val="sq-AL"/>
          </w:rPr>
          <w:t>21</w:t>
        </w:r>
        <w:r w:rsidR="00315385" w:rsidRPr="00315385">
          <w:rPr>
            <w:rStyle w:val="Hyperlink"/>
            <w:rFonts w:eastAsiaTheme="majorEastAsia"/>
            <w:i/>
            <w:noProof/>
            <w:webHidden/>
            <w:color w:val="31849B" w:themeColor="accent5" w:themeShade="BF"/>
            <w:sz w:val="20"/>
            <w:szCs w:val="22"/>
            <w:lang w:val="sq-AL"/>
          </w:rPr>
          <w:fldChar w:fldCharType="end"/>
        </w:r>
      </w:hyperlink>
    </w:p>
    <w:p w:rsidR="00315385" w:rsidRPr="00315385" w:rsidRDefault="00555461">
      <w:pPr>
        <w:pStyle w:val="TableofFigures"/>
        <w:tabs>
          <w:tab w:val="right" w:leader="dot" w:pos="9623"/>
        </w:tabs>
        <w:rPr>
          <w:rStyle w:val="Hyperlink"/>
          <w:rFonts w:eastAsiaTheme="majorEastAsia"/>
          <w:i/>
          <w:noProof/>
          <w:color w:val="31849B" w:themeColor="accent5" w:themeShade="BF"/>
          <w:sz w:val="20"/>
          <w:lang w:val="sq-AL"/>
        </w:rPr>
      </w:pPr>
      <w:hyperlink w:anchor="_Toc44404463" w:history="1">
        <w:r w:rsidR="00315385" w:rsidRPr="00315385">
          <w:rPr>
            <w:rStyle w:val="Hyperlink"/>
            <w:rFonts w:eastAsiaTheme="majorEastAsia"/>
            <w:i/>
            <w:noProof/>
            <w:color w:val="31849B" w:themeColor="accent5" w:themeShade="BF"/>
            <w:sz w:val="20"/>
            <w:szCs w:val="22"/>
            <w:lang w:val="sq-AL"/>
          </w:rPr>
          <w:t>Grafiku 23: Shpenzimet Kapitale dhe ritmi i rritjes së tyre (në miliardë LEK)</w:t>
        </w:r>
        <w:r w:rsidR="00315385" w:rsidRPr="00315385">
          <w:rPr>
            <w:rStyle w:val="Hyperlink"/>
            <w:rFonts w:eastAsiaTheme="majorEastAsia"/>
            <w:i/>
            <w:noProof/>
            <w:webHidden/>
            <w:color w:val="31849B" w:themeColor="accent5" w:themeShade="BF"/>
            <w:sz w:val="20"/>
            <w:szCs w:val="22"/>
            <w:lang w:val="sq-AL"/>
          </w:rPr>
          <w:tab/>
        </w:r>
        <w:r w:rsidR="00315385" w:rsidRPr="00315385">
          <w:rPr>
            <w:rStyle w:val="Hyperlink"/>
            <w:rFonts w:eastAsiaTheme="majorEastAsia"/>
            <w:i/>
            <w:noProof/>
            <w:webHidden/>
            <w:color w:val="31849B" w:themeColor="accent5" w:themeShade="BF"/>
            <w:sz w:val="20"/>
            <w:szCs w:val="22"/>
            <w:lang w:val="sq-AL"/>
          </w:rPr>
          <w:fldChar w:fldCharType="begin"/>
        </w:r>
        <w:r w:rsidR="00315385" w:rsidRPr="00315385">
          <w:rPr>
            <w:rStyle w:val="Hyperlink"/>
            <w:rFonts w:eastAsiaTheme="majorEastAsia"/>
            <w:i/>
            <w:noProof/>
            <w:webHidden/>
            <w:color w:val="31849B" w:themeColor="accent5" w:themeShade="BF"/>
            <w:sz w:val="20"/>
            <w:szCs w:val="22"/>
            <w:lang w:val="sq-AL"/>
          </w:rPr>
          <w:instrText xml:space="preserve"> PAGEREF _Toc44404463 \h </w:instrText>
        </w:r>
        <w:r w:rsidR="00315385" w:rsidRPr="00315385">
          <w:rPr>
            <w:rStyle w:val="Hyperlink"/>
            <w:rFonts w:eastAsiaTheme="majorEastAsia"/>
            <w:i/>
            <w:noProof/>
            <w:webHidden/>
            <w:color w:val="31849B" w:themeColor="accent5" w:themeShade="BF"/>
            <w:sz w:val="20"/>
            <w:szCs w:val="22"/>
            <w:lang w:val="sq-AL"/>
          </w:rPr>
        </w:r>
        <w:r w:rsidR="00315385" w:rsidRPr="00315385">
          <w:rPr>
            <w:rStyle w:val="Hyperlink"/>
            <w:rFonts w:eastAsiaTheme="majorEastAsia"/>
            <w:i/>
            <w:noProof/>
            <w:webHidden/>
            <w:color w:val="31849B" w:themeColor="accent5" w:themeShade="BF"/>
            <w:sz w:val="20"/>
            <w:szCs w:val="22"/>
            <w:lang w:val="sq-AL"/>
          </w:rPr>
          <w:fldChar w:fldCharType="separate"/>
        </w:r>
        <w:r w:rsidR="00C342E2">
          <w:rPr>
            <w:rStyle w:val="Hyperlink"/>
            <w:rFonts w:eastAsiaTheme="majorEastAsia"/>
            <w:i/>
            <w:noProof/>
            <w:webHidden/>
            <w:color w:val="31849B" w:themeColor="accent5" w:themeShade="BF"/>
            <w:sz w:val="20"/>
            <w:szCs w:val="22"/>
            <w:lang w:val="sq-AL"/>
          </w:rPr>
          <w:t>21</w:t>
        </w:r>
        <w:r w:rsidR="00315385" w:rsidRPr="00315385">
          <w:rPr>
            <w:rStyle w:val="Hyperlink"/>
            <w:rFonts w:eastAsiaTheme="majorEastAsia"/>
            <w:i/>
            <w:noProof/>
            <w:webHidden/>
            <w:color w:val="31849B" w:themeColor="accent5" w:themeShade="BF"/>
            <w:sz w:val="20"/>
            <w:szCs w:val="22"/>
            <w:lang w:val="sq-AL"/>
          </w:rPr>
          <w:fldChar w:fldCharType="end"/>
        </w:r>
      </w:hyperlink>
    </w:p>
    <w:p w:rsidR="00315385" w:rsidRPr="00315385" w:rsidRDefault="00555461">
      <w:pPr>
        <w:pStyle w:val="TableofFigures"/>
        <w:tabs>
          <w:tab w:val="right" w:leader="dot" w:pos="9623"/>
        </w:tabs>
        <w:rPr>
          <w:rStyle w:val="Hyperlink"/>
          <w:rFonts w:eastAsiaTheme="majorEastAsia"/>
          <w:i/>
          <w:noProof/>
          <w:color w:val="31849B" w:themeColor="accent5" w:themeShade="BF"/>
          <w:sz w:val="20"/>
          <w:lang w:val="sq-AL"/>
        </w:rPr>
      </w:pPr>
      <w:hyperlink w:anchor="_Toc44404464" w:history="1">
        <w:r w:rsidR="00315385" w:rsidRPr="00315385">
          <w:rPr>
            <w:rStyle w:val="Hyperlink"/>
            <w:rFonts w:eastAsiaTheme="majorEastAsia"/>
            <w:i/>
            <w:noProof/>
            <w:color w:val="31849B" w:themeColor="accent5" w:themeShade="BF"/>
            <w:sz w:val="20"/>
            <w:szCs w:val="22"/>
            <w:lang w:val="sq-AL"/>
          </w:rPr>
          <w:t>Grafiku 24: Shpenzimet Kapitale dhe burimi i financimit të tyre (në miliardë LEK)</w:t>
        </w:r>
        <w:r w:rsidR="00315385" w:rsidRPr="00315385">
          <w:rPr>
            <w:rStyle w:val="Hyperlink"/>
            <w:rFonts w:eastAsiaTheme="majorEastAsia"/>
            <w:i/>
            <w:noProof/>
            <w:webHidden/>
            <w:color w:val="31849B" w:themeColor="accent5" w:themeShade="BF"/>
            <w:sz w:val="20"/>
            <w:szCs w:val="22"/>
            <w:lang w:val="sq-AL"/>
          </w:rPr>
          <w:tab/>
        </w:r>
        <w:r w:rsidR="00315385" w:rsidRPr="00315385">
          <w:rPr>
            <w:rStyle w:val="Hyperlink"/>
            <w:rFonts w:eastAsiaTheme="majorEastAsia"/>
            <w:i/>
            <w:noProof/>
            <w:webHidden/>
            <w:color w:val="31849B" w:themeColor="accent5" w:themeShade="BF"/>
            <w:sz w:val="20"/>
            <w:szCs w:val="22"/>
            <w:lang w:val="sq-AL"/>
          </w:rPr>
          <w:fldChar w:fldCharType="begin"/>
        </w:r>
        <w:r w:rsidR="00315385" w:rsidRPr="00315385">
          <w:rPr>
            <w:rStyle w:val="Hyperlink"/>
            <w:rFonts w:eastAsiaTheme="majorEastAsia"/>
            <w:i/>
            <w:noProof/>
            <w:webHidden/>
            <w:color w:val="31849B" w:themeColor="accent5" w:themeShade="BF"/>
            <w:sz w:val="20"/>
            <w:szCs w:val="22"/>
            <w:lang w:val="sq-AL"/>
          </w:rPr>
          <w:instrText xml:space="preserve"> PAGEREF _Toc44404464 \h </w:instrText>
        </w:r>
        <w:r w:rsidR="00315385" w:rsidRPr="00315385">
          <w:rPr>
            <w:rStyle w:val="Hyperlink"/>
            <w:rFonts w:eastAsiaTheme="majorEastAsia"/>
            <w:i/>
            <w:noProof/>
            <w:webHidden/>
            <w:color w:val="31849B" w:themeColor="accent5" w:themeShade="BF"/>
            <w:sz w:val="20"/>
            <w:szCs w:val="22"/>
            <w:lang w:val="sq-AL"/>
          </w:rPr>
        </w:r>
        <w:r w:rsidR="00315385" w:rsidRPr="00315385">
          <w:rPr>
            <w:rStyle w:val="Hyperlink"/>
            <w:rFonts w:eastAsiaTheme="majorEastAsia"/>
            <w:i/>
            <w:noProof/>
            <w:webHidden/>
            <w:color w:val="31849B" w:themeColor="accent5" w:themeShade="BF"/>
            <w:sz w:val="20"/>
            <w:szCs w:val="22"/>
            <w:lang w:val="sq-AL"/>
          </w:rPr>
          <w:fldChar w:fldCharType="separate"/>
        </w:r>
        <w:r w:rsidR="00C342E2">
          <w:rPr>
            <w:rStyle w:val="Hyperlink"/>
            <w:rFonts w:eastAsiaTheme="majorEastAsia"/>
            <w:i/>
            <w:noProof/>
            <w:webHidden/>
            <w:color w:val="31849B" w:themeColor="accent5" w:themeShade="BF"/>
            <w:sz w:val="20"/>
            <w:szCs w:val="22"/>
            <w:lang w:val="sq-AL"/>
          </w:rPr>
          <w:t>21</w:t>
        </w:r>
        <w:r w:rsidR="00315385" w:rsidRPr="00315385">
          <w:rPr>
            <w:rStyle w:val="Hyperlink"/>
            <w:rFonts w:eastAsiaTheme="majorEastAsia"/>
            <w:i/>
            <w:noProof/>
            <w:webHidden/>
            <w:color w:val="31849B" w:themeColor="accent5" w:themeShade="BF"/>
            <w:sz w:val="20"/>
            <w:szCs w:val="22"/>
            <w:lang w:val="sq-AL"/>
          </w:rPr>
          <w:fldChar w:fldCharType="end"/>
        </w:r>
      </w:hyperlink>
    </w:p>
    <w:p w:rsidR="00315385" w:rsidRPr="00315385" w:rsidRDefault="00555461">
      <w:pPr>
        <w:pStyle w:val="TableofFigures"/>
        <w:tabs>
          <w:tab w:val="right" w:leader="dot" w:pos="9623"/>
        </w:tabs>
        <w:rPr>
          <w:rStyle w:val="Hyperlink"/>
          <w:rFonts w:eastAsiaTheme="majorEastAsia"/>
          <w:i/>
          <w:noProof/>
          <w:color w:val="31849B" w:themeColor="accent5" w:themeShade="BF"/>
          <w:sz w:val="20"/>
          <w:lang w:val="sq-AL"/>
        </w:rPr>
      </w:pPr>
      <w:hyperlink w:anchor="_Toc44404465" w:history="1">
        <w:r w:rsidR="00315385" w:rsidRPr="00315385">
          <w:rPr>
            <w:rStyle w:val="Hyperlink"/>
            <w:rFonts w:eastAsiaTheme="majorEastAsia"/>
            <w:i/>
            <w:noProof/>
            <w:color w:val="31849B" w:themeColor="accent5" w:themeShade="BF"/>
            <w:sz w:val="20"/>
            <w:szCs w:val="22"/>
            <w:lang w:val="sq-AL"/>
          </w:rPr>
          <w:t>Grafiku 25: Detajimi i Shpenzimeve Buxhetore (në milion LEK)</w:t>
        </w:r>
        <w:r w:rsidR="00315385" w:rsidRPr="00315385">
          <w:rPr>
            <w:rStyle w:val="Hyperlink"/>
            <w:rFonts w:eastAsiaTheme="majorEastAsia"/>
            <w:i/>
            <w:noProof/>
            <w:webHidden/>
            <w:color w:val="31849B" w:themeColor="accent5" w:themeShade="BF"/>
            <w:sz w:val="20"/>
            <w:szCs w:val="22"/>
            <w:lang w:val="sq-AL"/>
          </w:rPr>
          <w:tab/>
        </w:r>
        <w:r w:rsidR="00315385" w:rsidRPr="00315385">
          <w:rPr>
            <w:rStyle w:val="Hyperlink"/>
            <w:rFonts w:eastAsiaTheme="majorEastAsia"/>
            <w:i/>
            <w:noProof/>
            <w:webHidden/>
            <w:color w:val="31849B" w:themeColor="accent5" w:themeShade="BF"/>
            <w:sz w:val="20"/>
            <w:szCs w:val="22"/>
            <w:lang w:val="sq-AL"/>
          </w:rPr>
          <w:fldChar w:fldCharType="begin"/>
        </w:r>
        <w:r w:rsidR="00315385" w:rsidRPr="00315385">
          <w:rPr>
            <w:rStyle w:val="Hyperlink"/>
            <w:rFonts w:eastAsiaTheme="majorEastAsia"/>
            <w:i/>
            <w:noProof/>
            <w:webHidden/>
            <w:color w:val="31849B" w:themeColor="accent5" w:themeShade="BF"/>
            <w:sz w:val="20"/>
            <w:szCs w:val="22"/>
            <w:lang w:val="sq-AL"/>
          </w:rPr>
          <w:instrText xml:space="preserve"> PAGEREF _Toc44404465 \h </w:instrText>
        </w:r>
        <w:r w:rsidR="00315385" w:rsidRPr="00315385">
          <w:rPr>
            <w:rStyle w:val="Hyperlink"/>
            <w:rFonts w:eastAsiaTheme="majorEastAsia"/>
            <w:i/>
            <w:noProof/>
            <w:webHidden/>
            <w:color w:val="31849B" w:themeColor="accent5" w:themeShade="BF"/>
            <w:sz w:val="20"/>
            <w:szCs w:val="22"/>
            <w:lang w:val="sq-AL"/>
          </w:rPr>
        </w:r>
        <w:r w:rsidR="00315385" w:rsidRPr="00315385">
          <w:rPr>
            <w:rStyle w:val="Hyperlink"/>
            <w:rFonts w:eastAsiaTheme="majorEastAsia"/>
            <w:i/>
            <w:noProof/>
            <w:webHidden/>
            <w:color w:val="31849B" w:themeColor="accent5" w:themeShade="BF"/>
            <w:sz w:val="20"/>
            <w:szCs w:val="22"/>
            <w:lang w:val="sq-AL"/>
          </w:rPr>
          <w:fldChar w:fldCharType="separate"/>
        </w:r>
        <w:r w:rsidR="00C342E2">
          <w:rPr>
            <w:rStyle w:val="Hyperlink"/>
            <w:rFonts w:eastAsiaTheme="majorEastAsia"/>
            <w:i/>
            <w:noProof/>
            <w:webHidden/>
            <w:color w:val="31849B" w:themeColor="accent5" w:themeShade="BF"/>
            <w:sz w:val="20"/>
            <w:szCs w:val="22"/>
            <w:lang w:val="sq-AL"/>
          </w:rPr>
          <w:t>22</w:t>
        </w:r>
        <w:r w:rsidR="00315385" w:rsidRPr="00315385">
          <w:rPr>
            <w:rStyle w:val="Hyperlink"/>
            <w:rFonts w:eastAsiaTheme="majorEastAsia"/>
            <w:i/>
            <w:noProof/>
            <w:webHidden/>
            <w:color w:val="31849B" w:themeColor="accent5" w:themeShade="BF"/>
            <w:sz w:val="20"/>
            <w:szCs w:val="22"/>
            <w:lang w:val="sq-AL"/>
          </w:rPr>
          <w:fldChar w:fldCharType="end"/>
        </w:r>
      </w:hyperlink>
    </w:p>
    <w:p w:rsidR="00315385" w:rsidRPr="00315385" w:rsidRDefault="00555461">
      <w:pPr>
        <w:pStyle w:val="TableofFigures"/>
        <w:tabs>
          <w:tab w:val="right" w:leader="dot" w:pos="9623"/>
        </w:tabs>
        <w:rPr>
          <w:rStyle w:val="Hyperlink"/>
          <w:rFonts w:eastAsiaTheme="majorEastAsia"/>
          <w:i/>
          <w:noProof/>
          <w:color w:val="31849B" w:themeColor="accent5" w:themeShade="BF"/>
          <w:sz w:val="20"/>
          <w:lang w:val="sq-AL"/>
        </w:rPr>
      </w:pPr>
      <w:hyperlink w:anchor="_Toc44404466" w:history="1">
        <w:r w:rsidR="00315385" w:rsidRPr="00315385">
          <w:rPr>
            <w:rStyle w:val="Hyperlink"/>
            <w:rFonts w:eastAsiaTheme="majorEastAsia"/>
            <w:i/>
            <w:noProof/>
            <w:color w:val="31849B" w:themeColor="accent5" w:themeShade="BF"/>
            <w:sz w:val="20"/>
            <w:szCs w:val="22"/>
            <w:lang w:val="sq-AL"/>
          </w:rPr>
          <w:t>Grafiku 26: Të ardhurat, shpenzimet dhe deficiti/suficiti - Plan vs Fakt 5 Mujori 2019 (në milion LEK)</w:t>
        </w:r>
        <w:r w:rsidR="00315385" w:rsidRPr="00315385">
          <w:rPr>
            <w:rStyle w:val="Hyperlink"/>
            <w:rFonts w:eastAsiaTheme="majorEastAsia"/>
            <w:i/>
            <w:noProof/>
            <w:webHidden/>
            <w:color w:val="31849B" w:themeColor="accent5" w:themeShade="BF"/>
            <w:sz w:val="20"/>
            <w:szCs w:val="22"/>
            <w:lang w:val="sq-AL"/>
          </w:rPr>
          <w:tab/>
        </w:r>
        <w:r w:rsidR="00315385" w:rsidRPr="00315385">
          <w:rPr>
            <w:rStyle w:val="Hyperlink"/>
            <w:rFonts w:eastAsiaTheme="majorEastAsia"/>
            <w:i/>
            <w:noProof/>
            <w:webHidden/>
            <w:color w:val="31849B" w:themeColor="accent5" w:themeShade="BF"/>
            <w:sz w:val="20"/>
            <w:szCs w:val="22"/>
            <w:lang w:val="sq-AL"/>
          </w:rPr>
          <w:fldChar w:fldCharType="begin"/>
        </w:r>
        <w:r w:rsidR="00315385" w:rsidRPr="00315385">
          <w:rPr>
            <w:rStyle w:val="Hyperlink"/>
            <w:rFonts w:eastAsiaTheme="majorEastAsia"/>
            <w:i/>
            <w:noProof/>
            <w:webHidden/>
            <w:color w:val="31849B" w:themeColor="accent5" w:themeShade="BF"/>
            <w:sz w:val="20"/>
            <w:szCs w:val="22"/>
            <w:lang w:val="sq-AL"/>
          </w:rPr>
          <w:instrText xml:space="preserve"> PAGEREF _Toc44404466 \h </w:instrText>
        </w:r>
        <w:r w:rsidR="00315385" w:rsidRPr="00315385">
          <w:rPr>
            <w:rStyle w:val="Hyperlink"/>
            <w:rFonts w:eastAsiaTheme="majorEastAsia"/>
            <w:i/>
            <w:noProof/>
            <w:webHidden/>
            <w:color w:val="31849B" w:themeColor="accent5" w:themeShade="BF"/>
            <w:sz w:val="20"/>
            <w:szCs w:val="22"/>
            <w:lang w:val="sq-AL"/>
          </w:rPr>
        </w:r>
        <w:r w:rsidR="00315385" w:rsidRPr="00315385">
          <w:rPr>
            <w:rStyle w:val="Hyperlink"/>
            <w:rFonts w:eastAsiaTheme="majorEastAsia"/>
            <w:i/>
            <w:noProof/>
            <w:webHidden/>
            <w:color w:val="31849B" w:themeColor="accent5" w:themeShade="BF"/>
            <w:sz w:val="20"/>
            <w:szCs w:val="22"/>
            <w:lang w:val="sq-AL"/>
          </w:rPr>
          <w:fldChar w:fldCharType="separate"/>
        </w:r>
        <w:r w:rsidR="00C342E2">
          <w:rPr>
            <w:rStyle w:val="Hyperlink"/>
            <w:rFonts w:eastAsiaTheme="majorEastAsia"/>
            <w:i/>
            <w:noProof/>
            <w:webHidden/>
            <w:color w:val="31849B" w:themeColor="accent5" w:themeShade="BF"/>
            <w:sz w:val="20"/>
            <w:szCs w:val="22"/>
            <w:lang w:val="sq-AL"/>
          </w:rPr>
          <w:t>22</w:t>
        </w:r>
        <w:r w:rsidR="00315385" w:rsidRPr="00315385">
          <w:rPr>
            <w:rStyle w:val="Hyperlink"/>
            <w:rFonts w:eastAsiaTheme="majorEastAsia"/>
            <w:i/>
            <w:noProof/>
            <w:webHidden/>
            <w:color w:val="31849B" w:themeColor="accent5" w:themeShade="BF"/>
            <w:sz w:val="20"/>
            <w:szCs w:val="22"/>
            <w:lang w:val="sq-AL"/>
          </w:rPr>
          <w:fldChar w:fldCharType="end"/>
        </w:r>
      </w:hyperlink>
    </w:p>
    <w:p w:rsidR="00315385" w:rsidRPr="00315385" w:rsidRDefault="00555461">
      <w:pPr>
        <w:pStyle w:val="TableofFigures"/>
        <w:tabs>
          <w:tab w:val="right" w:leader="dot" w:pos="9623"/>
        </w:tabs>
        <w:rPr>
          <w:rStyle w:val="Hyperlink"/>
          <w:rFonts w:eastAsiaTheme="majorEastAsia"/>
          <w:i/>
          <w:noProof/>
          <w:color w:val="31849B" w:themeColor="accent5" w:themeShade="BF"/>
          <w:sz w:val="20"/>
          <w:lang w:val="sq-AL"/>
        </w:rPr>
      </w:pPr>
      <w:hyperlink w:anchor="_Toc44404467" w:history="1">
        <w:r w:rsidR="00315385" w:rsidRPr="00315385">
          <w:rPr>
            <w:rStyle w:val="Hyperlink"/>
            <w:rFonts w:eastAsiaTheme="majorEastAsia"/>
            <w:i/>
            <w:noProof/>
            <w:color w:val="31849B" w:themeColor="accent5" w:themeShade="BF"/>
            <w:sz w:val="20"/>
            <w:szCs w:val="22"/>
            <w:lang w:val="sq-AL"/>
          </w:rPr>
          <w:t>Grafiku 27 Të ardhurat sipas burimit për njësitë vendore</w:t>
        </w:r>
        <w:r w:rsidR="00315385" w:rsidRPr="00315385">
          <w:rPr>
            <w:rStyle w:val="Hyperlink"/>
            <w:rFonts w:eastAsiaTheme="majorEastAsia"/>
            <w:i/>
            <w:noProof/>
            <w:webHidden/>
            <w:color w:val="31849B" w:themeColor="accent5" w:themeShade="BF"/>
            <w:sz w:val="20"/>
            <w:szCs w:val="22"/>
            <w:lang w:val="sq-AL"/>
          </w:rPr>
          <w:tab/>
        </w:r>
        <w:r w:rsidR="00315385" w:rsidRPr="00315385">
          <w:rPr>
            <w:rStyle w:val="Hyperlink"/>
            <w:rFonts w:eastAsiaTheme="majorEastAsia"/>
            <w:i/>
            <w:noProof/>
            <w:webHidden/>
            <w:color w:val="31849B" w:themeColor="accent5" w:themeShade="BF"/>
            <w:sz w:val="20"/>
            <w:szCs w:val="22"/>
            <w:lang w:val="sq-AL"/>
          </w:rPr>
          <w:fldChar w:fldCharType="begin"/>
        </w:r>
        <w:r w:rsidR="00315385" w:rsidRPr="00315385">
          <w:rPr>
            <w:rStyle w:val="Hyperlink"/>
            <w:rFonts w:eastAsiaTheme="majorEastAsia"/>
            <w:i/>
            <w:noProof/>
            <w:webHidden/>
            <w:color w:val="31849B" w:themeColor="accent5" w:themeShade="BF"/>
            <w:sz w:val="20"/>
            <w:szCs w:val="22"/>
            <w:lang w:val="sq-AL"/>
          </w:rPr>
          <w:instrText xml:space="preserve"> PAGEREF _Toc44404467 \h </w:instrText>
        </w:r>
        <w:r w:rsidR="00315385" w:rsidRPr="00315385">
          <w:rPr>
            <w:rStyle w:val="Hyperlink"/>
            <w:rFonts w:eastAsiaTheme="majorEastAsia"/>
            <w:i/>
            <w:noProof/>
            <w:webHidden/>
            <w:color w:val="31849B" w:themeColor="accent5" w:themeShade="BF"/>
            <w:sz w:val="20"/>
            <w:szCs w:val="22"/>
            <w:lang w:val="sq-AL"/>
          </w:rPr>
        </w:r>
        <w:r w:rsidR="00315385" w:rsidRPr="00315385">
          <w:rPr>
            <w:rStyle w:val="Hyperlink"/>
            <w:rFonts w:eastAsiaTheme="majorEastAsia"/>
            <w:i/>
            <w:noProof/>
            <w:webHidden/>
            <w:color w:val="31849B" w:themeColor="accent5" w:themeShade="BF"/>
            <w:sz w:val="20"/>
            <w:szCs w:val="22"/>
            <w:lang w:val="sq-AL"/>
          </w:rPr>
          <w:fldChar w:fldCharType="separate"/>
        </w:r>
        <w:r w:rsidR="00C342E2">
          <w:rPr>
            <w:rStyle w:val="Hyperlink"/>
            <w:rFonts w:eastAsiaTheme="majorEastAsia"/>
            <w:i/>
            <w:noProof/>
            <w:webHidden/>
            <w:color w:val="31849B" w:themeColor="accent5" w:themeShade="BF"/>
            <w:sz w:val="20"/>
            <w:szCs w:val="22"/>
            <w:lang w:val="sq-AL"/>
          </w:rPr>
          <w:t>23</w:t>
        </w:r>
        <w:r w:rsidR="00315385" w:rsidRPr="00315385">
          <w:rPr>
            <w:rStyle w:val="Hyperlink"/>
            <w:rFonts w:eastAsiaTheme="majorEastAsia"/>
            <w:i/>
            <w:noProof/>
            <w:webHidden/>
            <w:color w:val="31849B" w:themeColor="accent5" w:themeShade="BF"/>
            <w:sz w:val="20"/>
            <w:szCs w:val="22"/>
            <w:lang w:val="sq-AL"/>
          </w:rPr>
          <w:fldChar w:fldCharType="end"/>
        </w:r>
      </w:hyperlink>
    </w:p>
    <w:p w:rsidR="00315385" w:rsidRPr="00315385" w:rsidRDefault="00555461">
      <w:pPr>
        <w:pStyle w:val="TableofFigures"/>
        <w:tabs>
          <w:tab w:val="right" w:leader="dot" w:pos="9623"/>
        </w:tabs>
        <w:rPr>
          <w:rStyle w:val="Hyperlink"/>
          <w:rFonts w:eastAsiaTheme="majorEastAsia"/>
          <w:i/>
          <w:noProof/>
          <w:color w:val="31849B" w:themeColor="accent5" w:themeShade="BF"/>
          <w:sz w:val="20"/>
          <w:lang w:val="sq-AL"/>
        </w:rPr>
      </w:pPr>
      <w:hyperlink w:anchor="_Toc44404468" w:history="1">
        <w:r w:rsidR="00315385" w:rsidRPr="00315385">
          <w:rPr>
            <w:rStyle w:val="Hyperlink"/>
            <w:rFonts w:eastAsiaTheme="majorEastAsia"/>
            <w:i/>
            <w:noProof/>
            <w:color w:val="31849B" w:themeColor="accent5" w:themeShade="BF"/>
            <w:sz w:val="20"/>
            <w:szCs w:val="22"/>
            <w:lang w:val="sq-AL"/>
          </w:rPr>
          <w:t>Grafiku 28: Të ardhurat e përgjithshme të pushtetit e pushtetit vendor</w:t>
        </w:r>
        <w:r w:rsidR="00315385" w:rsidRPr="00315385">
          <w:rPr>
            <w:rStyle w:val="Hyperlink"/>
            <w:rFonts w:eastAsiaTheme="majorEastAsia"/>
            <w:i/>
            <w:noProof/>
            <w:webHidden/>
            <w:color w:val="31849B" w:themeColor="accent5" w:themeShade="BF"/>
            <w:sz w:val="20"/>
            <w:szCs w:val="22"/>
            <w:lang w:val="sq-AL"/>
          </w:rPr>
          <w:tab/>
        </w:r>
        <w:r w:rsidR="00315385" w:rsidRPr="00315385">
          <w:rPr>
            <w:rStyle w:val="Hyperlink"/>
            <w:rFonts w:eastAsiaTheme="majorEastAsia"/>
            <w:i/>
            <w:noProof/>
            <w:webHidden/>
            <w:color w:val="31849B" w:themeColor="accent5" w:themeShade="BF"/>
            <w:sz w:val="20"/>
            <w:szCs w:val="22"/>
            <w:lang w:val="sq-AL"/>
          </w:rPr>
          <w:fldChar w:fldCharType="begin"/>
        </w:r>
        <w:r w:rsidR="00315385" w:rsidRPr="00315385">
          <w:rPr>
            <w:rStyle w:val="Hyperlink"/>
            <w:rFonts w:eastAsiaTheme="majorEastAsia"/>
            <w:i/>
            <w:noProof/>
            <w:webHidden/>
            <w:color w:val="31849B" w:themeColor="accent5" w:themeShade="BF"/>
            <w:sz w:val="20"/>
            <w:szCs w:val="22"/>
            <w:lang w:val="sq-AL"/>
          </w:rPr>
          <w:instrText xml:space="preserve"> PAGEREF _Toc44404468 \h </w:instrText>
        </w:r>
        <w:r w:rsidR="00315385" w:rsidRPr="00315385">
          <w:rPr>
            <w:rStyle w:val="Hyperlink"/>
            <w:rFonts w:eastAsiaTheme="majorEastAsia"/>
            <w:i/>
            <w:noProof/>
            <w:webHidden/>
            <w:color w:val="31849B" w:themeColor="accent5" w:themeShade="BF"/>
            <w:sz w:val="20"/>
            <w:szCs w:val="22"/>
            <w:lang w:val="sq-AL"/>
          </w:rPr>
        </w:r>
        <w:r w:rsidR="00315385" w:rsidRPr="00315385">
          <w:rPr>
            <w:rStyle w:val="Hyperlink"/>
            <w:rFonts w:eastAsiaTheme="majorEastAsia"/>
            <w:i/>
            <w:noProof/>
            <w:webHidden/>
            <w:color w:val="31849B" w:themeColor="accent5" w:themeShade="BF"/>
            <w:sz w:val="20"/>
            <w:szCs w:val="22"/>
            <w:lang w:val="sq-AL"/>
          </w:rPr>
          <w:fldChar w:fldCharType="separate"/>
        </w:r>
        <w:r w:rsidR="00C342E2">
          <w:rPr>
            <w:rStyle w:val="Hyperlink"/>
            <w:rFonts w:eastAsiaTheme="majorEastAsia"/>
            <w:i/>
            <w:noProof/>
            <w:webHidden/>
            <w:color w:val="31849B" w:themeColor="accent5" w:themeShade="BF"/>
            <w:sz w:val="20"/>
            <w:szCs w:val="22"/>
            <w:lang w:val="sq-AL"/>
          </w:rPr>
          <w:t>24</w:t>
        </w:r>
        <w:r w:rsidR="00315385" w:rsidRPr="00315385">
          <w:rPr>
            <w:rStyle w:val="Hyperlink"/>
            <w:rFonts w:eastAsiaTheme="majorEastAsia"/>
            <w:i/>
            <w:noProof/>
            <w:webHidden/>
            <w:color w:val="31849B" w:themeColor="accent5" w:themeShade="BF"/>
            <w:sz w:val="20"/>
            <w:szCs w:val="22"/>
            <w:lang w:val="sq-AL"/>
          </w:rPr>
          <w:fldChar w:fldCharType="end"/>
        </w:r>
      </w:hyperlink>
    </w:p>
    <w:p w:rsidR="00315385" w:rsidRPr="00315385" w:rsidRDefault="00555461">
      <w:pPr>
        <w:pStyle w:val="TableofFigures"/>
        <w:tabs>
          <w:tab w:val="right" w:leader="dot" w:pos="9623"/>
        </w:tabs>
        <w:rPr>
          <w:rStyle w:val="Hyperlink"/>
          <w:rFonts w:eastAsiaTheme="majorEastAsia"/>
          <w:i/>
          <w:noProof/>
          <w:color w:val="31849B" w:themeColor="accent5" w:themeShade="BF"/>
          <w:sz w:val="20"/>
          <w:lang w:val="sq-AL"/>
        </w:rPr>
      </w:pPr>
      <w:hyperlink w:anchor="_Toc44404469" w:history="1">
        <w:r w:rsidR="00315385" w:rsidRPr="00315385">
          <w:rPr>
            <w:rStyle w:val="Hyperlink"/>
            <w:rFonts w:eastAsiaTheme="majorEastAsia"/>
            <w:i/>
            <w:noProof/>
            <w:color w:val="31849B" w:themeColor="accent5" w:themeShade="BF"/>
            <w:sz w:val="20"/>
            <w:szCs w:val="22"/>
            <w:lang w:val="sq-AL"/>
          </w:rPr>
          <w:t>Grafiku 29: Të ardhurat e përgjithshme të pushtetit e pushtetit vendor</w:t>
        </w:r>
        <w:r w:rsidR="00315385" w:rsidRPr="00315385">
          <w:rPr>
            <w:rStyle w:val="Hyperlink"/>
            <w:rFonts w:eastAsiaTheme="majorEastAsia"/>
            <w:i/>
            <w:noProof/>
            <w:webHidden/>
            <w:color w:val="31849B" w:themeColor="accent5" w:themeShade="BF"/>
            <w:sz w:val="20"/>
            <w:szCs w:val="22"/>
            <w:lang w:val="sq-AL"/>
          </w:rPr>
          <w:tab/>
        </w:r>
        <w:r w:rsidR="00315385" w:rsidRPr="00315385">
          <w:rPr>
            <w:rStyle w:val="Hyperlink"/>
            <w:rFonts w:eastAsiaTheme="majorEastAsia"/>
            <w:i/>
            <w:noProof/>
            <w:webHidden/>
            <w:color w:val="31849B" w:themeColor="accent5" w:themeShade="BF"/>
            <w:sz w:val="20"/>
            <w:szCs w:val="22"/>
            <w:lang w:val="sq-AL"/>
          </w:rPr>
          <w:fldChar w:fldCharType="begin"/>
        </w:r>
        <w:r w:rsidR="00315385" w:rsidRPr="00315385">
          <w:rPr>
            <w:rStyle w:val="Hyperlink"/>
            <w:rFonts w:eastAsiaTheme="majorEastAsia"/>
            <w:i/>
            <w:noProof/>
            <w:webHidden/>
            <w:color w:val="31849B" w:themeColor="accent5" w:themeShade="BF"/>
            <w:sz w:val="20"/>
            <w:szCs w:val="22"/>
            <w:lang w:val="sq-AL"/>
          </w:rPr>
          <w:instrText xml:space="preserve"> PAGEREF _Toc44404469 \h </w:instrText>
        </w:r>
        <w:r w:rsidR="00315385" w:rsidRPr="00315385">
          <w:rPr>
            <w:rStyle w:val="Hyperlink"/>
            <w:rFonts w:eastAsiaTheme="majorEastAsia"/>
            <w:i/>
            <w:noProof/>
            <w:webHidden/>
            <w:color w:val="31849B" w:themeColor="accent5" w:themeShade="BF"/>
            <w:sz w:val="20"/>
            <w:szCs w:val="22"/>
            <w:lang w:val="sq-AL"/>
          </w:rPr>
        </w:r>
        <w:r w:rsidR="00315385" w:rsidRPr="00315385">
          <w:rPr>
            <w:rStyle w:val="Hyperlink"/>
            <w:rFonts w:eastAsiaTheme="majorEastAsia"/>
            <w:i/>
            <w:noProof/>
            <w:webHidden/>
            <w:color w:val="31849B" w:themeColor="accent5" w:themeShade="BF"/>
            <w:sz w:val="20"/>
            <w:szCs w:val="22"/>
            <w:lang w:val="sq-AL"/>
          </w:rPr>
          <w:fldChar w:fldCharType="separate"/>
        </w:r>
        <w:r w:rsidR="00C342E2">
          <w:rPr>
            <w:rStyle w:val="Hyperlink"/>
            <w:rFonts w:eastAsiaTheme="majorEastAsia"/>
            <w:i/>
            <w:noProof/>
            <w:webHidden/>
            <w:color w:val="31849B" w:themeColor="accent5" w:themeShade="BF"/>
            <w:sz w:val="20"/>
            <w:szCs w:val="22"/>
            <w:lang w:val="sq-AL"/>
          </w:rPr>
          <w:t>24</w:t>
        </w:r>
        <w:r w:rsidR="00315385" w:rsidRPr="00315385">
          <w:rPr>
            <w:rStyle w:val="Hyperlink"/>
            <w:rFonts w:eastAsiaTheme="majorEastAsia"/>
            <w:i/>
            <w:noProof/>
            <w:webHidden/>
            <w:color w:val="31849B" w:themeColor="accent5" w:themeShade="BF"/>
            <w:sz w:val="20"/>
            <w:szCs w:val="22"/>
            <w:lang w:val="sq-AL"/>
          </w:rPr>
          <w:fldChar w:fldCharType="end"/>
        </w:r>
      </w:hyperlink>
    </w:p>
    <w:p w:rsidR="00315385" w:rsidRPr="00315385" w:rsidRDefault="00555461">
      <w:pPr>
        <w:pStyle w:val="TableofFigures"/>
        <w:tabs>
          <w:tab w:val="right" w:leader="dot" w:pos="9623"/>
        </w:tabs>
        <w:rPr>
          <w:rStyle w:val="Hyperlink"/>
          <w:rFonts w:eastAsiaTheme="majorEastAsia"/>
          <w:i/>
          <w:noProof/>
          <w:color w:val="31849B" w:themeColor="accent5" w:themeShade="BF"/>
          <w:sz w:val="20"/>
          <w:lang w:val="sq-AL"/>
        </w:rPr>
      </w:pPr>
      <w:hyperlink w:anchor="_Toc44404470" w:history="1">
        <w:r w:rsidR="00315385" w:rsidRPr="00315385">
          <w:rPr>
            <w:rStyle w:val="Hyperlink"/>
            <w:rFonts w:eastAsiaTheme="majorEastAsia"/>
            <w:i/>
            <w:noProof/>
            <w:color w:val="31849B" w:themeColor="accent5" w:themeShade="BF"/>
            <w:sz w:val="20"/>
            <w:szCs w:val="22"/>
            <w:lang w:val="sq-AL"/>
          </w:rPr>
          <w:t>Grafiku 30: Të ardhurat e përgjithshme të pushtetit e pushtetit vendor</w:t>
        </w:r>
        <w:r w:rsidR="00315385" w:rsidRPr="00315385">
          <w:rPr>
            <w:rStyle w:val="Hyperlink"/>
            <w:rFonts w:eastAsiaTheme="majorEastAsia"/>
            <w:i/>
            <w:noProof/>
            <w:webHidden/>
            <w:color w:val="31849B" w:themeColor="accent5" w:themeShade="BF"/>
            <w:sz w:val="20"/>
            <w:szCs w:val="22"/>
            <w:lang w:val="sq-AL"/>
          </w:rPr>
          <w:tab/>
        </w:r>
        <w:r w:rsidR="00315385" w:rsidRPr="00315385">
          <w:rPr>
            <w:rStyle w:val="Hyperlink"/>
            <w:rFonts w:eastAsiaTheme="majorEastAsia"/>
            <w:i/>
            <w:noProof/>
            <w:webHidden/>
            <w:color w:val="31849B" w:themeColor="accent5" w:themeShade="BF"/>
            <w:sz w:val="20"/>
            <w:szCs w:val="22"/>
            <w:lang w:val="sq-AL"/>
          </w:rPr>
          <w:fldChar w:fldCharType="begin"/>
        </w:r>
        <w:r w:rsidR="00315385" w:rsidRPr="00315385">
          <w:rPr>
            <w:rStyle w:val="Hyperlink"/>
            <w:rFonts w:eastAsiaTheme="majorEastAsia"/>
            <w:i/>
            <w:noProof/>
            <w:webHidden/>
            <w:color w:val="31849B" w:themeColor="accent5" w:themeShade="BF"/>
            <w:sz w:val="20"/>
            <w:szCs w:val="22"/>
            <w:lang w:val="sq-AL"/>
          </w:rPr>
          <w:instrText xml:space="preserve"> PAGEREF _Toc44404470 \h </w:instrText>
        </w:r>
        <w:r w:rsidR="00315385" w:rsidRPr="00315385">
          <w:rPr>
            <w:rStyle w:val="Hyperlink"/>
            <w:rFonts w:eastAsiaTheme="majorEastAsia"/>
            <w:i/>
            <w:noProof/>
            <w:webHidden/>
            <w:color w:val="31849B" w:themeColor="accent5" w:themeShade="BF"/>
            <w:sz w:val="20"/>
            <w:szCs w:val="22"/>
            <w:lang w:val="sq-AL"/>
          </w:rPr>
        </w:r>
        <w:r w:rsidR="00315385" w:rsidRPr="00315385">
          <w:rPr>
            <w:rStyle w:val="Hyperlink"/>
            <w:rFonts w:eastAsiaTheme="majorEastAsia"/>
            <w:i/>
            <w:noProof/>
            <w:webHidden/>
            <w:color w:val="31849B" w:themeColor="accent5" w:themeShade="BF"/>
            <w:sz w:val="20"/>
            <w:szCs w:val="22"/>
            <w:lang w:val="sq-AL"/>
          </w:rPr>
          <w:fldChar w:fldCharType="separate"/>
        </w:r>
        <w:r w:rsidR="00C342E2">
          <w:rPr>
            <w:rStyle w:val="Hyperlink"/>
            <w:rFonts w:eastAsiaTheme="majorEastAsia"/>
            <w:i/>
            <w:noProof/>
            <w:webHidden/>
            <w:color w:val="31849B" w:themeColor="accent5" w:themeShade="BF"/>
            <w:sz w:val="20"/>
            <w:szCs w:val="22"/>
            <w:lang w:val="sq-AL"/>
          </w:rPr>
          <w:t>25</w:t>
        </w:r>
        <w:r w:rsidR="00315385" w:rsidRPr="00315385">
          <w:rPr>
            <w:rStyle w:val="Hyperlink"/>
            <w:rFonts w:eastAsiaTheme="majorEastAsia"/>
            <w:i/>
            <w:noProof/>
            <w:webHidden/>
            <w:color w:val="31849B" w:themeColor="accent5" w:themeShade="BF"/>
            <w:sz w:val="20"/>
            <w:szCs w:val="22"/>
            <w:lang w:val="sq-AL"/>
          </w:rPr>
          <w:fldChar w:fldCharType="end"/>
        </w:r>
      </w:hyperlink>
    </w:p>
    <w:p w:rsidR="00315385" w:rsidRPr="00315385" w:rsidRDefault="00555461">
      <w:pPr>
        <w:pStyle w:val="TableofFigures"/>
        <w:tabs>
          <w:tab w:val="right" w:leader="dot" w:pos="9623"/>
        </w:tabs>
        <w:rPr>
          <w:rStyle w:val="Hyperlink"/>
          <w:rFonts w:eastAsiaTheme="majorEastAsia"/>
          <w:i/>
          <w:noProof/>
          <w:color w:val="31849B" w:themeColor="accent5" w:themeShade="BF"/>
          <w:sz w:val="20"/>
          <w:lang w:val="sq-AL"/>
        </w:rPr>
      </w:pPr>
      <w:hyperlink w:anchor="_Toc44404471" w:history="1">
        <w:r w:rsidR="00315385" w:rsidRPr="00315385">
          <w:rPr>
            <w:rStyle w:val="Hyperlink"/>
            <w:rFonts w:eastAsiaTheme="majorEastAsia"/>
            <w:i/>
            <w:noProof/>
            <w:color w:val="31849B" w:themeColor="accent5" w:themeShade="BF"/>
            <w:sz w:val="20"/>
            <w:szCs w:val="22"/>
            <w:lang w:val="sq-AL"/>
          </w:rPr>
          <w:t>Grafiku 31: Të ardhurat e përgjithshme të pushtetit e pushtetit vendor</w:t>
        </w:r>
        <w:r w:rsidR="00315385" w:rsidRPr="00315385">
          <w:rPr>
            <w:rStyle w:val="Hyperlink"/>
            <w:rFonts w:eastAsiaTheme="majorEastAsia"/>
            <w:i/>
            <w:noProof/>
            <w:webHidden/>
            <w:color w:val="31849B" w:themeColor="accent5" w:themeShade="BF"/>
            <w:sz w:val="20"/>
            <w:szCs w:val="22"/>
            <w:lang w:val="sq-AL"/>
          </w:rPr>
          <w:tab/>
        </w:r>
        <w:r w:rsidR="00315385" w:rsidRPr="00315385">
          <w:rPr>
            <w:rStyle w:val="Hyperlink"/>
            <w:rFonts w:eastAsiaTheme="majorEastAsia"/>
            <w:i/>
            <w:noProof/>
            <w:webHidden/>
            <w:color w:val="31849B" w:themeColor="accent5" w:themeShade="BF"/>
            <w:sz w:val="20"/>
            <w:szCs w:val="22"/>
            <w:lang w:val="sq-AL"/>
          </w:rPr>
          <w:fldChar w:fldCharType="begin"/>
        </w:r>
        <w:r w:rsidR="00315385" w:rsidRPr="00315385">
          <w:rPr>
            <w:rStyle w:val="Hyperlink"/>
            <w:rFonts w:eastAsiaTheme="majorEastAsia"/>
            <w:i/>
            <w:noProof/>
            <w:webHidden/>
            <w:color w:val="31849B" w:themeColor="accent5" w:themeShade="BF"/>
            <w:sz w:val="20"/>
            <w:szCs w:val="22"/>
            <w:lang w:val="sq-AL"/>
          </w:rPr>
          <w:instrText xml:space="preserve"> PAGEREF _Toc44404471 \h </w:instrText>
        </w:r>
        <w:r w:rsidR="00315385" w:rsidRPr="00315385">
          <w:rPr>
            <w:rStyle w:val="Hyperlink"/>
            <w:rFonts w:eastAsiaTheme="majorEastAsia"/>
            <w:i/>
            <w:noProof/>
            <w:webHidden/>
            <w:color w:val="31849B" w:themeColor="accent5" w:themeShade="BF"/>
            <w:sz w:val="20"/>
            <w:szCs w:val="22"/>
            <w:lang w:val="sq-AL"/>
          </w:rPr>
        </w:r>
        <w:r w:rsidR="00315385" w:rsidRPr="00315385">
          <w:rPr>
            <w:rStyle w:val="Hyperlink"/>
            <w:rFonts w:eastAsiaTheme="majorEastAsia"/>
            <w:i/>
            <w:noProof/>
            <w:webHidden/>
            <w:color w:val="31849B" w:themeColor="accent5" w:themeShade="BF"/>
            <w:sz w:val="20"/>
            <w:szCs w:val="22"/>
            <w:lang w:val="sq-AL"/>
          </w:rPr>
          <w:fldChar w:fldCharType="separate"/>
        </w:r>
        <w:r w:rsidR="00C342E2">
          <w:rPr>
            <w:rStyle w:val="Hyperlink"/>
            <w:rFonts w:eastAsiaTheme="majorEastAsia"/>
            <w:i/>
            <w:noProof/>
            <w:webHidden/>
            <w:color w:val="31849B" w:themeColor="accent5" w:themeShade="BF"/>
            <w:sz w:val="20"/>
            <w:szCs w:val="22"/>
            <w:lang w:val="sq-AL"/>
          </w:rPr>
          <w:t>25</w:t>
        </w:r>
        <w:r w:rsidR="00315385" w:rsidRPr="00315385">
          <w:rPr>
            <w:rStyle w:val="Hyperlink"/>
            <w:rFonts w:eastAsiaTheme="majorEastAsia"/>
            <w:i/>
            <w:noProof/>
            <w:webHidden/>
            <w:color w:val="31849B" w:themeColor="accent5" w:themeShade="BF"/>
            <w:sz w:val="20"/>
            <w:szCs w:val="22"/>
            <w:lang w:val="sq-AL"/>
          </w:rPr>
          <w:fldChar w:fldCharType="end"/>
        </w:r>
      </w:hyperlink>
    </w:p>
    <w:p w:rsidR="00315385" w:rsidRPr="00315385" w:rsidRDefault="00555461">
      <w:pPr>
        <w:pStyle w:val="TableofFigures"/>
        <w:tabs>
          <w:tab w:val="right" w:leader="dot" w:pos="9623"/>
        </w:tabs>
        <w:rPr>
          <w:rStyle w:val="Hyperlink"/>
          <w:rFonts w:eastAsiaTheme="majorEastAsia"/>
          <w:i/>
          <w:noProof/>
          <w:color w:val="31849B" w:themeColor="accent5" w:themeShade="BF"/>
          <w:sz w:val="20"/>
          <w:lang w:val="sq-AL"/>
        </w:rPr>
      </w:pPr>
      <w:hyperlink w:anchor="_Toc44404472" w:history="1">
        <w:r w:rsidR="00315385" w:rsidRPr="00315385">
          <w:rPr>
            <w:rStyle w:val="Hyperlink"/>
            <w:rFonts w:eastAsiaTheme="majorEastAsia"/>
            <w:i/>
            <w:noProof/>
            <w:color w:val="31849B" w:themeColor="accent5" w:themeShade="BF"/>
            <w:sz w:val="20"/>
            <w:szCs w:val="22"/>
            <w:lang w:val="sq-AL"/>
          </w:rPr>
          <w:t>Grafiku 32: Shpenzimet për pushtetin vendor dhe ritimi i ndryshimit të tyre</w:t>
        </w:r>
        <w:r w:rsidR="00315385" w:rsidRPr="00315385">
          <w:rPr>
            <w:rStyle w:val="Hyperlink"/>
            <w:rFonts w:eastAsiaTheme="majorEastAsia"/>
            <w:i/>
            <w:noProof/>
            <w:webHidden/>
            <w:color w:val="31849B" w:themeColor="accent5" w:themeShade="BF"/>
            <w:sz w:val="20"/>
            <w:szCs w:val="22"/>
            <w:lang w:val="sq-AL"/>
          </w:rPr>
          <w:tab/>
        </w:r>
        <w:r w:rsidR="00315385" w:rsidRPr="00315385">
          <w:rPr>
            <w:rStyle w:val="Hyperlink"/>
            <w:rFonts w:eastAsiaTheme="majorEastAsia"/>
            <w:i/>
            <w:noProof/>
            <w:webHidden/>
            <w:color w:val="31849B" w:themeColor="accent5" w:themeShade="BF"/>
            <w:sz w:val="20"/>
            <w:szCs w:val="22"/>
            <w:lang w:val="sq-AL"/>
          </w:rPr>
          <w:fldChar w:fldCharType="begin"/>
        </w:r>
        <w:r w:rsidR="00315385" w:rsidRPr="00315385">
          <w:rPr>
            <w:rStyle w:val="Hyperlink"/>
            <w:rFonts w:eastAsiaTheme="majorEastAsia"/>
            <w:i/>
            <w:noProof/>
            <w:webHidden/>
            <w:color w:val="31849B" w:themeColor="accent5" w:themeShade="BF"/>
            <w:sz w:val="20"/>
            <w:szCs w:val="22"/>
            <w:lang w:val="sq-AL"/>
          </w:rPr>
          <w:instrText xml:space="preserve"> PAGEREF _Toc44404472 \h </w:instrText>
        </w:r>
        <w:r w:rsidR="00315385" w:rsidRPr="00315385">
          <w:rPr>
            <w:rStyle w:val="Hyperlink"/>
            <w:rFonts w:eastAsiaTheme="majorEastAsia"/>
            <w:i/>
            <w:noProof/>
            <w:webHidden/>
            <w:color w:val="31849B" w:themeColor="accent5" w:themeShade="BF"/>
            <w:sz w:val="20"/>
            <w:szCs w:val="22"/>
            <w:lang w:val="sq-AL"/>
          </w:rPr>
        </w:r>
        <w:r w:rsidR="00315385" w:rsidRPr="00315385">
          <w:rPr>
            <w:rStyle w:val="Hyperlink"/>
            <w:rFonts w:eastAsiaTheme="majorEastAsia"/>
            <w:i/>
            <w:noProof/>
            <w:webHidden/>
            <w:color w:val="31849B" w:themeColor="accent5" w:themeShade="BF"/>
            <w:sz w:val="20"/>
            <w:szCs w:val="22"/>
            <w:lang w:val="sq-AL"/>
          </w:rPr>
          <w:fldChar w:fldCharType="separate"/>
        </w:r>
        <w:r w:rsidR="00C342E2">
          <w:rPr>
            <w:rStyle w:val="Hyperlink"/>
            <w:rFonts w:eastAsiaTheme="majorEastAsia"/>
            <w:i/>
            <w:noProof/>
            <w:webHidden/>
            <w:color w:val="31849B" w:themeColor="accent5" w:themeShade="BF"/>
            <w:sz w:val="20"/>
            <w:szCs w:val="22"/>
            <w:lang w:val="sq-AL"/>
          </w:rPr>
          <w:t>26</w:t>
        </w:r>
        <w:r w:rsidR="00315385" w:rsidRPr="00315385">
          <w:rPr>
            <w:rStyle w:val="Hyperlink"/>
            <w:rFonts w:eastAsiaTheme="majorEastAsia"/>
            <w:i/>
            <w:noProof/>
            <w:webHidden/>
            <w:color w:val="31849B" w:themeColor="accent5" w:themeShade="BF"/>
            <w:sz w:val="20"/>
            <w:szCs w:val="22"/>
            <w:lang w:val="sq-AL"/>
          </w:rPr>
          <w:fldChar w:fldCharType="end"/>
        </w:r>
      </w:hyperlink>
    </w:p>
    <w:p w:rsidR="00315385" w:rsidRPr="00315385" w:rsidRDefault="00555461">
      <w:pPr>
        <w:pStyle w:val="TableofFigures"/>
        <w:tabs>
          <w:tab w:val="right" w:leader="dot" w:pos="9623"/>
        </w:tabs>
        <w:rPr>
          <w:rStyle w:val="Hyperlink"/>
          <w:rFonts w:eastAsiaTheme="majorEastAsia"/>
          <w:i/>
          <w:noProof/>
          <w:color w:val="31849B" w:themeColor="accent5" w:themeShade="BF"/>
          <w:sz w:val="20"/>
          <w:lang w:val="sq-AL"/>
        </w:rPr>
      </w:pPr>
      <w:hyperlink w:anchor="_Toc44404473" w:history="1">
        <w:r w:rsidR="00315385" w:rsidRPr="00315385">
          <w:rPr>
            <w:rStyle w:val="Hyperlink"/>
            <w:rFonts w:eastAsiaTheme="majorEastAsia"/>
            <w:i/>
            <w:noProof/>
            <w:color w:val="31849B" w:themeColor="accent5" w:themeShade="BF"/>
            <w:sz w:val="20"/>
            <w:szCs w:val="22"/>
            <w:lang w:val="sq-AL"/>
          </w:rPr>
          <w:t>Grafiku 33: Shpenzimet e pushtetit vendor sipas strukturës</w:t>
        </w:r>
        <w:r w:rsidR="00315385" w:rsidRPr="00315385">
          <w:rPr>
            <w:rStyle w:val="Hyperlink"/>
            <w:rFonts w:eastAsiaTheme="majorEastAsia"/>
            <w:i/>
            <w:noProof/>
            <w:webHidden/>
            <w:color w:val="31849B" w:themeColor="accent5" w:themeShade="BF"/>
            <w:sz w:val="20"/>
            <w:szCs w:val="22"/>
            <w:lang w:val="sq-AL"/>
          </w:rPr>
          <w:tab/>
        </w:r>
        <w:r w:rsidR="00315385" w:rsidRPr="00315385">
          <w:rPr>
            <w:rStyle w:val="Hyperlink"/>
            <w:rFonts w:eastAsiaTheme="majorEastAsia"/>
            <w:i/>
            <w:noProof/>
            <w:webHidden/>
            <w:color w:val="31849B" w:themeColor="accent5" w:themeShade="BF"/>
            <w:sz w:val="20"/>
            <w:szCs w:val="22"/>
            <w:lang w:val="sq-AL"/>
          </w:rPr>
          <w:fldChar w:fldCharType="begin"/>
        </w:r>
        <w:r w:rsidR="00315385" w:rsidRPr="00315385">
          <w:rPr>
            <w:rStyle w:val="Hyperlink"/>
            <w:rFonts w:eastAsiaTheme="majorEastAsia"/>
            <w:i/>
            <w:noProof/>
            <w:webHidden/>
            <w:color w:val="31849B" w:themeColor="accent5" w:themeShade="BF"/>
            <w:sz w:val="20"/>
            <w:szCs w:val="22"/>
            <w:lang w:val="sq-AL"/>
          </w:rPr>
          <w:instrText xml:space="preserve"> PAGEREF _Toc44404473 \h </w:instrText>
        </w:r>
        <w:r w:rsidR="00315385" w:rsidRPr="00315385">
          <w:rPr>
            <w:rStyle w:val="Hyperlink"/>
            <w:rFonts w:eastAsiaTheme="majorEastAsia"/>
            <w:i/>
            <w:noProof/>
            <w:webHidden/>
            <w:color w:val="31849B" w:themeColor="accent5" w:themeShade="BF"/>
            <w:sz w:val="20"/>
            <w:szCs w:val="22"/>
            <w:lang w:val="sq-AL"/>
          </w:rPr>
        </w:r>
        <w:r w:rsidR="00315385" w:rsidRPr="00315385">
          <w:rPr>
            <w:rStyle w:val="Hyperlink"/>
            <w:rFonts w:eastAsiaTheme="majorEastAsia"/>
            <w:i/>
            <w:noProof/>
            <w:webHidden/>
            <w:color w:val="31849B" w:themeColor="accent5" w:themeShade="BF"/>
            <w:sz w:val="20"/>
            <w:szCs w:val="22"/>
            <w:lang w:val="sq-AL"/>
          </w:rPr>
          <w:fldChar w:fldCharType="separate"/>
        </w:r>
        <w:r w:rsidR="00C342E2">
          <w:rPr>
            <w:rStyle w:val="Hyperlink"/>
            <w:rFonts w:eastAsiaTheme="majorEastAsia"/>
            <w:i/>
            <w:noProof/>
            <w:webHidden/>
            <w:color w:val="31849B" w:themeColor="accent5" w:themeShade="BF"/>
            <w:sz w:val="20"/>
            <w:szCs w:val="22"/>
            <w:lang w:val="sq-AL"/>
          </w:rPr>
          <w:t>26</w:t>
        </w:r>
        <w:r w:rsidR="00315385" w:rsidRPr="00315385">
          <w:rPr>
            <w:rStyle w:val="Hyperlink"/>
            <w:rFonts w:eastAsiaTheme="majorEastAsia"/>
            <w:i/>
            <w:noProof/>
            <w:webHidden/>
            <w:color w:val="31849B" w:themeColor="accent5" w:themeShade="BF"/>
            <w:sz w:val="20"/>
            <w:szCs w:val="22"/>
            <w:lang w:val="sq-AL"/>
          </w:rPr>
          <w:fldChar w:fldCharType="end"/>
        </w:r>
      </w:hyperlink>
    </w:p>
    <w:p w:rsidR="00315385" w:rsidRPr="00315385" w:rsidRDefault="00555461">
      <w:pPr>
        <w:pStyle w:val="TableofFigures"/>
        <w:tabs>
          <w:tab w:val="right" w:leader="dot" w:pos="9623"/>
        </w:tabs>
        <w:rPr>
          <w:rStyle w:val="Hyperlink"/>
          <w:rFonts w:eastAsiaTheme="majorEastAsia"/>
          <w:i/>
          <w:noProof/>
          <w:color w:val="31849B" w:themeColor="accent5" w:themeShade="BF"/>
          <w:sz w:val="20"/>
          <w:lang w:val="sq-AL"/>
        </w:rPr>
      </w:pPr>
      <w:hyperlink w:anchor="_Toc44404474" w:history="1">
        <w:r w:rsidR="00315385" w:rsidRPr="00315385">
          <w:rPr>
            <w:rStyle w:val="Hyperlink"/>
            <w:rFonts w:eastAsiaTheme="majorEastAsia"/>
            <w:i/>
            <w:noProof/>
            <w:color w:val="31849B" w:themeColor="accent5" w:themeShade="BF"/>
            <w:sz w:val="20"/>
            <w:szCs w:val="22"/>
            <w:lang w:val="sq-AL"/>
          </w:rPr>
          <w:t>Grafiku 34: Borxhi publik në vlerë absolute dhe relative ndaj PBB (2016–Mars 2020)</w:t>
        </w:r>
        <w:r w:rsidR="00315385" w:rsidRPr="00315385">
          <w:rPr>
            <w:rStyle w:val="Hyperlink"/>
            <w:rFonts w:eastAsiaTheme="majorEastAsia"/>
            <w:i/>
            <w:noProof/>
            <w:webHidden/>
            <w:color w:val="31849B" w:themeColor="accent5" w:themeShade="BF"/>
            <w:sz w:val="20"/>
            <w:szCs w:val="22"/>
            <w:lang w:val="sq-AL"/>
          </w:rPr>
          <w:tab/>
        </w:r>
        <w:r w:rsidR="00315385" w:rsidRPr="00315385">
          <w:rPr>
            <w:rStyle w:val="Hyperlink"/>
            <w:rFonts w:eastAsiaTheme="majorEastAsia"/>
            <w:i/>
            <w:noProof/>
            <w:webHidden/>
            <w:color w:val="31849B" w:themeColor="accent5" w:themeShade="BF"/>
            <w:sz w:val="20"/>
            <w:szCs w:val="22"/>
            <w:lang w:val="sq-AL"/>
          </w:rPr>
          <w:fldChar w:fldCharType="begin"/>
        </w:r>
        <w:r w:rsidR="00315385" w:rsidRPr="00315385">
          <w:rPr>
            <w:rStyle w:val="Hyperlink"/>
            <w:rFonts w:eastAsiaTheme="majorEastAsia"/>
            <w:i/>
            <w:noProof/>
            <w:webHidden/>
            <w:color w:val="31849B" w:themeColor="accent5" w:themeShade="BF"/>
            <w:sz w:val="20"/>
            <w:szCs w:val="22"/>
            <w:lang w:val="sq-AL"/>
          </w:rPr>
          <w:instrText xml:space="preserve"> PAGEREF _Toc44404474 \h </w:instrText>
        </w:r>
        <w:r w:rsidR="00315385" w:rsidRPr="00315385">
          <w:rPr>
            <w:rStyle w:val="Hyperlink"/>
            <w:rFonts w:eastAsiaTheme="majorEastAsia"/>
            <w:i/>
            <w:noProof/>
            <w:webHidden/>
            <w:color w:val="31849B" w:themeColor="accent5" w:themeShade="BF"/>
            <w:sz w:val="20"/>
            <w:szCs w:val="22"/>
            <w:lang w:val="sq-AL"/>
          </w:rPr>
        </w:r>
        <w:r w:rsidR="00315385" w:rsidRPr="00315385">
          <w:rPr>
            <w:rStyle w:val="Hyperlink"/>
            <w:rFonts w:eastAsiaTheme="majorEastAsia"/>
            <w:i/>
            <w:noProof/>
            <w:webHidden/>
            <w:color w:val="31849B" w:themeColor="accent5" w:themeShade="BF"/>
            <w:sz w:val="20"/>
            <w:szCs w:val="22"/>
            <w:lang w:val="sq-AL"/>
          </w:rPr>
          <w:fldChar w:fldCharType="separate"/>
        </w:r>
        <w:r w:rsidR="00C342E2">
          <w:rPr>
            <w:rStyle w:val="Hyperlink"/>
            <w:rFonts w:eastAsiaTheme="majorEastAsia"/>
            <w:i/>
            <w:noProof/>
            <w:webHidden/>
            <w:color w:val="31849B" w:themeColor="accent5" w:themeShade="BF"/>
            <w:sz w:val="20"/>
            <w:szCs w:val="22"/>
            <w:lang w:val="sq-AL"/>
          </w:rPr>
          <w:t>32</w:t>
        </w:r>
        <w:r w:rsidR="00315385" w:rsidRPr="00315385">
          <w:rPr>
            <w:rStyle w:val="Hyperlink"/>
            <w:rFonts w:eastAsiaTheme="majorEastAsia"/>
            <w:i/>
            <w:noProof/>
            <w:webHidden/>
            <w:color w:val="31849B" w:themeColor="accent5" w:themeShade="BF"/>
            <w:sz w:val="20"/>
            <w:szCs w:val="22"/>
            <w:lang w:val="sq-AL"/>
          </w:rPr>
          <w:fldChar w:fldCharType="end"/>
        </w:r>
      </w:hyperlink>
    </w:p>
    <w:p w:rsidR="00315385" w:rsidRPr="00315385" w:rsidRDefault="00555461">
      <w:pPr>
        <w:pStyle w:val="TableofFigures"/>
        <w:tabs>
          <w:tab w:val="right" w:leader="dot" w:pos="9623"/>
        </w:tabs>
        <w:rPr>
          <w:rStyle w:val="Hyperlink"/>
          <w:rFonts w:eastAsiaTheme="majorEastAsia"/>
          <w:i/>
          <w:noProof/>
          <w:color w:val="31849B" w:themeColor="accent5" w:themeShade="BF"/>
          <w:sz w:val="20"/>
          <w:lang w:val="sq-AL"/>
        </w:rPr>
      </w:pPr>
      <w:hyperlink w:anchor="_Toc44404475" w:history="1">
        <w:r w:rsidR="00315385" w:rsidRPr="00315385">
          <w:rPr>
            <w:rStyle w:val="Hyperlink"/>
            <w:rFonts w:eastAsiaTheme="majorEastAsia"/>
            <w:i/>
            <w:noProof/>
            <w:color w:val="31849B" w:themeColor="accent5" w:themeShade="BF"/>
            <w:sz w:val="20"/>
            <w:szCs w:val="22"/>
            <w:lang w:val="sq-AL"/>
          </w:rPr>
          <w:t>Grafiku 35: Përbërja e borxhit të qeverisjes qendrore në raport me totalin (2016-Mars 2020)</w:t>
        </w:r>
        <w:r w:rsidR="00315385" w:rsidRPr="00315385">
          <w:rPr>
            <w:rStyle w:val="Hyperlink"/>
            <w:rFonts w:eastAsiaTheme="majorEastAsia"/>
            <w:i/>
            <w:noProof/>
            <w:webHidden/>
            <w:color w:val="31849B" w:themeColor="accent5" w:themeShade="BF"/>
            <w:sz w:val="20"/>
            <w:szCs w:val="22"/>
            <w:lang w:val="sq-AL"/>
          </w:rPr>
          <w:tab/>
        </w:r>
        <w:r w:rsidR="00315385" w:rsidRPr="00315385">
          <w:rPr>
            <w:rStyle w:val="Hyperlink"/>
            <w:rFonts w:eastAsiaTheme="majorEastAsia"/>
            <w:i/>
            <w:noProof/>
            <w:webHidden/>
            <w:color w:val="31849B" w:themeColor="accent5" w:themeShade="BF"/>
            <w:sz w:val="20"/>
            <w:szCs w:val="22"/>
            <w:lang w:val="sq-AL"/>
          </w:rPr>
          <w:fldChar w:fldCharType="begin"/>
        </w:r>
        <w:r w:rsidR="00315385" w:rsidRPr="00315385">
          <w:rPr>
            <w:rStyle w:val="Hyperlink"/>
            <w:rFonts w:eastAsiaTheme="majorEastAsia"/>
            <w:i/>
            <w:noProof/>
            <w:webHidden/>
            <w:color w:val="31849B" w:themeColor="accent5" w:themeShade="BF"/>
            <w:sz w:val="20"/>
            <w:szCs w:val="22"/>
            <w:lang w:val="sq-AL"/>
          </w:rPr>
          <w:instrText xml:space="preserve"> PAGEREF _Toc44404475 \h </w:instrText>
        </w:r>
        <w:r w:rsidR="00315385" w:rsidRPr="00315385">
          <w:rPr>
            <w:rStyle w:val="Hyperlink"/>
            <w:rFonts w:eastAsiaTheme="majorEastAsia"/>
            <w:i/>
            <w:noProof/>
            <w:webHidden/>
            <w:color w:val="31849B" w:themeColor="accent5" w:themeShade="BF"/>
            <w:sz w:val="20"/>
            <w:szCs w:val="22"/>
            <w:lang w:val="sq-AL"/>
          </w:rPr>
        </w:r>
        <w:r w:rsidR="00315385" w:rsidRPr="00315385">
          <w:rPr>
            <w:rStyle w:val="Hyperlink"/>
            <w:rFonts w:eastAsiaTheme="majorEastAsia"/>
            <w:i/>
            <w:noProof/>
            <w:webHidden/>
            <w:color w:val="31849B" w:themeColor="accent5" w:themeShade="BF"/>
            <w:sz w:val="20"/>
            <w:szCs w:val="22"/>
            <w:lang w:val="sq-AL"/>
          </w:rPr>
          <w:fldChar w:fldCharType="separate"/>
        </w:r>
        <w:r w:rsidR="00C342E2">
          <w:rPr>
            <w:rStyle w:val="Hyperlink"/>
            <w:rFonts w:eastAsiaTheme="majorEastAsia"/>
            <w:i/>
            <w:noProof/>
            <w:webHidden/>
            <w:color w:val="31849B" w:themeColor="accent5" w:themeShade="BF"/>
            <w:sz w:val="20"/>
            <w:szCs w:val="22"/>
            <w:lang w:val="sq-AL"/>
          </w:rPr>
          <w:t>32</w:t>
        </w:r>
        <w:r w:rsidR="00315385" w:rsidRPr="00315385">
          <w:rPr>
            <w:rStyle w:val="Hyperlink"/>
            <w:rFonts w:eastAsiaTheme="majorEastAsia"/>
            <w:i/>
            <w:noProof/>
            <w:webHidden/>
            <w:color w:val="31849B" w:themeColor="accent5" w:themeShade="BF"/>
            <w:sz w:val="20"/>
            <w:szCs w:val="22"/>
            <w:lang w:val="sq-AL"/>
          </w:rPr>
          <w:fldChar w:fldCharType="end"/>
        </w:r>
      </w:hyperlink>
    </w:p>
    <w:p w:rsidR="00315385" w:rsidRPr="00315385" w:rsidRDefault="00555461">
      <w:pPr>
        <w:pStyle w:val="TableofFigures"/>
        <w:tabs>
          <w:tab w:val="right" w:leader="dot" w:pos="9623"/>
        </w:tabs>
        <w:rPr>
          <w:rStyle w:val="Hyperlink"/>
          <w:rFonts w:eastAsiaTheme="majorEastAsia"/>
          <w:i/>
          <w:noProof/>
          <w:color w:val="31849B" w:themeColor="accent5" w:themeShade="BF"/>
          <w:sz w:val="20"/>
          <w:lang w:val="sq-AL"/>
        </w:rPr>
      </w:pPr>
      <w:hyperlink w:anchor="_Toc44404476" w:history="1">
        <w:r w:rsidR="00315385" w:rsidRPr="00315385">
          <w:rPr>
            <w:rStyle w:val="Hyperlink"/>
            <w:rFonts w:eastAsiaTheme="majorEastAsia"/>
            <w:i/>
            <w:noProof/>
            <w:color w:val="31849B" w:themeColor="accent5" w:themeShade="BF"/>
            <w:sz w:val="20"/>
            <w:szCs w:val="22"/>
            <w:lang w:val="sq-AL"/>
          </w:rPr>
          <w:t>Grafiku 36: Kompozimi i portofolit të borxhit shtetëror sipas instrumenteve (2016–Mars 2020)</w:t>
        </w:r>
        <w:r w:rsidR="00315385" w:rsidRPr="00315385">
          <w:rPr>
            <w:rStyle w:val="Hyperlink"/>
            <w:rFonts w:eastAsiaTheme="majorEastAsia"/>
            <w:i/>
            <w:noProof/>
            <w:webHidden/>
            <w:color w:val="31849B" w:themeColor="accent5" w:themeShade="BF"/>
            <w:sz w:val="20"/>
            <w:szCs w:val="22"/>
            <w:lang w:val="sq-AL"/>
          </w:rPr>
          <w:tab/>
        </w:r>
        <w:r w:rsidR="00315385" w:rsidRPr="00315385">
          <w:rPr>
            <w:rStyle w:val="Hyperlink"/>
            <w:rFonts w:eastAsiaTheme="majorEastAsia"/>
            <w:i/>
            <w:noProof/>
            <w:webHidden/>
            <w:color w:val="31849B" w:themeColor="accent5" w:themeShade="BF"/>
            <w:sz w:val="20"/>
            <w:szCs w:val="22"/>
            <w:lang w:val="sq-AL"/>
          </w:rPr>
          <w:fldChar w:fldCharType="begin"/>
        </w:r>
        <w:r w:rsidR="00315385" w:rsidRPr="00315385">
          <w:rPr>
            <w:rStyle w:val="Hyperlink"/>
            <w:rFonts w:eastAsiaTheme="majorEastAsia"/>
            <w:i/>
            <w:noProof/>
            <w:webHidden/>
            <w:color w:val="31849B" w:themeColor="accent5" w:themeShade="BF"/>
            <w:sz w:val="20"/>
            <w:szCs w:val="22"/>
            <w:lang w:val="sq-AL"/>
          </w:rPr>
          <w:instrText xml:space="preserve"> PAGEREF _Toc44404476 \h </w:instrText>
        </w:r>
        <w:r w:rsidR="00315385" w:rsidRPr="00315385">
          <w:rPr>
            <w:rStyle w:val="Hyperlink"/>
            <w:rFonts w:eastAsiaTheme="majorEastAsia"/>
            <w:i/>
            <w:noProof/>
            <w:webHidden/>
            <w:color w:val="31849B" w:themeColor="accent5" w:themeShade="BF"/>
            <w:sz w:val="20"/>
            <w:szCs w:val="22"/>
            <w:lang w:val="sq-AL"/>
          </w:rPr>
        </w:r>
        <w:r w:rsidR="00315385" w:rsidRPr="00315385">
          <w:rPr>
            <w:rStyle w:val="Hyperlink"/>
            <w:rFonts w:eastAsiaTheme="majorEastAsia"/>
            <w:i/>
            <w:noProof/>
            <w:webHidden/>
            <w:color w:val="31849B" w:themeColor="accent5" w:themeShade="BF"/>
            <w:sz w:val="20"/>
            <w:szCs w:val="22"/>
            <w:lang w:val="sq-AL"/>
          </w:rPr>
          <w:fldChar w:fldCharType="separate"/>
        </w:r>
        <w:r w:rsidR="00C342E2">
          <w:rPr>
            <w:rStyle w:val="Hyperlink"/>
            <w:rFonts w:eastAsiaTheme="majorEastAsia"/>
            <w:i/>
            <w:noProof/>
            <w:webHidden/>
            <w:color w:val="31849B" w:themeColor="accent5" w:themeShade="BF"/>
            <w:sz w:val="20"/>
            <w:szCs w:val="22"/>
            <w:lang w:val="sq-AL"/>
          </w:rPr>
          <w:t>33</w:t>
        </w:r>
        <w:r w:rsidR="00315385" w:rsidRPr="00315385">
          <w:rPr>
            <w:rStyle w:val="Hyperlink"/>
            <w:rFonts w:eastAsiaTheme="majorEastAsia"/>
            <w:i/>
            <w:noProof/>
            <w:webHidden/>
            <w:color w:val="31849B" w:themeColor="accent5" w:themeShade="BF"/>
            <w:sz w:val="20"/>
            <w:szCs w:val="22"/>
            <w:lang w:val="sq-AL"/>
          </w:rPr>
          <w:fldChar w:fldCharType="end"/>
        </w:r>
      </w:hyperlink>
    </w:p>
    <w:p w:rsidR="00315385" w:rsidRPr="00315385" w:rsidRDefault="00555461">
      <w:pPr>
        <w:pStyle w:val="TableofFigures"/>
        <w:tabs>
          <w:tab w:val="right" w:leader="dot" w:pos="9623"/>
        </w:tabs>
        <w:rPr>
          <w:rStyle w:val="Hyperlink"/>
          <w:rFonts w:eastAsiaTheme="majorEastAsia"/>
          <w:i/>
          <w:noProof/>
          <w:color w:val="31849B" w:themeColor="accent5" w:themeShade="BF"/>
          <w:sz w:val="20"/>
          <w:lang w:val="sq-AL"/>
        </w:rPr>
      </w:pPr>
      <w:hyperlink w:anchor="_Toc44404477" w:history="1">
        <w:r w:rsidR="00315385" w:rsidRPr="00315385">
          <w:rPr>
            <w:rStyle w:val="Hyperlink"/>
            <w:rFonts w:eastAsiaTheme="majorEastAsia"/>
            <w:i/>
            <w:noProof/>
            <w:color w:val="31849B" w:themeColor="accent5" w:themeShade="BF"/>
            <w:sz w:val="20"/>
            <w:szCs w:val="22"/>
            <w:lang w:val="sq-AL"/>
          </w:rPr>
          <w:t xml:space="preserve"> Grafiku 37: Kompozimi i borxhit të brendshëm shtetëror (2016-Mars 2020)</w:t>
        </w:r>
        <w:r w:rsidR="00315385" w:rsidRPr="00315385">
          <w:rPr>
            <w:rStyle w:val="Hyperlink"/>
            <w:rFonts w:eastAsiaTheme="majorEastAsia"/>
            <w:i/>
            <w:noProof/>
            <w:webHidden/>
            <w:color w:val="31849B" w:themeColor="accent5" w:themeShade="BF"/>
            <w:sz w:val="20"/>
            <w:szCs w:val="22"/>
            <w:lang w:val="sq-AL"/>
          </w:rPr>
          <w:tab/>
        </w:r>
        <w:r w:rsidR="00315385" w:rsidRPr="00315385">
          <w:rPr>
            <w:rStyle w:val="Hyperlink"/>
            <w:rFonts w:eastAsiaTheme="majorEastAsia"/>
            <w:i/>
            <w:noProof/>
            <w:webHidden/>
            <w:color w:val="31849B" w:themeColor="accent5" w:themeShade="BF"/>
            <w:sz w:val="20"/>
            <w:szCs w:val="22"/>
            <w:lang w:val="sq-AL"/>
          </w:rPr>
          <w:fldChar w:fldCharType="begin"/>
        </w:r>
        <w:r w:rsidR="00315385" w:rsidRPr="00315385">
          <w:rPr>
            <w:rStyle w:val="Hyperlink"/>
            <w:rFonts w:eastAsiaTheme="majorEastAsia"/>
            <w:i/>
            <w:noProof/>
            <w:webHidden/>
            <w:color w:val="31849B" w:themeColor="accent5" w:themeShade="BF"/>
            <w:sz w:val="20"/>
            <w:szCs w:val="22"/>
            <w:lang w:val="sq-AL"/>
          </w:rPr>
          <w:instrText xml:space="preserve"> PAGEREF _Toc44404477 \h </w:instrText>
        </w:r>
        <w:r w:rsidR="00315385" w:rsidRPr="00315385">
          <w:rPr>
            <w:rStyle w:val="Hyperlink"/>
            <w:rFonts w:eastAsiaTheme="majorEastAsia"/>
            <w:i/>
            <w:noProof/>
            <w:webHidden/>
            <w:color w:val="31849B" w:themeColor="accent5" w:themeShade="BF"/>
            <w:sz w:val="20"/>
            <w:szCs w:val="22"/>
            <w:lang w:val="sq-AL"/>
          </w:rPr>
        </w:r>
        <w:r w:rsidR="00315385" w:rsidRPr="00315385">
          <w:rPr>
            <w:rStyle w:val="Hyperlink"/>
            <w:rFonts w:eastAsiaTheme="majorEastAsia"/>
            <w:i/>
            <w:noProof/>
            <w:webHidden/>
            <w:color w:val="31849B" w:themeColor="accent5" w:themeShade="BF"/>
            <w:sz w:val="20"/>
            <w:szCs w:val="22"/>
            <w:lang w:val="sq-AL"/>
          </w:rPr>
          <w:fldChar w:fldCharType="separate"/>
        </w:r>
        <w:r w:rsidR="00C342E2">
          <w:rPr>
            <w:rStyle w:val="Hyperlink"/>
            <w:rFonts w:eastAsiaTheme="majorEastAsia"/>
            <w:i/>
            <w:noProof/>
            <w:webHidden/>
            <w:color w:val="31849B" w:themeColor="accent5" w:themeShade="BF"/>
            <w:sz w:val="20"/>
            <w:szCs w:val="22"/>
            <w:lang w:val="sq-AL"/>
          </w:rPr>
          <w:t>33</w:t>
        </w:r>
        <w:r w:rsidR="00315385" w:rsidRPr="00315385">
          <w:rPr>
            <w:rStyle w:val="Hyperlink"/>
            <w:rFonts w:eastAsiaTheme="majorEastAsia"/>
            <w:i/>
            <w:noProof/>
            <w:webHidden/>
            <w:color w:val="31849B" w:themeColor="accent5" w:themeShade="BF"/>
            <w:sz w:val="20"/>
            <w:szCs w:val="22"/>
            <w:lang w:val="sq-AL"/>
          </w:rPr>
          <w:fldChar w:fldCharType="end"/>
        </w:r>
      </w:hyperlink>
    </w:p>
    <w:p w:rsidR="00315385" w:rsidRPr="00315385" w:rsidRDefault="00555461">
      <w:pPr>
        <w:pStyle w:val="TableofFigures"/>
        <w:tabs>
          <w:tab w:val="right" w:leader="dot" w:pos="9623"/>
        </w:tabs>
        <w:rPr>
          <w:rStyle w:val="Hyperlink"/>
          <w:rFonts w:eastAsiaTheme="majorEastAsia"/>
          <w:i/>
          <w:noProof/>
          <w:color w:val="31849B" w:themeColor="accent5" w:themeShade="BF"/>
          <w:sz w:val="20"/>
          <w:lang w:val="sq-AL"/>
        </w:rPr>
      </w:pPr>
      <w:hyperlink w:anchor="_Toc44404478" w:history="1">
        <w:r w:rsidR="00315385" w:rsidRPr="00315385">
          <w:rPr>
            <w:rStyle w:val="Hyperlink"/>
            <w:rFonts w:eastAsiaTheme="majorEastAsia"/>
            <w:i/>
            <w:noProof/>
            <w:color w:val="31849B" w:themeColor="accent5" w:themeShade="BF"/>
            <w:sz w:val="20"/>
            <w:szCs w:val="22"/>
            <w:lang w:val="sq-AL"/>
          </w:rPr>
          <w:t>Grafiku 38: Kompozimi i borxhit të jashtëm shtetëror sipas interesit dhe instrumenteve (2016-Mars 2020)</w:t>
        </w:r>
        <w:r w:rsidR="00315385" w:rsidRPr="00315385">
          <w:rPr>
            <w:rStyle w:val="Hyperlink"/>
            <w:rFonts w:eastAsiaTheme="majorEastAsia"/>
            <w:i/>
            <w:noProof/>
            <w:webHidden/>
            <w:color w:val="31849B" w:themeColor="accent5" w:themeShade="BF"/>
            <w:sz w:val="20"/>
            <w:szCs w:val="22"/>
            <w:lang w:val="sq-AL"/>
          </w:rPr>
          <w:tab/>
        </w:r>
        <w:r w:rsidR="00315385" w:rsidRPr="00315385">
          <w:rPr>
            <w:rStyle w:val="Hyperlink"/>
            <w:rFonts w:eastAsiaTheme="majorEastAsia"/>
            <w:i/>
            <w:noProof/>
            <w:webHidden/>
            <w:color w:val="31849B" w:themeColor="accent5" w:themeShade="BF"/>
            <w:sz w:val="20"/>
            <w:szCs w:val="22"/>
            <w:lang w:val="sq-AL"/>
          </w:rPr>
          <w:fldChar w:fldCharType="begin"/>
        </w:r>
        <w:r w:rsidR="00315385" w:rsidRPr="00315385">
          <w:rPr>
            <w:rStyle w:val="Hyperlink"/>
            <w:rFonts w:eastAsiaTheme="majorEastAsia"/>
            <w:i/>
            <w:noProof/>
            <w:webHidden/>
            <w:color w:val="31849B" w:themeColor="accent5" w:themeShade="BF"/>
            <w:sz w:val="20"/>
            <w:szCs w:val="22"/>
            <w:lang w:val="sq-AL"/>
          </w:rPr>
          <w:instrText xml:space="preserve"> PAGEREF _Toc44404478 \h </w:instrText>
        </w:r>
        <w:r w:rsidR="00315385" w:rsidRPr="00315385">
          <w:rPr>
            <w:rStyle w:val="Hyperlink"/>
            <w:rFonts w:eastAsiaTheme="majorEastAsia"/>
            <w:i/>
            <w:noProof/>
            <w:webHidden/>
            <w:color w:val="31849B" w:themeColor="accent5" w:themeShade="BF"/>
            <w:sz w:val="20"/>
            <w:szCs w:val="22"/>
            <w:lang w:val="sq-AL"/>
          </w:rPr>
        </w:r>
        <w:r w:rsidR="00315385" w:rsidRPr="00315385">
          <w:rPr>
            <w:rStyle w:val="Hyperlink"/>
            <w:rFonts w:eastAsiaTheme="majorEastAsia"/>
            <w:i/>
            <w:noProof/>
            <w:webHidden/>
            <w:color w:val="31849B" w:themeColor="accent5" w:themeShade="BF"/>
            <w:sz w:val="20"/>
            <w:szCs w:val="22"/>
            <w:lang w:val="sq-AL"/>
          </w:rPr>
          <w:fldChar w:fldCharType="separate"/>
        </w:r>
        <w:r w:rsidR="00C342E2">
          <w:rPr>
            <w:rStyle w:val="Hyperlink"/>
            <w:rFonts w:eastAsiaTheme="majorEastAsia"/>
            <w:i/>
            <w:noProof/>
            <w:webHidden/>
            <w:color w:val="31849B" w:themeColor="accent5" w:themeShade="BF"/>
            <w:sz w:val="20"/>
            <w:szCs w:val="22"/>
            <w:lang w:val="sq-AL"/>
          </w:rPr>
          <w:t>33</w:t>
        </w:r>
        <w:r w:rsidR="00315385" w:rsidRPr="00315385">
          <w:rPr>
            <w:rStyle w:val="Hyperlink"/>
            <w:rFonts w:eastAsiaTheme="majorEastAsia"/>
            <w:i/>
            <w:noProof/>
            <w:webHidden/>
            <w:color w:val="31849B" w:themeColor="accent5" w:themeShade="BF"/>
            <w:sz w:val="20"/>
            <w:szCs w:val="22"/>
            <w:lang w:val="sq-AL"/>
          </w:rPr>
          <w:fldChar w:fldCharType="end"/>
        </w:r>
      </w:hyperlink>
    </w:p>
    <w:p w:rsidR="00315385" w:rsidRPr="00315385" w:rsidRDefault="00555461">
      <w:pPr>
        <w:pStyle w:val="TableofFigures"/>
        <w:tabs>
          <w:tab w:val="right" w:leader="dot" w:pos="9623"/>
        </w:tabs>
        <w:rPr>
          <w:rStyle w:val="Hyperlink"/>
          <w:rFonts w:eastAsiaTheme="majorEastAsia"/>
          <w:i/>
          <w:noProof/>
          <w:color w:val="31849B" w:themeColor="accent5" w:themeShade="BF"/>
          <w:sz w:val="20"/>
          <w:lang w:val="sq-AL"/>
        </w:rPr>
      </w:pPr>
      <w:hyperlink w:anchor="_Toc44404479" w:history="1">
        <w:r w:rsidR="00315385" w:rsidRPr="00315385">
          <w:rPr>
            <w:rStyle w:val="Hyperlink"/>
            <w:rFonts w:eastAsiaTheme="majorEastAsia"/>
            <w:i/>
            <w:noProof/>
            <w:color w:val="31849B" w:themeColor="accent5" w:themeShade="BF"/>
            <w:sz w:val="20"/>
            <w:szCs w:val="22"/>
            <w:lang w:val="sq-AL"/>
          </w:rPr>
          <w:t>Grafiku 39: Huamarrja e brendshme në raport me të ardhurat tatimore (TM. I 2016-TM. I 2020)</w:t>
        </w:r>
        <w:r w:rsidR="00315385" w:rsidRPr="00315385">
          <w:rPr>
            <w:rStyle w:val="Hyperlink"/>
            <w:rFonts w:eastAsiaTheme="majorEastAsia"/>
            <w:i/>
            <w:noProof/>
            <w:webHidden/>
            <w:color w:val="31849B" w:themeColor="accent5" w:themeShade="BF"/>
            <w:sz w:val="20"/>
            <w:szCs w:val="22"/>
            <w:lang w:val="sq-AL"/>
          </w:rPr>
          <w:tab/>
        </w:r>
        <w:r w:rsidR="00315385" w:rsidRPr="00315385">
          <w:rPr>
            <w:rStyle w:val="Hyperlink"/>
            <w:rFonts w:eastAsiaTheme="majorEastAsia"/>
            <w:i/>
            <w:noProof/>
            <w:webHidden/>
            <w:color w:val="31849B" w:themeColor="accent5" w:themeShade="BF"/>
            <w:sz w:val="20"/>
            <w:szCs w:val="22"/>
            <w:lang w:val="sq-AL"/>
          </w:rPr>
          <w:fldChar w:fldCharType="begin"/>
        </w:r>
        <w:r w:rsidR="00315385" w:rsidRPr="00315385">
          <w:rPr>
            <w:rStyle w:val="Hyperlink"/>
            <w:rFonts w:eastAsiaTheme="majorEastAsia"/>
            <w:i/>
            <w:noProof/>
            <w:webHidden/>
            <w:color w:val="31849B" w:themeColor="accent5" w:themeShade="BF"/>
            <w:sz w:val="20"/>
            <w:szCs w:val="22"/>
            <w:lang w:val="sq-AL"/>
          </w:rPr>
          <w:instrText xml:space="preserve"> PAGEREF _Toc44404479 \h </w:instrText>
        </w:r>
        <w:r w:rsidR="00315385" w:rsidRPr="00315385">
          <w:rPr>
            <w:rStyle w:val="Hyperlink"/>
            <w:rFonts w:eastAsiaTheme="majorEastAsia"/>
            <w:i/>
            <w:noProof/>
            <w:webHidden/>
            <w:color w:val="31849B" w:themeColor="accent5" w:themeShade="BF"/>
            <w:sz w:val="20"/>
            <w:szCs w:val="22"/>
            <w:lang w:val="sq-AL"/>
          </w:rPr>
        </w:r>
        <w:r w:rsidR="00315385" w:rsidRPr="00315385">
          <w:rPr>
            <w:rStyle w:val="Hyperlink"/>
            <w:rFonts w:eastAsiaTheme="majorEastAsia"/>
            <w:i/>
            <w:noProof/>
            <w:webHidden/>
            <w:color w:val="31849B" w:themeColor="accent5" w:themeShade="BF"/>
            <w:sz w:val="20"/>
            <w:szCs w:val="22"/>
            <w:lang w:val="sq-AL"/>
          </w:rPr>
          <w:fldChar w:fldCharType="separate"/>
        </w:r>
        <w:r w:rsidR="00C342E2">
          <w:rPr>
            <w:rStyle w:val="Hyperlink"/>
            <w:rFonts w:eastAsiaTheme="majorEastAsia"/>
            <w:i/>
            <w:noProof/>
            <w:webHidden/>
            <w:color w:val="31849B" w:themeColor="accent5" w:themeShade="BF"/>
            <w:sz w:val="20"/>
            <w:szCs w:val="22"/>
            <w:lang w:val="sq-AL"/>
          </w:rPr>
          <w:t>34</w:t>
        </w:r>
        <w:r w:rsidR="00315385" w:rsidRPr="00315385">
          <w:rPr>
            <w:rStyle w:val="Hyperlink"/>
            <w:rFonts w:eastAsiaTheme="majorEastAsia"/>
            <w:i/>
            <w:noProof/>
            <w:webHidden/>
            <w:color w:val="31849B" w:themeColor="accent5" w:themeShade="BF"/>
            <w:sz w:val="20"/>
            <w:szCs w:val="22"/>
            <w:lang w:val="sq-AL"/>
          </w:rPr>
          <w:fldChar w:fldCharType="end"/>
        </w:r>
      </w:hyperlink>
    </w:p>
    <w:p w:rsidR="00315385" w:rsidRPr="00315385" w:rsidRDefault="00555461">
      <w:pPr>
        <w:pStyle w:val="TableofFigures"/>
        <w:tabs>
          <w:tab w:val="right" w:leader="dot" w:pos="9623"/>
        </w:tabs>
        <w:rPr>
          <w:rStyle w:val="Hyperlink"/>
          <w:rFonts w:eastAsiaTheme="majorEastAsia"/>
          <w:i/>
          <w:noProof/>
          <w:color w:val="31849B" w:themeColor="accent5" w:themeShade="BF"/>
          <w:sz w:val="20"/>
          <w:lang w:val="sq-AL"/>
        </w:rPr>
      </w:pPr>
      <w:hyperlink w:anchor="_Toc44404480" w:history="1">
        <w:r w:rsidR="00315385" w:rsidRPr="00315385">
          <w:rPr>
            <w:rStyle w:val="Hyperlink"/>
            <w:rFonts w:eastAsiaTheme="majorEastAsia"/>
            <w:i/>
            <w:noProof/>
            <w:color w:val="31849B" w:themeColor="accent5" w:themeShade="BF"/>
            <w:sz w:val="20"/>
            <w:szCs w:val="22"/>
            <w:lang w:val="sq-AL"/>
          </w:rPr>
          <w:t>Grafiku 40: Interesat e borxhit shtetëror në vlerë absolute dhe relative, ndaj PBB dhe të ardhurave tatimore (TM. I 2016-TM. I 2020)</w:t>
        </w:r>
        <w:r w:rsidR="00315385" w:rsidRPr="00315385">
          <w:rPr>
            <w:rStyle w:val="Hyperlink"/>
            <w:rFonts w:eastAsiaTheme="majorEastAsia"/>
            <w:i/>
            <w:noProof/>
            <w:webHidden/>
            <w:color w:val="31849B" w:themeColor="accent5" w:themeShade="BF"/>
            <w:sz w:val="20"/>
            <w:szCs w:val="22"/>
            <w:lang w:val="sq-AL"/>
          </w:rPr>
          <w:tab/>
        </w:r>
        <w:r w:rsidR="00315385" w:rsidRPr="00315385">
          <w:rPr>
            <w:rStyle w:val="Hyperlink"/>
            <w:rFonts w:eastAsiaTheme="majorEastAsia"/>
            <w:i/>
            <w:noProof/>
            <w:webHidden/>
            <w:color w:val="31849B" w:themeColor="accent5" w:themeShade="BF"/>
            <w:sz w:val="20"/>
            <w:szCs w:val="22"/>
            <w:lang w:val="sq-AL"/>
          </w:rPr>
          <w:fldChar w:fldCharType="begin"/>
        </w:r>
        <w:r w:rsidR="00315385" w:rsidRPr="00315385">
          <w:rPr>
            <w:rStyle w:val="Hyperlink"/>
            <w:rFonts w:eastAsiaTheme="majorEastAsia"/>
            <w:i/>
            <w:noProof/>
            <w:webHidden/>
            <w:color w:val="31849B" w:themeColor="accent5" w:themeShade="BF"/>
            <w:sz w:val="20"/>
            <w:szCs w:val="22"/>
            <w:lang w:val="sq-AL"/>
          </w:rPr>
          <w:instrText xml:space="preserve"> PAGEREF _Toc44404480 \h </w:instrText>
        </w:r>
        <w:r w:rsidR="00315385" w:rsidRPr="00315385">
          <w:rPr>
            <w:rStyle w:val="Hyperlink"/>
            <w:rFonts w:eastAsiaTheme="majorEastAsia"/>
            <w:i/>
            <w:noProof/>
            <w:webHidden/>
            <w:color w:val="31849B" w:themeColor="accent5" w:themeShade="BF"/>
            <w:sz w:val="20"/>
            <w:szCs w:val="22"/>
            <w:lang w:val="sq-AL"/>
          </w:rPr>
        </w:r>
        <w:r w:rsidR="00315385" w:rsidRPr="00315385">
          <w:rPr>
            <w:rStyle w:val="Hyperlink"/>
            <w:rFonts w:eastAsiaTheme="majorEastAsia"/>
            <w:i/>
            <w:noProof/>
            <w:webHidden/>
            <w:color w:val="31849B" w:themeColor="accent5" w:themeShade="BF"/>
            <w:sz w:val="20"/>
            <w:szCs w:val="22"/>
            <w:lang w:val="sq-AL"/>
          </w:rPr>
          <w:fldChar w:fldCharType="separate"/>
        </w:r>
        <w:r w:rsidR="00C342E2">
          <w:rPr>
            <w:rStyle w:val="Hyperlink"/>
            <w:rFonts w:eastAsiaTheme="majorEastAsia"/>
            <w:i/>
            <w:noProof/>
            <w:webHidden/>
            <w:color w:val="31849B" w:themeColor="accent5" w:themeShade="BF"/>
            <w:sz w:val="20"/>
            <w:szCs w:val="22"/>
            <w:lang w:val="sq-AL"/>
          </w:rPr>
          <w:t>35</w:t>
        </w:r>
        <w:r w:rsidR="00315385" w:rsidRPr="00315385">
          <w:rPr>
            <w:rStyle w:val="Hyperlink"/>
            <w:rFonts w:eastAsiaTheme="majorEastAsia"/>
            <w:i/>
            <w:noProof/>
            <w:webHidden/>
            <w:color w:val="31849B" w:themeColor="accent5" w:themeShade="BF"/>
            <w:sz w:val="20"/>
            <w:szCs w:val="22"/>
            <w:lang w:val="sq-AL"/>
          </w:rPr>
          <w:fldChar w:fldCharType="end"/>
        </w:r>
      </w:hyperlink>
    </w:p>
    <w:p w:rsidR="00315385" w:rsidRPr="00315385" w:rsidRDefault="00555461">
      <w:pPr>
        <w:pStyle w:val="TableofFigures"/>
        <w:tabs>
          <w:tab w:val="right" w:leader="dot" w:pos="9623"/>
        </w:tabs>
        <w:rPr>
          <w:rStyle w:val="Hyperlink"/>
          <w:rFonts w:eastAsiaTheme="majorEastAsia"/>
          <w:i/>
          <w:noProof/>
          <w:color w:val="31849B" w:themeColor="accent5" w:themeShade="BF"/>
          <w:sz w:val="20"/>
          <w:lang w:val="sq-AL"/>
        </w:rPr>
      </w:pPr>
      <w:hyperlink w:anchor="_Toc44404481" w:history="1">
        <w:r w:rsidR="00315385" w:rsidRPr="00315385">
          <w:rPr>
            <w:rStyle w:val="Hyperlink"/>
            <w:rFonts w:eastAsiaTheme="majorEastAsia"/>
            <w:i/>
            <w:noProof/>
            <w:color w:val="31849B" w:themeColor="accent5" w:themeShade="BF"/>
            <w:sz w:val="20"/>
            <w:szCs w:val="22"/>
            <w:lang w:val="sq-AL"/>
          </w:rPr>
          <w:t>Grafiku 41: Jetëgjatësia&amp;kosto mesatare e portofolit të borxhit të brendshëm shtetëror (2016-Mars 2020)</w:t>
        </w:r>
        <w:r w:rsidR="00315385" w:rsidRPr="00315385">
          <w:rPr>
            <w:rStyle w:val="Hyperlink"/>
            <w:rFonts w:eastAsiaTheme="majorEastAsia"/>
            <w:i/>
            <w:noProof/>
            <w:webHidden/>
            <w:color w:val="31849B" w:themeColor="accent5" w:themeShade="BF"/>
            <w:sz w:val="20"/>
            <w:szCs w:val="22"/>
            <w:lang w:val="sq-AL"/>
          </w:rPr>
          <w:tab/>
        </w:r>
        <w:r w:rsidR="00315385" w:rsidRPr="00315385">
          <w:rPr>
            <w:rStyle w:val="Hyperlink"/>
            <w:rFonts w:eastAsiaTheme="majorEastAsia"/>
            <w:i/>
            <w:noProof/>
            <w:webHidden/>
            <w:color w:val="31849B" w:themeColor="accent5" w:themeShade="BF"/>
            <w:sz w:val="20"/>
            <w:szCs w:val="22"/>
            <w:lang w:val="sq-AL"/>
          </w:rPr>
          <w:fldChar w:fldCharType="begin"/>
        </w:r>
        <w:r w:rsidR="00315385" w:rsidRPr="00315385">
          <w:rPr>
            <w:rStyle w:val="Hyperlink"/>
            <w:rFonts w:eastAsiaTheme="majorEastAsia"/>
            <w:i/>
            <w:noProof/>
            <w:webHidden/>
            <w:color w:val="31849B" w:themeColor="accent5" w:themeShade="BF"/>
            <w:sz w:val="20"/>
            <w:szCs w:val="22"/>
            <w:lang w:val="sq-AL"/>
          </w:rPr>
          <w:instrText xml:space="preserve"> PAGEREF _Toc44404481 \h </w:instrText>
        </w:r>
        <w:r w:rsidR="00315385" w:rsidRPr="00315385">
          <w:rPr>
            <w:rStyle w:val="Hyperlink"/>
            <w:rFonts w:eastAsiaTheme="majorEastAsia"/>
            <w:i/>
            <w:noProof/>
            <w:webHidden/>
            <w:color w:val="31849B" w:themeColor="accent5" w:themeShade="BF"/>
            <w:sz w:val="20"/>
            <w:szCs w:val="22"/>
            <w:lang w:val="sq-AL"/>
          </w:rPr>
        </w:r>
        <w:r w:rsidR="00315385" w:rsidRPr="00315385">
          <w:rPr>
            <w:rStyle w:val="Hyperlink"/>
            <w:rFonts w:eastAsiaTheme="majorEastAsia"/>
            <w:i/>
            <w:noProof/>
            <w:webHidden/>
            <w:color w:val="31849B" w:themeColor="accent5" w:themeShade="BF"/>
            <w:sz w:val="20"/>
            <w:szCs w:val="22"/>
            <w:lang w:val="sq-AL"/>
          </w:rPr>
          <w:fldChar w:fldCharType="separate"/>
        </w:r>
        <w:r w:rsidR="00C342E2">
          <w:rPr>
            <w:rStyle w:val="Hyperlink"/>
            <w:rFonts w:eastAsiaTheme="majorEastAsia"/>
            <w:i/>
            <w:noProof/>
            <w:webHidden/>
            <w:color w:val="31849B" w:themeColor="accent5" w:themeShade="BF"/>
            <w:sz w:val="20"/>
            <w:szCs w:val="22"/>
            <w:lang w:val="sq-AL"/>
          </w:rPr>
          <w:t>35</w:t>
        </w:r>
        <w:r w:rsidR="00315385" w:rsidRPr="00315385">
          <w:rPr>
            <w:rStyle w:val="Hyperlink"/>
            <w:rFonts w:eastAsiaTheme="majorEastAsia"/>
            <w:i/>
            <w:noProof/>
            <w:webHidden/>
            <w:color w:val="31849B" w:themeColor="accent5" w:themeShade="BF"/>
            <w:sz w:val="20"/>
            <w:szCs w:val="22"/>
            <w:lang w:val="sq-AL"/>
          </w:rPr>
          <w:fldChar w:fldCharType="end"/>
        </w:r>
      </w:hyperlink>
    </w:p>
    <w:p w:rsidR="00315385" w:rsidRPr="00315385" w:rsidRDefault="00555461">
      <w:pPr>
        <w:pStyle w:val="TableofFigures"/>
        <w:tabs>
          <w:tab w:val="right" w:leader="dot" w:pos="9623"/>
        </w:tabs>
        <w:rPr>
          <w:rStyle w:val="Hyperlink"/>
          <w:rFonts w:eastAsiaTheme="majorEastAsia"/>
          <w:i/>
          <w:noProof/>
          <w:color w:val="31849B" w:themeColor="accent5" w:themeShade="BF"/>
          <w:sz w:val="20"/>
          <w:lang w:val="sq-AL"/>
        </w:rPr>
      </w:pPr>
      <w:hyperlink w:anchor="_Toc44404482" w:history="1">
        <w:r w:rsidR="00315385" w:rsidRPr="00315385">
          <w:rPr>
            <w:rStyle w:val="Hyperlink"/>
            <w:rFonts w:eastAsiaTheme="majorEastAsia"/>
            <w:i/>
            <w:noProof/>
            <w:color w:val="31849B" w:themeColor="accent5" w:themeShade="BF"/>
            <w:sz w:val="20"/>
            <w:szCs w:val="22"/>
            <w:lang w:val="sq-AL"/>
          </w:rPr>
          <w:t>Grafiku 42: Raporti i mbulimit të ankandeve të titujve shtetërorë (Janar–Mars 2020)</w:t>
        </w:r>
        <w:r w:rsidR="00315385" w:rsidRPr="00315385">
          <w:rPr>
            <w:rStyle w:val="Hyperlink"/>
            <w:rFonts w:eastAsiaTheme="majorEastAsia"/>
            <w:i/>
            <w:noProof/>
            <w:webHidden/>
            <w:color w:val="31849B" w:themeColor="accent5" w:themeShade="BF"/>
            <w:sz w:val="20"/>
            <w:szCs w:val="22"/>
            <w:lang w:val="sq-AL"/>
          </w:rPr>
          <w:tab/>
        </w:r>
        <w:r w:rsidR="00315385" w:rsidRPr="00315385">
          <w:rPr>
            <w:rStyle w:val="Hyperlink"/>
            <w:rFonts w:eastAsiaTheme="majorEastAsia"/>
            <w:i/>
            <w:noProof/>
            <w:webHidden/>
            <w:color w:val="31849B" w:themeColor="accent5" w:themeShade="BF"/>
            <w:sz w:val="20"/>
            <w:szCs w:val="22"/>
            <w:lang w:val="sq-AL"/>
          </w:rPr>
          <w:fldChar w:fldCharType="begin"/>
        </w:r>
        <w:r w:rsidR="00315385" w:rsidRPr="00315385">
          <w:rPr>
            <w:rStyle w:val="Hyperlink"/>
            <w:rFonts w:eastAsiaTheme="majorEastAsia"/>
            <w:i/>
            <w:noProof/>
            <w:webHidden/>
            <w:color w:val="31849B" w:themeColor="accent5" w:themeShade="BF"/>
            <w:sz w:val="20"/>
            <w:szCs w:val="22"/>
            <w:lang w:val="sq-AL"/>
          </w:rPr>
          <w:instrText xml:space="preserve"> PAGEREF _Toc44404482 \h </w:instrText>
        </w:r>
        <w:r w:rsidR="00315385" w:rsidRPr="00315385">
          <w:rPr>
            <w:rStyle w:val="Hyperlink"/>
            <w:rFonts w:eastAsiaTheme="majorEastAsia"/>
            <w:i/>
            <w:noProof/>
            <w:webHidden/>
            <w:color w:val="31849B" w:themeColor="accent5" w:themeShade="BF"/>
            <w:sz w:val="20"/>
            <w:szCs w:val="22"/>
            <w:lang w:val="sq-AL"/>
          </w:rPr>
        </w:r>
        <w:r w:rsidR="00315385" w:rsidRPr="00315385">
          <w:rPr>
            <w:rStyle w:val="Hyperlink"/>
            <w:rFonts w:eastAsiaTheme="majorEastAsia"/>
            <w:i/>
            <w:noProof/>
            <w:webHidden/>
            <w:color w:val="31849B" w:themeColor="accent5" w:themeShade="BF"/>
            <w:sz w:val="20"/>
            <w:szCs w:val="22"/>
            <w:lang w:val="sq-AL"/>
          </w:rPr>
          <w:fldChar w:fldCharType="separate"/>
        </w:r>
        <w:r w:rsidR="00C342E2">
          <w:rPr>
            <w:rStyle w:val="Hyperlink"/>
            <w:rFonts w:eastAsiaTheme="majorEastAsia"/>
            <w:i/>
            <w:noProof/>
            <w:webHidden/>
            <w:color w:val="31849B" w:themeColor="accent5" w:themeShade="BF"/>
            <w:sz w:val="20"/>
            <w:szCs w:val="22"/>
            <w:lang w:val="sq-AL"/>
          </w:rPr>
          <w:t>36</w:t>
        </w:r>
        <w:r w:rsidR="00315385" w:rsidRPr="00315385">
          <w:rPr>
            <w:rStyle w:val="Hyperlink"/>
            <w:rFonts w:eastAsiaTheme="majorEastAsia"/>
            <w:i/>
            <w:noProof/>
            <w:webHidden/>
            <w:color w:val="31849B" w:themeColor="accent5" w:themeShade="BF"/>
            <w:sz w:val="20"/>
            <w:szCs w:val="22"/>
            <w:lang w:val="sq-AL"/>
          </w:rPr>
          <w:fldChar w:fldCharType="end"/>
        </w:r>
      </w:hyperlink>
    </w:p>
    <w:p w:rsidR="00315385" w:rsidRPr="00315385" w:rsidRDefault="00555461">
      <w:pPr>
        <w:pStyle w:val="TableofFigures"/>
        <w:tabs>
          <w:tab w:val="right" w:leader="dot" w:pos="9623"/>
        </w:tabs>
        <w:rPr>
          <w:rStyle w:val="Hyperlink"/>
          <w:rFonts w:eastAsiaTheme="majorEastAsia"/>
          <w:i/>
          <w:noProof/>
          <w:color w:val="31849B" w:themeColor="accent5" w:themeShade="BF"/>
          <w:sz w:val="20"/>
          <w:lang w:val="sq-AL"/>
        </w:rPr>
      </w:pPr>
      <w:hyperlink w:anchor="_Toc44404483" w:history="1">
        <w:r w:rsidR="00315385" w:rsidRPr="00315385">
          <w:rPr>
            <w:rStyle w:val="Hyperlink"/>
            <w:rFonts w:eastAsiaTheme="majorEastAsia"/>
            <w:i/>
            <w:noProof/>
            <w:color w:val="31849B" w:themeColor="accent5" w:themeShade="BF"/>
            <w:sz w:val="20"/>
            <w:szCs w:val="22"/>
            <w:lang w:val="sq-AL"/>
          </w:rPr>
          <w:t>Grafiku 43: Norma mesatare e ponderuar e titujve shtetërorë (2018-Mars 2020)</w:t>
        </w:r>
        <w:r w:rsidR="00315385" w:rsidRPr="00315385">
          <w:rPr>
            <w:rStyle w:val="Hyperlink"/>
            <w:rFonts w:eastAsiaTheme="majorEastAsia"/>
            <w:i/>
            <w:noProof/>
            <w:webHidden/>
            <w:color w:val="31849B" w:themeColor="accent5" w:themeShade="BF"/>
            <w:sz w:val="20"/>
            <w:szCs w:val="22"/>
            <w:lang w:val="sq-AL"/>
          </w:rPr>
          <w:tab/>
        </w:r>
        <w:r w:rsidR="00315385" w:rsidRPr="00315385">
          <w:rPr>
            <w:rStyle w:val="Hyperlink"/>
            <w:rFonts w:eastAsiaTheme="majorEastAsia"/>
            <w:i/>
            <w:noProof/>
            <w:webHidden/>
            <w:color w:val="31849B" w:themeColor="accent5" w:themeShade="BF"/>
            <w:sz w:val="20"/>
            <w:szCs w:val="22"/>
            <w:lang w:val="sq-AL"/>
          </w:rPr>
          <w:fldChar w:fldCharType="begin"/>
        </w:r>
        <w:r w:rsidR="00315385" w:rsidRPr="00315385">
          <w:rPr>
            <w:rStyle w:val="Hyperlink"/>
            <w:rFonts w:eastAsiaTheme="majorEastAsia"/>
            <w:i/>
            <w:noProof/>
            <w:webHidden/>
            <w:color w:val="31849B" w:themeColor="accent5" w:themeShade="BF"/>
            <w:sz w:val="20"/>
            <w:szCs w:val="22"/>
            <w:lang w:val="sq-AL"/>
          </w:rPr>
          <w:instrText xml:space="preserve"> PAGEREF _Toc44404483 \h </w:instrText>
        </w:r>
        <w:r w:rsidR="00315385" w:rsidRPr="00315385">
          <w:rPr>
            <w:rStyle w:val="Hyperlink"/>
            <w:rFonts w:eastAsiaTheme="majorEastAsia"/>
            <w:i/>
            <w:noProof/>
            <w:webHidden/>
            <w:color w:val="31849B" w:themeColor="accent5" w:themeShade="BF"/>
            <w:sz w:val="20"/>
            <w:szCs w:val="22"/>
            <w:lang w:val="sq-AL"/>
          </w:rPr>
        </w:r>
        <w:r w:rsidR="00315385" w:rsidRPr="00315385">
          <w:rPr>
            <w:rStyle w:val="Hyperlink"/>
            <w:rFonts w:eastAsiaTheme="majorEastAsia"/>
            <w:i/>
            <w:noProof/>
            <w:webHidden/>
            <w:color w:val="31849B" w:themeColor="accent5" w:themeShade="BF"/>
            <w:sz w:val="20"/>
            <w:szCs w:val="22"/>
            <w:lang w:val="sq-AL"/>
          </w:rPr>
          <w:fldChar w:fldCharType="separate"/>
        </w:r>
        <w:r w:rsidR="00C342E2">
          <w:rPr>
            <w:rStyle w:val="Hyperlink"/>
            <w:rFonts w:eastAsiaTheme="majorEastAsia"/>
            <w:i/>
            <w:noProof/>
            <w:webHidden/>
            <w:color w:val="31849B" w:themeColor="accent5" w:themeShade="BF"/>
            <w:sz w:val="20"/>
            <w:szCs w:val="22"/>
            <w:lang w:val="sq-AL"/>
          </w:rPr>
          <w:t>37</w:t>
        </w:r>
        <w:r w:rsidR="00315385" w:rsidRPr="00315385">
          <w:rPr>
            <w:rStyle w:val="Hyperlink"/>
            <w:rFonts w:eastAsiaTheme="majorEastAsia"/>
            <w:i/>
            <w:noProof/>
            <w:webHidden/>
            <w:color w:val="31849B" w:themeColor="accent5" w:themeShade="BF"/>
            <w:sz w:val="20"/>
            <w:szCs w:val="22"/>
            <w:lang w:val="sq-AL"/>
          </w:rPr>
          <w:fldChar w:fldCharType="end"/>
        </w:r>
      </w:hyperlink>
    </w:p>
    <w:p w:rsidR="00315385" w:rsidRPr="00315385" w:rsidRDefault="00555461">
      <w:pPr>
        <w:pStyle w:val="TableofFigures"/>
        <w:tabs>
          <w:tab w:val="right" w:leader="dot" w:pos="9623"/>
        </w:tabs>
        <w:rPr>
          <w:rStyle w:val="Hyperlink"/>
          <w:rFonts w:eastAsiaTheme="majorEastAsia"/>
          <w:i/>
          <w:noProof/>
          <w:color w:val="31849B" w:themeColor="accent5" w:themeShade="BF"/>
          <w:sz w:val="20"/>
          <w:lang w:val="sq-AL"/>
        </w:rPr>
      </w:pPr>
      <w:hyperlink w:anchor="_Toc44404484" w:history="1">
        <w:r w:rsidR="00315385" w:rsidRPr="00315385">
          <w:rPr>
            <w:rStyle w:val="Hyperlink"/>
            <w:rFonts w:eastAsiaTheme="majorEastAsia"/>
            <w:i/>
            <w:noProof/>
            <w:color w:val="31849B" w:themeColor="accent5" w:themeShade="BF"/>
            <w:sz w:val="20"/>
            <w:szCs w:val="22"/>
            <w:lang w:val="sq-AL"/>
          </w:rPr>
          <w:t>Grafiku 44: Stoku i detyrimeve të prapambetura qendrore 2019 - Mars 2020 (në milion lekë)</w:t>
        </w:r>
        <w:r w:rsidR="00315385" w:rsidRPr="00315385">
          <w:rPr>
            <w:rStyle w:val="Hyperlink"/>
            <w:rFonts w:eastAsiaTheme="majorEastAsia"/>
            <w:i/>
            <w:noProof/>
            <w:webHidden/>
            <w:color w:val="31849B" w:themeColor="accent5" w:themeShade="BF"/>
            <w:sz w:val="20"/>
            <w:szCs w:val="22"/>
            <w:lang w:val="sq-AL"/>
          </w:rPr>
          <w:tab/>
        </w:r>
        <w:r w:rsidR="00315385" w:rsidRPr="00315385">
          <w:rPr>
            <w:rStyle w:val="Hyperlink"/>
            <w:rFonts w:eastAsiaTheme="majorEastAsia"/>
            <w:i/>
            <w:noProof/>
            <w:webHidden/>
            <w:color w:val="31849B" w:themeColor="accent5" w:themeShade="BF"/>
            <w:sz w:val="20"/>
            <w:szCs w:val="22"/>
            <w:lang w:val="sq-AL"/>
          </w:rPr>
          <w:fldChar w:fldCharType="begin"/>
        </w:r>
        <w:r w:rsidR="00315385" w:rsidRPr="00315385">
          <w:rPr>
            <w:rStyle w:val="Hyperlink"/>
            <w:rFonts w:eastAsiaTheme="majorEastAsia"/>
            <w:i/>
            <w:noProof/>
            <w:webHidden/>
            <w:color w:val="31849B" w:themeColor="accent5" w:themeShade="BF"/>
            <w:sz w:val="20"/>
            <w:szCs w:val="22"/>
            <w:lang w:val="sq-AL"/>
          </w:rPr>
          <w:instrText xml:space="preserve"> PAGEREF _Toc44404484 \h </w:instrText>
        </w:r>
        <w:r w:rsidR="00315385" w:rsidRPr="00315385">
          <w:rPr>
            <w:rStyle w:val="Hyperlink"/>
            <w:rFonts w:eastAsiaTheme="majorEastAsia"/>
            <w:i/>
            <w:noProof/>
            <w:webHidden/>
            <w:color w:val="31849B" w:themeColor="accent5" w:themeShade="BF"/>
            <w:sz w:val="20"/>
            <w:szCs w:val="22"/>
            <w:lang w:val="sq-AL"/>
          </w:rPr>
        </w:r>
        <w:r w:rsidR="00315385" w:rsidRPr="00315385">
          <w:rPr>
            <w:rStyle w:val="Hyperlink"/>
            <w:rFonts w:eastAsiaTheme="majorEastAsia"/>
            <w:i/>
            <w:noProof/>
            <w:webHidden/>
            <w:color w:val="31849B" w:themeColor="accent5" w:themeShade="BF"/>
            <w:sz w:val="20"/>
            <w:szCs w:val="22"/>
            <w:lang w:val="sq-AL"/>
          </w:rPr>
          <w:fldChar w:fldCharType="separate"/>
        </w:r>
        <w:r w:rsidR="00C342E2">
          <w:rPr>
            <w:rStyle w:val="Hyperlink"/>
            <w:rFonts w:eastAsiaTheme="majorEastAsia"/>
            <w:i/>
            <w:noProof/>
            <w:webHidden/>
            <w:color w:val="31849B" w:themeColor="accent5" w:themeShade="BF"/>
            <w:sz w:val="20"/>
            <w:szCs w:val="22"/>
            <w:lang w:val="sq-AL"/>
          </w:rPr>
          <w:t>42</w:t>
        </w:r>
        <w:r w:rsidR="00315385" w:rsidRPr="00315385">
          <w:rPr>
            <w:rStyle w:val="Hyperlink"/>
            <w:rFonts w:eastAsiaTheme="majorEastAsia"/>
            <w:i/>
            <w:noProof/>
            <w:webHidden/>
            <w:color w:val="31849B" w:themeColor="accent5" w:themeShade="BF"/>
            <w:sz w:val="20"/>
            <w:szCs w:val="22"/>
            <w:lang w:val="sq-AL"/>
          </w:rPr>
          <w:fldChar w:fldCharType="end"/>
        </w:r>
      </w:hyperlink>
    </w:p>
    <w:p w:rsidR="00315385" w:rsidRPr="00315385" w:rsidRDefault="00555461">
      <w:pPr>
        <w:pStyle w:val="TableofFigures"/>
        <w:tabs>
          <w:tab w:val="right" w:leader="dot" w:pos="9623"/>
        </w:tabs>
        <w:rPr>
          <w:rStyle w:val="Hyperlink"/>
          <w:rFonts w:eastAsiaTheme="majorEastAsia"/>
          <w:i/>
          <w:noProof/>
          <w:color w:val="31849B" w:themeColor="accent5" w:themeShade="BF"/>
          <w:sz w:val="20"/>
          <w:lang w:val="sq-AL"/>
        </w:rPr>
      </w:pPr>
      <w:hyperlink w:anchor="_Toc44404485" w:history="1">
        <w:r w:rsidR="00315385" w:rsidRPr="00315385">
          <w:rPr>
            <w:rStyle w:val="Hyperlink"/>
            <w:rFonts w:eastAsiaTheme="majorEastAsia"/>
            <w:i/>
            <w:noProof/>
            <w:color w:val="31849B" w:themeColor="accent5" w:themeShade="BF"/>
            <w:sz w:val="20"/>
            <w:szCs w:val="22"/>
            <w:lang w:val="sq-AL"/>
          </w:rPr>
          <w:t>Grafiku 45: Ecuria e detyrimeve të prapambetura për vendime gjyqësore (në milionë lekë)</w:t>
        </w:r>
        <w:r w:rsidR="00315385" w:rsidRPr="00315385">
          <w:rPr>
            <w:rStyle w:val="Hyperlink"/>
            <w:rFonts w:eastAsiaTheme="majorEastAsia"/>
            <w:i/>
            <w:noProof/>
            <w:webHidden/>
            <w:color w:val="31849B" w:themeColor="accent5" w:themeShade="BF"/>
            <w:sz w:val="20"/>
            <w:szCs w:val="22"/>
            <w:lang w:val="sq-AL"/>
          </w:rPr>
          <w:tab/>
        </w:r>
        <w:r w:rsidR="00315385" w:rsidRPr="00315385">
          <w:rPr>
            <w:rStyle w:val="Hyperlink"/>
            <w:rFonts w:eastAsiaTheme="majorEastAsia"/>
            <w:i/>
            <w:noProof/>
            <w:webHidden/>
            <w:color w:val="31849B" w:themeColor="accent5" w:themeShade="BF"/>
            <w:sz w:val="20"/>
            <w:szCs w:val="22"/>
            <w:lang w:val="sq-AL"/>
          </w:rPr>
          <w:fldChar w:fldCharType="begin"/>
        </w:r>
        <w:r w:rsidR="00315385" w:rsidRPr="00315385">
          <w:rPr>
            <w:rStyle w:val="Hyperlink"/>
            <w:rFonts w:eastAsiaTheme="majorEastAsia"/>
            <w:i/>
            <w:noProof/>
            <w:webHidden/>
            <w:color w:val="31849B" w:themeColor="accent5" w:themeShade="BF"/>
            <w:sz w:val="20"/>
            <w:szCs w:val="22"/>
            <w:lang w:val="sq-AL"/>
          </w:rPr>
          <w:instrText xml:space="preserve"> PAGEREF _Toc44404485 \h </w:instrText>
        </w:r>
        <w:r w:rsidR="00315385" w:rsidRPr="00315385">
          <w:rPr>
            <w:rStyle w:val="Hyperlink"/>
            <w:rFonts w:eastAsiaTheme="majorEastAsia"/>
            <w:i/>
            <w:noProof/>
            <w:webHidden/>
            <w:color w:val="31849B" w:themeColor="accent5" w:themeShade="BF"/>
            <w:sz w:val="20"/>
            <w:szCs w:val="22"/>
            <w:lang w:val="sq-AL"/>
          </w:rPr>
        </w:r>
        <w:r w:rsidR="00315385" w:rsidRPr="00315385">
          <w:rPr>
            <w:rStyle w:val="Hyperlink"/>
            <w:rFonts w:eastAsiaTheme="majorEastAsia"/>
            <w:i/>
            <w:noProof/>
            <w:webHidden/>
            <w:color w:val="31849B" w:themeColor="accent5" w:themeShade="BF"/>
            <w:sz w:val="20"/>
            <w:szCs w:val="22"/>
            <w:lang w:val="sq-AL"/>
          </w:rPr>
          <w:fldChar w:fldCharType="separate"/>
        </w:r>
        <w:r w:rsidR="00C342E2">
          <w:rPr>
            <w:rStyle w:val="Hyperlink"/>
            <w:rFonts w:eastAsiaTheme="majorEastAsia"/>
            <w:i/>
            <w:noProof/>
            <w:webHidden/>
            <w:color w:val="31849B" w:themeColor="accent5" w:themeShade="BF"/>
            <w:sz w:val="20"/>
            <w:szCs w:val="22"/>
            <w:lang w:val="sq-AL"/>
          </w:rPr>
          <w:t>43</w:t>
        </w:r>
        <w:r w:rsidR="00315385" w:rsidRPr="00315385">
          <w:rPr>
            <w:rStyle w:val="Hyperlink"/>
            <w:rFonts w:eastAsiaTheme="majorEastAsia"/>
            <w:i/>
            <w:noProof/>
            <w:webHidden/>
            <w:color w:val="31849B" w:themeColor="accent5" w:themeShade="BF"/>
            <w:sz w:val="20"/>
            <w:szCs w:val="22"/>
            <w:lang w:val="sq-AL"/>
          </w:rPr>
          <w:fldChar w:fldCharType="end"/>
        </w:r>
      </w:hyperlink>
    </w:p>
    <w:p w:rsidR="00315385" w:rsidRPr="00315385" w:rsidRDefault="00555461">
      <w:pPr>
        <w:pStyle w:val="TableofFigures"/>
        <w:tabs>
          <w:tab w:val="right" w:leader="dot" w:pos="9623"/>
        </w:tabs>
        <w:rPr>
          <w:rStyle w:val="Hyperlink"/>
          <w:rFonts w:eastAsiaTheme="majorEastAsia"/>
          <w:i/>
          <w:noProof/>
          <w:color w:val="31849B" w:themeColor="accent5" w:themeShade="BF"/>
          <w:sz w:val="20"/>
          <w:lang w:val="sq-AL"/>
        </w:rPr>
      </w:pPr>
      <w:hyperlink w:anchor="_Toc44404486" w:history="1">
        <w:r w:rsidR="00315385" w:rsidRPr="00315385">
          <w:rPr>
            <w:rStyle w:val="Hyperlink"/>
            <w:rFonts w:eastAsiaTheme="majorEastAsia"/>
            <w:i/>
            <w:noProof/>
            <w:color w:val="31849B" w:themeColor="accent5" w:themeShade="BF"/>
            <w:sz w:val="20"/>
            <w:szCs w:val="22"/>
            <w:lang w:val="sq-AL"/>
          </w:rPr>
          <w:t>Grafiku 46: Rritja mujore e totalit të eksporteve, në përqindje.</w:t>
        </w:r>
        <w:r w:rsidR="00315385" w:rsidRPr="00315385">
          <w:rPr>
            <w:rStyle w:val="Hyperlink"/>
            <w:rFonts w:eastAsiaTheme="majorEastAsia"/>
            <w:i/>
            <w:noProof/>
            <w:webHidden/>
            <w:color w:val="31849B" w:themeColor="accent5" w:themeShade="BF"/>
            <w:sz w:val="20"/>
            <w:szCs w:val="22"/>
            <w:lang w:val="sq-AL"/>
          </w:rPr>
          <w:tab/>
        </w:r>
        <w:r w:rsidR="00315385" w:rsidRPr="00315385">
          <w:rPr>
            <w:rStyle w:val="Hyperlink"/>
            <w:rFonts w:eastAsiaTheme="majorEastAsia"/>
            <w:i/>
            <w:noProof/>
            <w:webHidden/>
            <w:color w:val="31849B" w:themeColor="accent5" w:themeShade="BF"/>
            <w:sz w:val="20"/>
            <w:szCs w:val="22"/>
            <w:lang w:val="sq-AL"/>
          </w:rPr>
          <w:fldChar w:fldCharType="begin"/>
        </w:r>
        <w:r w:rsidR="00315385" w:rsidRPr="00315385">
          <w:rPr>
            <w:rStyle w:val="Hyperlink"/>
            <w:rFonts w:eastAsiaTheme="majorEastAsia"/>
            <w:i/>
            <w:noProof/>
            <w:webHidden/>
            <w:color w:val="31849B" w:themeColor="accent5" w:themeShade="BF"/>
            <w:sz w:val="20"/>
            <w:szCs w:val="22"/>
            <w:lang w:val="sq-AL"/>
          </w:rPr>
          <w:instrText xml:space="preserve"> PAGEREF _Toc44404486 \h </w:instrText>
        </w:r>
        <w:r w:rsidR="00315385" w:rsidRPr="00315385">
          <w:rPr>
            <w:rStyle w:val="Hyperlink"/>
            <w:rFonts w:eastAsiaTheme="majorEastAsia"/>
            <w:i/>
            <w:noProof/>
            <w:webHidden/>
            <w:color w:val="31849B" w:themeColor="accent5" w:themeShade="BF"/>
            <w:sz w:val="20"/>
            <w:szCs w:val="22"/>
            <w:lang w:val="sq-AL"/>
          </w:rPr>
        </w:r>
        <w:r w:rsidR="00315385" w:rsidRPr="00315385">
          <w:rPr>
            <w:rStyle w:val="Hyperlink"/>
            <w:rFonts w:eastAsiaTheme="majorEastAsia"/>
            <w:i/>
            <w:noProof/>
            <w:webHidden/>
            <w:color w:val="31849B" w:themeColor="accent5" w:themeShade="BF"/>
            <w:sz w:val="20"/>
            <w:szCs w:val="22"/>
            <w:lang w:val="sq-AL"/>
          </w:rPr>
          <w:fldChar w:fldCharType="separate"/>
        </w:r>
        <w:r w:rsidR="00C342E2">
          <w:rPr>
            <w:rStyle w:val="Hyperlink"/>
            <w:rFonts w:eastAsiaTheme="majorEastAsia"/>
            <w:i/>
            <w:noProof/>
            <w:webHidden/>
            <w:color w:val="31849B" w:themeColor="accent5" w:themeShade="BF"/>
            <w:sz w:val="20"/>
            <w:szCs w:val="22"/>
            <w:lang w:val="sq-AL"/>
          </w:rPr>
          <w:t>50</w:t>
        </w:r>
        <w:r w:rsidR="00315385" w:rsidRPr="00315385">
          <w:rPr>
            <w:rStyle w:val="Hyperlink"/>
            <w:rFonts w:eastAsiaTheme="majorEastAsia"/>
            <w:i/>
            <w:noProof/>
            <w:webHidden/>
            <w:color w:val="31849B" w:themeColor="accent5" w:themeShade="BF"/>
            <w:sz w:val="20"/>
            <w:szCs w:val="22"/>
            <w:lang w:val="sq-AL"/>
          </w:rPr>
          <w:fldChar w:fldCharType="end"/>
        </w:r>
      </w:hyperlink>
    </w:p>
    <w:p w:rsidR="00315385" w:rsidRPr="00315385" w:rsidRDefault="00555461">
      <w:pPr>
        <w:pStyle w:val="TableofFigures"/>
        <w:tabs>
          <w:tab w:val="right" w:leader="dot" w:pos="9623"/>
        </w:tabs>
        <w:rPr>
          <w:rStyle w:val="Hyperlink"/>
          <w:rFonts w:eastAsiaTheme="majorEastAsia"/>
          <w:i/>
          <w:noProof/>
          <w:color w:val="31849B" w:themeColor="accent5" w:themeShade="BF"/>
          <w:sz w:val="20"/>
          <w:lang w:val="sq-AL"/>
        </w:rPr>
      </w:pPr>
      <w:hyperlink w:anchor="_Toc44404487" w:history="1">
        <w:r w:rsidR="00315385" w:rsidRPr="00315385">
          <w:rPr>
            <w:rStyle w:val="Hyperlink"/>
            <w:rFonts w:eastAsiaTheme="majorEastAsia"/>
            <w:i/>
            <w:noProof/>
            <w:color w:val="31849B" w:themeColor="accent5" w:themeShade="BF"/>
            <w:sz w:val="20"/>
            <w:szCs w:val="22"/>
            <w:lang w:val="sq-AL"/>
          </w:rPr>
          <w:t>Grafiku 47: Rritja mujore e totalit të importeve, në përqindje.</w:t>
        </w:r>
        <w:r w:rsidR="00315385" w:rsidRPr="00315385">
          <w:rPr>
            <w:rStyle w:val="Hyperlink"/>
            <w:rFonts w:eastAsiaTheme="majorEastAsia"/>
            <w:i/>
            <w:noProof/>
            <w:webHidden/>
            <w:color w:val="31849B" w:themeColor="accent5" w:themeShade="BF"/>
            <w:sz w:val="20"/>
            <w:szCs w:val="22"/>
            <w:lang w:val="sq-AL"/>
          </w:rPr>
          <w:tab/>
        </w:r>
        <w:r w:rsidR="00315385" w:rsidRPr="00315385">
          <w:rPr>
            <w:rStyle w:val="Hyperlink"/>
            <w:rFonts w:eastAsiaTheme="majorEastAsia"/>
            <w:i/>
            <w:noProof/>
            <w:webHidden/>
            <w:color w:val="31849B" w:themeColor="accent5" w:themeShade="BF"/>
            <w:sz w:val="20"/>
            <w:szCs w:val="22"/>
            <w:lang w:val="sq-AL"/>
          </w:rPr>
          <w:fldChar w:fldCharType="begin"/>
        </w:r>
        <w:r w:rsidR="00315385" w:rsidRPr="00315385">
          <w:rPr>
            <w:rStyle w:val="Hyperlink"/>
            <w:rFonts w:eastAsiaTheme="majorEastAsia"/>
            <w:i/>
            <w:noProof/>
            <w:webHidden/>
            <w:color w:val="31849B" w:themeColor="accent5" w:themeShade="BF"/>
            <w:sz w:val="20"/>
            <w:szCs w:val="22"/>
            <w:lang w:val="sq-AL"/>
          </w:rPr>
          <w:instrText xml:space="preserve"> PAGEREF _Toc44404487 \h </w:instrText>
        </w:r>
        <w:r w:rsidR="00315385" w:rsidRPr="00315385">
          <w:rPr>
            <w:rStyle w:val="Hyperlink"/>
            <w:rFonts w:eastAsiaTheme="majorEastAsia"/>
            <w:i/>
            <w:noProof/>
            <w:webHidden/>
            <w:color w:val="31849B" w:themeColor="accent5" w:themeShade="BF"/>
            <w:sz w:val="20"/>
            <w:szCs w:val="22"/>
            <w:lang w:val="sq-AL"/>
          </w:rPr>
        </w:r>
        <w:r w:rsidR="00315385" w:rsidRPr="00315385">
          <w:rPr>
            <w:rStyle w:val="Hyperlink"/>
            <w:rFonts w:eastAsiaTheme="majorEastAsia"/>
            <w:i/>
            <w:noProof/>
            <w:webHidden/>
            <w:color w:val="31849B" w:themeColor="accent5" w:themeShade="BF"/>
            <w:sz w:val="20"/>
            <w:szCs w:val="22"/>
            <w:lang w:val="sq-AL"/>
          </w:rPr>
          <w:fldChar w:fldCharType="separate"/>
        </w:r>
        <w:r w:rsidR="00C342E2">
          <w:rPr>
            <w:rStyle w:val="Hyperlink"/>
            <w:rFonts w:eastAsiaTheme="majorEastAsia"/>
            <w:i/>
            <w:noProof/>
            <w:webHidden/>
            <w:color w:val="31849B" w:themeColor="accent5" w:themeShade="BF"/>
            <w:sz w:val="20"/>
            <w:szCs w:val="22"/>
            <w:lang w:val="sq-AL"/>
          </w:rPr>
          <w:t>51</w:t>
        </w:r>
        <w:r w:rsidR="00315385" w:rsidRPr="00315385">
          <w:rPr>
            <w:rStyle w:val="Hyperlink"/>
            <w:rFonts w:eastAsiaTheme="majorEastAsia"/>
            <w:i/>
            <w:noProof/>
            <w:webHidden/>
            <w:color w:val="31849B" w:themeColor="accent5" w:themeShade="BF"/>
            <w:sz w:val="20"/>
            <w:szCs w:val="22"/>
            <w:lang w:val="sq-AL"/>
          </w:rPr>
          <w:fldChar w:fldCharType="end"/>
        </w:r>
      </w:hyperlink>
    </w:p>
    <w:p w:rsidR="00315385" w:rsidRPr="00315385" w:rsidRDefault="00555461">
      <w:pPr>
        <w:pStyle w:val="TableofFigures"/>
        <w:tabs>
          <w:tab w:val="right" w:leader="dot" w:pos="9623"/>
        </w:tabs>
        <w:rPr>
          <w:rStyle w:val="Hyperlink"/>
          <w:rFonts w:eastAsiaTheme="majorEastAsia"/>
          <w:i/>
          <w:noProof/>
          <w:color w:val="31849B" w:themeColor="accent5" w:themeShade="BF"/>
          <w:sz w:val="20"/>
          <w:lang w:val="sq-AL"/>
        </w:rPr>
      </w:pPr>
      <w:hyperlink w:anchor="_Toc44404488" w:history="1">
        <w:r w:rsidR="00315385" w:rsidRPr="00315385">
          <w:rPr>
            <w:rStyle w:val="Hyperlink"/>
            <w:rFonts w:eastAsiaTheme="majorEastAsia"/>
            <w:i/>
            <w:noProof/>
            <w:color w:val="31849B" w:themeColor="accent5" w:themeShade="BF"/>
            <w:sz w:val="20"/>
            <w:szCs w:val="22"/>
            <w:lang w:val="sq-AL"/>
          </w:rPr>
          <w:t>Grafiku 48: Ndryshimi vjetor i Inflacionit, në përqindje</w:t>
        </w:r>
        <w:r w:rsidR="00315385" w:rsidRPr="00315385">
          <w:rPr>
            <w:rStyle w:val="Hyperlink"/>
            <w:rFonts w:eastAsiaTheme="majorEastAsia"/>
            <w:i/>
            <w:noProof/>
            <w:webHidden/>
            <w:color w:val="31849B" w:themeColor="accent5" w:themeShade="BF"/>
            <w:sz w:val="20"/>
            <w:szCs w:val="22"/>
            <w:lang w:val="sq-AL"/>
          </w:rPr>
          <w:tab/>
        </w:r>
        <w:r w:rsidR="00315385" w:rsidRPr="00315385">
          <w:rPr>
            <w:rStyle w:val="Hyperlink"/>
            <w:rFonts w:eastAsiaTheme="majorEastAsia"/>
            <w:i/>
            <w:noProof/>
            <w:webHidden/>
            <w:color w:val="31849B" w:themeColor="accent5" w:themeShade="BF"/>
            <w:sz w:val="20"/>
            <w:szCs w:val="22"/>
            <w:lang w:val="sq-AL"/>
          </w:rPr>
          <w:fldChar w:fldCharType="begin"/>
        </w:r>
        <w:r w:rsidR="00315385" w:rsidRPr="00315385">
          <w:rPr>
            <w:rStyle w:val="Hyperlink"/>
            <w:rFonts w:eastAsiaTheme="majorEastAsia"/>
            <w:i/>
            <w:noProof/>
            <w:webHidden/>
            <w:color w:val="31849B" w:themeColor="accent5" w:themeShade="BF"/>
            <w:sz w:val="20"/>
            <w:szCs w:val="22"/>
            <w:lang w:val="sq-AL"/>
          </w:rPr>
          <w:instrText xml:space="preserve"> PAGEREF _Toc44404488 \h </w:instrText>
        </w:r>
        <w:r w:rsidR="00315385" w:rsidRPr="00315385">
          <w:rPr>
            <w:rStyle w:val="Hyperlink"/>
            <w:rFonts w:eastAsiaTheme="majorEastAsia"/>
            <w:i/>
            <w:noProof/>
            <w:webHidden/>
            <w:color w:val="31849B" w:themeColor="accent5" w:themeShade="BF"/>
            <w:sz w:val="20"/>
            <w:szCs w:val="22"/>
            <w:lang w:val="sq-AL"/>
          </w:rPr>
        </w:r>
        <w:r w:rsidR="00315385" w:rsidRPr="00315385">
          <w:rPr>
            <w:rStyle w:val="Hyperlink"/>
            <w:rFonts w:eastAsiaTheme="majorEastAsia"/>
            <w:i/>
            <w:noProof/>
            <w:webHidden/>
            <w:color w:val="31849B" w:themeColor="accent5" w:themeShade="BF"/>
            <w:sz w:val="20"/>
            <w:szCs w:val="22"/>
            <w:lang w:val="sq-AL"/>
          </w:rPr>
          <w:fldChar w:fldCharType="separate"/>
        </w:r>
        <w:r w:rsidR="00C342E2">
          <w:rPr>
            <w:rStyle w:val="Hyperlink"/>
            <w:rFonts w:eastAsiaTheme="majorEastAsia"/>
            <w:i/>
            <w:noProof/>
            <w:webHidden/>
            <w:color w:val="31849B" w:themeColor="accent5" w:themeShade="BF"/>
            <w:sz w:val="20"/>
            <w:szCs w:val="22"/>
            <w:lang w:val="sq-AL"/>
          </w:rPr>
          <w:t>52</w:t>
        </w:r>
        <w:r w:rsidR="00315385" w:rsidRPr="00315385">
          <w:rPr>
            <w:rStyle w:val="Hyperlink"/>
            <w:rFonts w:eastAsiaTheme="majorEastAsia"/>
            <w:i/>
            <w:noProof/>
            <w:webHidden/>
            <w:color w:val="31849B" w:themeColor="accent5" w:themeShade="BF"/>
            <w:sz w:val="20"/>
            <w:szCs w:val="22"/>
            <w:lang w:val="sq-AL"/>
          </w:rPr>
          <w:fldChar w:fldCharType="end"/>
        </w:r>
      </w:hyperlink>
    </w:p>
    <w:p w:rsidR="00315385" w:rsidRDefault="00555461">
      <w:pPr>
        <w:pStyle w:val="TableofFigures"/>
        <w:tabs>
          <w:tab w:val="right" w:leader="dot" w:pos="9623"/>
        </w:tabs>
        <w:rPr>
          <w:rFonts w:asciiTheme="minorHAnsi" w:eastAsiaTheme="minorEastAsia" w:hAnsiTheme="minorHAnsi" w:cstheme="minorBidi"/>
          <w:noProof/>
          <w:sz w:val="22"/>
          <w:szCs w:val="22"/>
        </w:rPr>
      </w:pPr>
      <w:hyperlink w:anchor="_Toc44404489" w:history="1">
        <w:r w:rsidR="00315385" w:rsidRPr="00315385">
          <w:rPr>
            <w:rStyle w:val="Hyperlink"/>
            <w:rFonts w:eastAsiaTheme="majorEastAsia"/>
            <w:i/>
            <w:noProof/>
            <w:color w:val="31849B" w:themeColor="accent5" w:themeShade="BF"/>
            <w:sz w:val="20"/>
            <w:szCs w:val="22"/>
            <w:lang w:val="sq-AL"/>
          </w:rPr>
          <w:t>Grafiku 49: Ecuria e stokut të depozitave 2019-2020, në përqindje</w:t>
        </w:r>
        <w:r w:rsidR="00315385" w:rsidRPr="00315385">
          <w:rPr>
            <w:rStyle w:val="Hyperlink"/>
            <w:rFonts w:eastAsiaTheme="majorEastAsia"/>
            <w:i/>
            <w:noProof/>
            <w:webHidden/>
            <w:color w:val="31849B" w:themeColor="accent5" w:themeShade="BF"/>
            <w:sz w:val="20"/>
            <w:szCs w:val="22"/>
            <w:lang w:val="sq-AL"/>
          </w:rPr>
          <w:tab/>
        </w:r>
        <w:r w:rsidR="00315385" w:rsidRPr="00315385">
          <w:rPr>
            <w:rStyle w:val="Hyperlink"/>
            <w:rFonts w:eastAsiaTheme="majorEastAsia"/>
            <w:i/>
            <w:noProof/>
            <w:webHidden/>
            <w:color w:val="31849B" w:themeColor="accent5" w:themeShade="BF"/>
            <w:sz w:val="20"/>
            <w:szCs w:val="22"/>
            <w:lang w:val="sq-AL"/>
          </w:rPr>
          <w:fldChar w:fldCharType="begin"/>
        </w:r>
        <w:r w:rsidR="00315385" w:rsidRPr="00315385">
          <w:rPr>
            <w:rStyle w:val="Hyperlink"/>
            <w:rFonts w:eastAsiaTheme="majorEastAsia"/>
            <w:i/>
            <w:noProof/>
            <w:webHidden/>
            <w:color w:val="31849B" w:themeColor="accent5" w:themeShade="BF"/>
            <w:sz w:val="20"/>
            <w:szCs w:val="22"/>
            <w:lang w:val="sq-AL"/>
          </w:rPr>
          <w:instrText xml:space="preserve"> PAGEREF _Toc44404489 \h </w:instrText>
        </w:r>
        <w:r w:rsidR="00315385" w:rsidRPr="00315385">
          <w:rPr>
            <w:rStyle w:val="Hyperlink"/>
            <w:rFonts w:eastAsiaTheme="majorEastAsia"/>
            <w:i/>
            <w:noProof/>
            <w:webHidden/>
            <w:color w:val="31849B" w:themeColor="accent5" w:themeShade="BF"/>
            <w:sz w:val="20"/>
            <w:szCs w:val="22"/>
            <w:lang w:val="sq-AL"/>
          </w:rPr>
        </w:r>
        <w:r w:rsidR="00315385" w:rsidRPr="00315385">
          <w:rPr>
            <w:rStyle w:val="Hyperlink"/>
            <w:rFonts w:eastAsiaTheme="majorEastAsia"/>
            <w:i/>
            <w:noProof/>
            <w:webHidden/>
            <w:color w:val="31849B" w:themeColor="accent5" w:themeShade="BF"/>
            <w:sz w:val="20"/>
            <w:szCs w:val="22"/>
            <w:lang w:val="sq-AL"/>
          </w:rPr>
          <w:fldChar w:fldCharType="separate"/>
        </w:r>
        <w:r w:rsidR="00C342E2">
          <w:rPr>
            <w:rStyle w:val="Hyperlink"/>
            <w:rFonts w:eastAsiaTheme="majorEastAsia"/>
            <w:i/>
            <w:noProof/>
            <w:webHidden/>
            <w:color w:val="31849B" w:themeColor="accent5" w:themeShade="BF"/>
            <w:sz w:val="20"/>
            <w:szCs w:val="22"/>
            <w:lang w:val="sq-AL"/>
          </w:rPr>
          <w:t>53</w:t>
        </w:r>
        <w:r w:rsidR="00315385" w:rsidRPr="00315385">
          <w:rPr>
            <w:rStyle w:val="Hyperlink"/>
            <w:rFonts w:eastAsiaTheme="majorEastAsia"/>
            <w:i/>
            <w:noProof/>
            <w:webHidden/>
            <w:color w:val="31849B" w:themeColor="accent5" w:themeShade="BF"/>
            <w:sz w:val="20"/>
            <w:szCs w:val="22"/>
            <w:lang w:val="sq-AL"/>
          </w:rPr>
          <w:fldChar w:fldCharType="end"/>
        </w:r>
      </w:hyperlink>
    </w:p>
    <w:p w:rsidR="007A09E2" w:rsidRPr="00524EBF" w:rsidRDefault="005D4A49" w:rsidP="00A82857">
      <w:pPr>
        <w:pStyle w:val="TableofFigures"/>
        <w:tabs>
          <w:tab w:val="right" w:leader="dot" w:pos="9620"/>
        </w:tabs>
        <w:rPr>
          <w:rStyle w:val="Hyperlink"/>
          <w:rFonts w:eastAsiaTheme="majorEastAsia"/>
          <w:i/>
          <w:noProof/>
          <w:color w:val="31849B" w:themeColor="accent5" w:themeShade="BF"/>
          <w:sz w:val="20"/>
          <w:szCs w:val="22"/>
          <w:lang w:val="sq-AL"/>
        </w:rPr>
        <w:sectPr w:rsidR="007A09E2" w:rsidRPr="00524EBF" w:rsidSect="007A09E2">
          <w:headerReference w:type="first" r:id="rId11"/>
          <w:pgSz w:w="11907" w:h="16839" w:code="9"/>
          <w:pgMar w:top="851" w:right="1106" w:bottom="737" w:left="1168" w:header="720" w:footer="720" w:gutter="0"/>
          <w:cols w:space="720"/>
          <w:titlePg/>
          <w:docGrid w:linePitch="360"/>
        </w:sectPr>
      </w:pPr>
      <w:r w:rsidRPr="00524EBF">
        <w:rPr>
          <w:rStyle w:val="Hyperlink"/>
          <w:rFonts w:eastAsiaTheme="majorEastAsia"/>
          <w:i/>
          <w:noProof/>
          <w:color w:val="31849B" w:themeColor="accent5" w:themeShade="BF"/>
          <w:sz w:val="20"/>
          <w:szCs w:val="22"/>
          <w:lang w:val="sq-AL"/>
        </w:rPr>
        <w:fldChar w:fldCharType="end"/>
      </w:r>
    </w:p>
    <w:p w:rsidR="00685257" w:rsidRPr="0065598A" w:rsidRDefault="00685257" w:rsidP="00B95810">
      <w:pPr>
        <w:pStyle w:val="Heading1"/>
        <w:numPr>
          <w:ilvl w:val="0"/>
          <w:numId w:val="1"/>
        </w:numPr>
        <w:spacing w:before="0"/>
        <w:ind w:left="720"/>
        <w:rPr>
          <w:sz w:val="32"/>
          <w:u w:val="none"/>
        </w:rPr>
      </w:pPr>
      <w:bookmarkStart w:id="3" w:name="_Toc44403602"/>
      <w:r w:rsidRPr="0065598A">
        <w:rPr>
          <w:sz w:val="32"/>
          <w:u w:val="none"/>
        </w:rPr>
        <w:lastRenderedPageBreak/>
        <w:t>ZHVILLIMET NË EKONOMINË SHQIPTARE</w:t>
      </w:r>
      <w:bookmarkEnd w:id="3"/>
    </w:p>
    <w:p w:rsidR="000F540A" w:rsidRPr="0065598A" w:rsidRDefault="009216BE" w:rsidP="002334F6">
      <w:pPr>
        <w:pStyle w:val="Heading2"/>
      </w:pPr>
      <w:bookmarkStart w:id="4" w:name="_Toc44403603"/>
      <w:r w:rsidRPr="0065598A">
        <w:t>I.1</w:t>
      </w:r>
      <w:r w:rsidRPr="0065598A">
        <w:tab/>
      </w:r>
      <w:r w:rsidR="0094558D" w:rsidRPr="0065598A">
        <w:t>Ecuria e treguesve makroekonomikë</w:t>
      </w:r>
      <w:r w:rsidR="00DD1580" w:rsidRPr="0065598A">
        <w:t xml:space="preserve"> p</w:t>
      </w:r>
      <w:r w:rsidR="00AA2D73" w:rsidRPr="0065598A">
        <w:t>ë</w:t>
      </w:r>
      <w:r w:rsidR="00DD1580" w:rsidRPr="0065598A">
        <w:t>r periudh</w:t>
      </w:r>
      <w:r w:rsidR="00AA2D73" w:rsidRPr="0065598A">
        <w:t>ë</w:t>
      </w:r>
      <w:r w:rsidR="00DD1580" w:rsidRPr="0065598A">
        <w:t>n janar-</w:t>
      </w:r>
      <w:r w:rsidR="00D90476" w:rsidRPr="0065598A">
        <w:t>maj</w:t>
      </w:r>
      <w:r w:rsidR="00971C15" w:rsidRPr="0065598A">
        <w:rPr>
          <w:rStyle w:val="FootnoteReference"/>
        </w:rPr>
        <w:footnoteReference w:id="1"/>
      </w:r>
      <w:r w:rsidR="00DD1580" w:rsidRPr="0065598A">
        <w:t xml:space="preserve"> 20</w:t>
      </w:r>
      <w:r w:rsidR="008507F6" w:rsidRPr="0065598A">
        <w:t>20</w:t>
      </w:r>
      <w:bookmarkEnd w:id="4"/>
      <w:r w:rsidR="00685257" w:rsidRPr="0065598A">
        <w:t xml:space="preserve"> </w:t>
      </w:r>
    </w:p>
    <w:p w:rsidR="001F417D" w:rsidRPr="0065598A" w:rsidRDefault="001F417D" w:rsidP="001F417D">
      <w:pPr>
        <w:spacing w:before="240" w:after="120" w:line="276" w:lineRule="auto"/>
        <w:jc w:val="both"/>
        <w:rPr>
          <w:rFonts w:ascii="Calibri" w:hAnsi="Calibri"/>
          <w:noProof/>
          <w:lang w:val="sq-AL"/>
        </w:rPr>
      </w:pPr>
      <w:r w:rsidRPr="0065598A">
        <w:rPr>
          <w:rFonts w:ascii="Calibri" w:hAnsi="Calibri"/>
          <w:noProof/>
          <w:lang w:val="sq-AL"/>
        </w:rPr>
        <w:t xml:space="preserve">Në fillim të vitit 2020, e gjithë bota u përball me shpërthimin e pandemisë Covid-19. Në Shqipëri, COVID-19 u shfaq në fillim të muajit Mars dhe më 11 Mars Qeveria vendosi kufizime lëvizshmërie për të parandaluar përhapjen e mëtejshme. Shqipëria është veçanërisht e ekspozuar ndaj efekteve negative në ekonomi prej pandemisë për shkak se mbështetet fort nga sektori i turizmit dhe për shkak të marrëdhënieve të saj intensive me disa ekonomi të BE të prekura rëndë nga pandemia. </w:t>
      </w:r>
    </w:p>
    <w:p w:rsidR="001F417D" w:rsidRPr="0065598A" w:rsidRDefault="001F417D" w:rsidP="001F417D">
      <w:pPr>
        <w:spacing w:before="240" w:after="120" w:line="276" w:lineRule="auto"/>
        <w:jc w:val="both"/>
        <w:rPr>
          <w:rFonts w:ascii="Calibri" w:hAnsi="Calibri"/>
          <w:noProof/>
          <w:lang w:val="sq-AL"/>
        </w:rPr>
      </w:pPr>
      <w:r w:rsidRPr="0065598A">
        <w:rPr>
          <w:rFonts w:ascii="Calibri" w:hAnsi="Calibri"/>
          <w:noProof/>
          <w:lang w:val="sq-AL"/>
        </w:rPr>
        <w:t xml:space="preserve">Ngadalësimi i normës së PBB-së nuk pati ndikim në tregun e punës përgjatë vitit 2019, ndërsa për vitin aktual, situata duket se do nuk do të jetë aq e favorshme. Pёr tremujorin e parё tё 2020, shkalla zyrtare e papunёsisё pёr grup-moshёn 15 vjeç e lart shënoi vlerёn 11.4%, një rritje e lehtë prej 0.2% krahasuar me një tremujor me parë. Numri i tё punёsuarve pёr tremujorin e parё 2020 u rrit me 0.74% nё terma vjetor pёr grup-moshёn 15-64 vjeç. Të njëjtin trend rritёs e ka vijuar edhe shkalla e punёsimit duke arritur vlerёn 61.4% pёr grupmoshёn 15-64 vjeç, duke qëndruar pranë mesatares mё tё lartё pёr tё paktёn dymbёdhjetё vitet e fundit. </w:t>
      </w:r>
    </w:p>
    <w:p w:rsidR="001F417D" w:rsidRPr="0065598A" w:rsidRDefault="001F417D" w:rsidP="001F417D">
      <w:pPr>
        <w:spacing w:before="240" w:after="120" w:line="276" w:lineRule="auto"/>
        <w:jc w:val="both"/>
        <w:rPr>
          <w:rFonts w:ascii="Calibri" w:hAnsi="Calibri"/>
          <w:noProof/>
          <w:lang w:val="sq-AL"/>
        </w:rPr>
      </w:pPr>
      <w:r w:rsidRPr="0065598A">
        <w:rPr>
          <w:rFonts w:ascii="Calibri" w:hAnsi="Calibri"/>
          <w:noProof/>
          <w:lang w:val="sq-AL"/>
        </w:rPr>
        <w:t>Një tjetër tregues i rëndësishëm që jep sinjale mbi rritjen ekonomike është treguesi i ndjesisë ekonomike (TNE) që në përputhje me metodologjinë, rezultatet e vrojtimeve të besimit për tremujorin e parë të vitit 2020 i takojnë informacionit të marrë në periudhën 1 – 10 mars, para se pandemia COVID-19 të prekte Shqipërinë dhe qeveria të shpallte masat parandaluese ndaj përhapjes së saj. Për këtë arsye, treguesit e besimit, e më në veçanti në sektorin e shërbimeve, nuk reflektojnë ndikimin negativ të pandemisë në ekonomi. Treguesi i ndjesisë ekonomike (TNE) shënoi nivelin 103.3 në T1-2020 duke pësuar një rritje prej 8.5 pikësh nga tremujori i kaluar dhe një rënie me 2.1 pikë përqindje në krahasim me T1-2019. Niveli aktual i TNE-së qëndron 3.3 pikë mbi mesataren afatgjatë, dhe rreth 0.1 pikë përqindje nën mesataren e 6 viteve të fundit. Rritja e nivelit të TNE-së i atribuohet vetëm përmirësimit të besimit në sektorin e shërbimeve. Besimi në sektorin e tregtisë rezultoi pothuajse i njëjtë me një tremujor më parë, ndërkohë që besimi në sektorët e industrisë, ndërtimit dhe besimi konsumator, shënoi rënie.</w:t>
      </w:r>
    </w:p>
    <w:p w:rsidR="001F417D" w:rsidRPr="0065598A" w:rsidRDefault="001F417D" w:rsidP="001F417D">
      <w:pPr>
        <w:spacing w:before="240" w:after="120" w:line="276" w:lineRule="auto"/>
        <w:jc w:val="both"/>
        <w:rPr>
          <w:rFonts w:ascii="Calibri" w:hAnsi="Calibri"/>
          <w:noProof/>
          <w:lang w:val="sq-AL"/>
        </w:rPr>
      </w:pPr>
      <w:r w:rsidRPr="0065598A">
        <w:rPr>
          <w:rFonts w:ascii="Calibri" w:hAnsi="Calibri"/>
          <w:noProof/>
          <w:lang w:val="sq-AL"/>
        </w:rPr>
        <w:t>Eksportet e mallrave për periudhën janar - maj 2020 shënuan rënie prej -19.4% krahasuar me të njëjtën periudhë të një viti më parë, gjithashtu importet e mallrave shënuan rёnie prej -17.1%. Këto zhvillime në tregtinë e jashtme tё mallrave janë reflektuar dhe tek deficiti tregtar, i cili për periudhën janar-maj 2020 ёshtё përmirësuar me rreth 14.9% krahasuar me të njëjtën periudhë të një viti më parë. Ndërsa, norma e mbulimit të eksporteve ndaj importeve për këtë periudhë është 46.6%.</w:t>
      </w:r>
    </w:p>
    <w:p w:rsidR="001F417D" w:rsidRPr="0065598A" w:rsidRDefault="001F417D" w:rsidP="001F417D">
      <w:pPr>
        <w:spacing w:before="240" w:after="120" w:line="276" w:lineRule="auto"/>
        <w:jc w:val="both"/>
        <w:rPr>
          <w:rFonts w:ascii="Calibri" w:hAnsi="Calibri"/>
          <w:noProof/>
          <w:lang w:val="sq-AL"/>
        </w:rPr>
      </w:pPr>
      <w:r w:rsidRPr="0065598A">
        <w:rPr>
          <w:rFonts w:ascii="Calibri" w:hAnsi="Calibri"/>
          <w:noProof/>
          <w:lang w:val="sq-AL"/>
        </w:rPr>
        <w:t xml:space="preserve">Inflacioni mesatar për periudhën janar-maj 2020 ishte +1.8%, nga +1.5% që rezultonte një vit më parë gjatë së njëjtës periudhë. Pёrgjatё kёsaj periudhe, nga tërësia e mallrave dhe shërbimeve që përbëjnë shportën e konsumit, kontributin dhe rritjen vjetore mё tё lartё nё inflacionin e pёrgjithshёm e ka pasur zёri i ushqimeve dhe pijeve jo alkolike. </w:t>
      </w:r>
    </w:p>
    <w:p w:rsidR="001F417D" w:rsidRPr="0065598A" w:rsidRDefault="001F417D" w:rsidP="001F417D">
      <w:pPr>
        <w:spacing w:before="240" w:after="120" w:line="276" w:lineRule="auto"/>
        <w:jc w:val="both"/>
        <w:rPr>
          <w:rFonts w:ascii="Calibri" w:hAnsi="Calibri"/>
          <w:noProof/>
          <w:lang w:val="sq-AL"/>
        </w:rPr>
      </w:pPr>
      <w:r w:rsidRPr="0065598A">
        <w:rPr>
          <w:rFonts w:ascii="Calibri" w:hAnsi="Calibri"/>
          <w:noProof/>
          <w:lang w:val="sq-AL"/>
        </w:rPr>
        <w:lastRenderedPageBreak/>
        <w:t>Gjatë muajit prill të vitit 2020, stoku total i kredive bankare pati një rritje me 5.9% krahasuar me muajin prill të vitit 2019. Stoku i kredive në lekë shënoi një rritje prej 8.5%, ndërsa ai në valutë rritje prej 3.4%, krahasuar me muajin prill të vitit të kaluar. Stoku i kredive akorduar individëve deri në muajin prill të vitit 2020, ka shënuar rritje prej 6.4%, krahasuar me prillin e vitit 2019, duke kontribuar pozitivisht në ndryshimin e stokut total të kredisë me 2.2 pikë përqindje. Në prill 2020 rezulton se rreth 51.4% e totalit të stokut të kredive përbëhet nga kreditë në Lekë, ndërsa pjesa tjetër prej 48.6% përbëhet nga kreditë në valutë.</w:t>
      </w:r>
    </w:p>
    <w:p w:rsidR="001F417D" w:rsidRPr="0065598A" w:rsidRDefault="001F417D" w:rsidP="00BB2E36">
      <w:pPr>
        <w:spacing w:after="120" w:line="276" w:lineRule="auto"/>
        <w:jc w:val="both"/>
        <w:rPr>
          <w:rFonts w:ascii="Calibri" w:hAnsi="Calibri"/>
          <w:noProof/>
          <w:lang w:val="sq-AL"/>
        </w:rPr>
      </w:pPr>
      <w:r w:rsidRPr="0065598A">
        <w:rPr>
          <w:rFonts w:ascii="Calibri" w:hAnsi="Calibri"/>
          <w:noProof/>
          <w:lang w:val="sq-AL"/>
        </w:rPr>
        <w:t>Stoku total i depozitave bankare, gjatë muajit prill të vitit 2020, ka shënuar rritje me 4.3% krahasuar me njё vit mё parё. Stoku total i depozitave në Lekë pësoi rritje me 5.1%, ndërsa ai në valutë është rritur me 3.7% krahasuar me të njëjtin muaj të vitit 2019. Në prill 2020 rezulton se rreth 46.3% e totalit të stokut të depozitave përbëhet nga depozitat në Lekë, ndërsa pjesa tjetër prej 53.7% përbëhet nga depozitimet në valutë të huaj.</w:t>
      </w:r>
    </w:p>
    <w:p w:rsidR="001F417D" w:rsidRPr="0065598A" w:rsidRDefault="001F417D" w:rsidP="00BB2E36">
      <w:pPr>
        <w:spacing w:after="120" w:line="276" w:lineRule="auto"/>
        <w:jc w:val="both"/>
        <w:rPr>
          <w:rFonts w:ascii="Calibri" w:hAnsi="Calibri" w:cs="Futura Std Light"/>
          <w:lang w:val="sq-AL"/>
        </w:rPr>
      </w:pPr>
      <w:r w:rsidRPr="0065598A">
        <w:rPr>
          <w:rFonts w:ascii="Calibri" w:hAnsi="Calibri"/>
          <w:noProof/>
          <w:lang w:val="sq-AL"/>
        </w:rPr>
        <w:t>Kursi mesatar i kёmbimit i monedhёs vendase ndaj Euros rezultoi mesatarisht 123.6 lekë/euro në pesёmujorin e parë të vitit 2020, duke pёsuar rёnie nga 124.3 lekё/euro qё shёnonte pёr tё njёjtёn periudhё tё njё viti mё parё. Nё terma vjetor, ecuria e euros nё tregun vendas ka reflektuar mbiçmim tё lekut prej 5.6% pёrgjatё Janar-Maj 2020. Kursi mesatar i kёmbimit i monedhёs vendase ndaj Dollarit Amerikan rezultoi mesatarisht 112.7 lekë/usd në pesёmujorin e parë të vitit 2020, duke shёnuar rritje nga 109.9 lekë/usd që shënonte pёr tё njёjtёn periudhё tё njё viti mё parё. Nё terma vjetor, ecuria e dollarit amerikan nё tregun ka reflektuar nёncmim tё lekut prej 2.5% pёrgjatё pesёmujorit tё parё 2020.</w:t>
      </w:r>
      <w:r w:rsidRPr="0065598A">
        <w:rPr>
          <w:rFonts w:ascii="Calibri" w:hAnsi="Calibri" w:cs="Futura Std Light"/>
          <w:lang w:val="sq-AL"/>
        </w:rPr>
        <w:t xml:space="preserve"> </w:t>
      </w:r>
    </w:p>
    <w:p w:rsidR="00F720EE" w:rsidRPr="0065598A" w:rsidRDefault="00F720EE" w:rsidP="008507F6">
      <w:pPr>
        <w:spacing w:before="240" w:after="120" w:line="276" w:lineRule="auto"/>
        <w:jc w:val="both"/>
        <w:rPr>
          <w:rFonts w:ascii="Calibri" w:hAnsi="Calibri"/>
          <w:noProof/>
          <w:sz w:val="4"/>
          <w:lang w:val="sq-AL"/>
        </w:rPr>
      </w:pPr>
    </w:p>
    <w:p w:rsidR="009216BE" w:rsidRPr="0065598A" w:rsidRDefault="009216BE" w:rsidP="002334F6">
      <w:pPr>
        <w:pStyle w:val="Heading2"/>
      </w:pPr>
      <w:bookmarkStart w:id="5" w:name="_Toc44403604"/>
      <w:r w:rsidRPr="0065598A">
        <w:t>I.2</w:t>
      </w:r>
      <w:r w:rsidRPr="0065598A">
        <w:tab/>
      </w:r>
      <w:r w:rsidR="00BD7B2B" w:rsidRPr="0065598A">
        <w:t>Pritshmëritë e treguesve makroekonomikë deri n</w:t>
      </w:r>
      <w:r w:rsidR="00AA2D73" w:rsidRPr="0065598A">
        <w:t>ë</w:t>
      </w:r>
      <w:r w:rsidR="00BD7B2B" w:rsidRPr="0065598A">
        <w:t xml:space="preserve"> fund t</w:t>
      </w:r>
      <w:r w:rsidR="00AA2D73" w:rsidRPr="0065598A">
        <w:t>ë</w:t>
      </w:r>
      <w:r w:rsidR="00BD7B2B" w:rsidRPr="0065598A">
        <w:t xml:space="preserve"> vitit 20</w:t>
      </w:r>
      <w:r w:rsidR="008507F6" w:rsidRPr="0065598A">
        <w:t>20</w:t>
      </w:r>
      <w:bookmarkEnd w:id="5"/>
    </w:p>
    <w:p w:rsidR="001F417D" w:rsidRPr="0065598A" w:rsidRDefault="001F417D" w:rsidP="001F417D">
      <w:pPr>
        <w:spacing w:before="120" w:after="120" w:line="276" w:lineRule="auto"/>
        <w:jc w:val="both"/>
        <w:rPr>
          <w:rFonts w:ascii="Calibri" w:hAnsi="Calibri"/>
          <w:lang w:val="sq-AL"/>
        </w:rPr>
      </w:pPr>
      <w:r w:rsidRPr="0065598A">
        <w:rPr>
          <w:rFonts w:ascii="Calibri" w:hAnsi="Calibri"/>
          <w:lang w:val="sq-AL"/>
        </w:rPr>
        <w:t>Parashikimet kuantitative për impaktin negativ të COVID-19 në ekonomi, deri më tani, mbeten të rrethuara ng</w:t>
      </w:r>
      <w:r w:rsidR="007F224E">
        <w:rPr>
          <w:rFonts w:ascii="Calibri" w:hAnsi="Calibri"/>
          <w:lang w:val="sq-AL"/>
        </w:rPr>
        <w:t xml:space="preserve">a një marzh i lartë paqartësie. </w:t>
      </w:r>
      <w:r w:rsidRPr="0065598A">
        <w:rPr>
          <w:rFonts w:ascii="Calibri" w:hAnsi="Calibri"/>
          <w:lang w:val="sq-AL"/>
        </w:rPr>
        <w:t xml:space="preserve">Pritet që impaktin më të lartë negativ ta kenë aktivitetet ekonomike që lidhen me sektorët e turizmit, transportit dhe tregtisë. Po gjithashtu pritet të preken konsiderueshëm edhe sektorët e industrisë përpunuese, industrisë nxjerrëse, shërbimeve të tjera dhe ndërtimit. Mundet që njëkohësisht disa sektorë të tjerë të kenë një impakt neto pozitiv, si p.sh. sektori i bujqësisë, kryesisht për shkak të efektit të zëvendësimit të mallrave të importit me ato të prodhuara në vend. </w:t>
      </w:r>
    </w:p>
    <w:p w:rsidR="001F417D" w:rsidRPr="0065598A" w:rsidRDefault="001F417D" w:rsidP="001F417D">
      <w:pPr>
        <w:spacing w:before="120" w:after="120" w:line="276" w:lineRule="auto"/>
        <w:jc w:val="both"/>
        <w:rPr>
          <w:rFonts w:ascii="Calibri" w:hAnsi="Calibri"/>
          <w:lang w:val="sq-AL"/>
        </w:rPr>
      </w:pPr>
      <w:r w:rsidRPr="0065598A">
        <w:rPr>
          <w:rFonts w:ascii="Calibri" w:hAnsi="Calibri"/>
          <w:lang w:val="sq-AL"/>
        </w:rPr>
        <w:t>Ndërkohë nga pikëpamja e kërkesës agregate, impakti më i lartë negativ pritet në eksportet totale, sidomos ato të shërbimeve, dhe në konsumin  final, por gjithashtu edhe investimet totale pritet të kenë një impakt negativ, ndonëse më të zbutur se sa dy komponentët e parë. Ndërsa, tkurrja në të njëjtën kohë e importeve, si të mallrave ashtu edhe të shërbimeve, pritet të zbusë në një masë të caktuar efektin neto negativ në rritjen reale të PBB.</w:t>
      </w:r>
    </w:p>
    <w:p w:rsidR="00F720EE" w:rsidRDefault="001F417D" w:rsidP="00BB2E36">
      <w:pPr>
        <w:spacing w:before="120" w:line="276" w:lineRule="auto"/>
        <w:jc w:val="both"/>
        <w:rPr>
          <w:rFonts w:ascii="Calibri" w:hAnsi="Calibri"/>
          <w:lang w:val="sq-AL"/>
        </w:rPr>
      </w:pPr>
      <w:r w:rsidRPr="0065598A">
        <w:rPr>
          <w:rFonts w:ascii="Calibri" w:hAnsi="Calibri"/>
          <w:lang w:val="sq-AL"/>
        </w:rPr>
        <w:t xml:space="preserve">Parashikimi i rritjes ekonomike, apo më saktë recensionit ekonomik për vitin 2020, si dhe të gjithë variablave të tjerë makroekonomikë, do të jetë subjekt rishikimesh në vijimësi të qartësimit të dinamikës së situatës. Pritet që vitin e ardhshëm (2021) ekonomia të rikthehet në ritmet pozitive të rritjes. Pёrgjatё periudhёs afatmesme,  rritja ekonomike pritet të gjenerohet kryesisht nga kërkesa e brendshme, si konsumi privat ashtu edhe investimet. Ndërkohë kërkesa e huaj neto (eksport – import) pritet të sjellë gjithashtu një efekt pozitiv, por marxhinal. </w:t>
      </w:r>
    </w:p>
    <w:p w:rsidR="00F720EE" w:rsidRDefault="001F417D" w:rsidP="001F417D">
      <w:pPr>
        <w:spacing w:before="120" w:after="120" w:line="276" w:lineRule="auto"/>
        <w:jc w:val="both"/>
        <w:rPr>
          <w:rFonts w:ascii="Calibri" w:hAnsi="Calibri"/>
          <w:lang w:val="sq-AL"/>
        </w:rPr>
      </w:pPr>
      <w:r w:rsidRPr="0065598A">
        <w:rPr>
          <w:rFonts w:ascii="Calibri" w:hAnsi="Calibri"/>
          <w:lang w:val="sq-AL"/>
        </w:rPr>
        <w:lastRenderedPageBreak/>
        <w:t xml:space="preserve">Konsumi privat pritet të nxitet kryesisht nga përmirësimi i besimit të konsumatorit, si dhe nga përmirësimet në tregun e punës. Këto të fundit pritet të transmetohen në një rritje graduale të pagave të cilat më tej pritet të stimulojnë të ardhurat reale të disponueshme të individëve, duke krijuar efektin e raundit të dytë në nxitjen e konsumit, si dhe duke intensifikuar prirjen e konsumatorëve për financimin e mëtejshëm të konsumit nëpërmjet një kredi-marrje më të lartë. </w:t>
      </w:r>
    </w:p>
    <w:p w:rsidR="001F417D" w:rsidRPr="0065598A" w:rsidRDefault="001F417D" w:rsidP="001F417D">
      <w:pPr>
        <w:spacing w:before="120" w:after="120" w:line="276" w:lineRule="auto"/>
        <w:jc w:val="both"/>
        <w:rPr>
          <w:rFonts w:ascii="Calibri" w:hAnsi="Calibri"/>
          <w:lang w:val="sq-AL"/>
        </w:rPr>
      </w:pPr>
      <w:r w:rsidRPr="0065598A">
        <w:rPr>
          <w:rFonts w:ascii="Calibri" w:hAnsi="Calibri"/>
          <w:lang w:val="sq-AL"/>
        </w:rPr>
        <w:t>Ndërkohë, kredimarrja për konsum parashikohet të nxitet si nga përmirësimi i kushteve financiare të individëve, ashtu edhe nga lehtësimi i pritshëm i standardeve të huadhënies nga sistemi bankar.</w:t>
      </w:r>
    </w:p>
    <w:p w:rsidR="001F417D" w:rsidRPr="0065598A" w:rsidRDefault="001F417D" w:rsidP="001F417D">
      <w:pPr>
        <w:spacing w:before="120" w:after="120" w:line="276" w:lineRule="auto"/>
        <w:jc w:val="both"/>
        <w:rPr>
          <w:rFonts w:ascii="Calibri" w:hAnsi="Calibri" w:cs="Futura Std Light"/>
          <w:lang w:val="sq-AL"/>
        </w:rPr>
      </w:pPr>
      <w:r w:rsidRPr="0065598A">
        <w:rPr>
          <w:rFonts w:ascii="Calibri" w:hAnsi="Calibri"/>
          <w:lang w:val="sq-AL"/>
        </w:rPr>
        <w:t>Performanca pozitive e ekonomisё pritet tё reflektohet edhe nё pёrmirёsimin e tregut tё punёs. Punësimi parashikohet të vijojё trendin rritёs tё periudhёs sё mёparshme, para goditjes nga pandemia, konform me trendin e pritshëm të aktivitetit ekonomik. Shkalla më e lartë e pjesëmarrjes në forcat e punës do të jetë gjeneruesi kryesor i rritjes së ofertës së punës. Ndërsa rritja e kërkesës për punë pritet të reflektojë pak a shumë të njëjtën strukturë të perspektivës së ofertës agregate të aktivitetit ekonomik. Rrjedhimisht pritet që shërbimet të kontribuojnë më shumë në rritjen e kërkesës për punë në krahasim me sektorët e tjerë të ekonomisë.</w:t>
      </w:r>
    </w:p>
    <w:p w:rsidR="00AB4E09" w:rsidRPr="00F720EE" w:rsidRDefault="00AB4E09" w:rsidP="00B95810">
      <w:pPr>
        <w:pStyle w:val="Heading1"/>
        <w:numPr>
          <w:ilvl w:val="0"/>
          <w:numId w:val="1"/>
        </w:numPr>
        <w:spacing w:line="276" w:lineRule="auto"/>
        <w:ind w:left="720"/>
        <w:rPr>
          <w:sz w:val="32"/>
          <w:u w:val="none"/>
        </w:rPr>
      </w:pPr>
      <w:bookmarkStart w:id="6" w:name="_Toc44403605"/>
      <w:r w:rsidRPr="00F720EE">
        <w:rPr>
          <w:sz w:val="32"/>
          <w:u w:val="none"/>
        </w:rPr>
        <w:t>POLITIKA FISKALE</w:t>
      </w:r>
      <w:bookmarkEnd w:id="6"/>
      <w:r w:rsidRPr="00F720EE">
        <w:rPr>
          <w:sz w:val="32"/>
          <w:u w:val="none"/>
        </w:rPr>
        <w:t xml:space="preserve"> </w:t>
      </w:r>
    </w:p>
    <w:p w:rsidR="00AB4E09" w:rsidRPr="0065598A" w:rsidRDefault="005F249C" w:rsidP="002334F6">
      <w:pPr>
        <w:pStyle w:val="Heading2"/>
      </w:pPr>
      <w:bookmarkStart w:id="7" w:name="_Toc44403606"/>
      <w:r w:rsidRPr="0065598A">
        <w:t>II.1</w:t>
      </w:r>
      <w:r w:rsidRPr="0065598A">
        <w:tab/>
      </w:r>
      <w:r w:rsidR="0094558D" w:rsidRPr="0065598A">
        <w:t xml:space="preserve">Performanca </w:t>
      </w:r>
      <w:r w:rsidR="00AB4E09" w:rsidRPr="0065598A">
        <w:t xml:space="preserve">fiskale </w:t>
      </w:r>
      <w:r w:rsidR="00E40045" w:rsidRPr="0065598A">
        <w:t>për periudhën janar-maj 20</w:t>
      </w:r>
      <w:r w:rsidR="00F720EE">
        <w:t>20</w:t>
      </w:r>
      <w:bookmarkEnd w:id="7"/>
    </w:p>
    <w:p w:rsidR="00F720EE" w:rsidRDefault="00F720EE" w:rsidP="00F720EE">
      <w:pPr>
        <w:spacing w:before="240" w:line="276" w:lineRule="auto"/>
        <w:jc w:val="both"/>
        <w:rPr>
          <w:rFonts w:asciiTheme="minorHAnsi" w:eastAsiaTheme="minorEastAsia" w:hAnsiTheme="minorHAnsi" w:cstheme="minorHAnsi"/>
          <w:noProof/>
          <w:lang w:val="sq-AL"/>
        </w:rPr>
      </w:pPr>
      <w:r w:rsidRPr="004E355C">
        <w:rPr>
          <w:rFonts w:asciiTheme="minorHAnsi" w:eastAsiaTheme="minorEastAsia" w:hAnsiTheme="minorHAnsi" w:cstheme="minorHAnsi"/>
          <w:b/>
          <w:lang w:val="sq-AL"/>
        </w:rPr>
        <w:t>Të ardhurat nga “Tatime dhe Dogana”</w:t>
      </w:r>
      <w:r w:rsidRPr="004E355C">
        <w:rPr>
          <w:rFonts w:asciiTheme="minorHAnsi" w:eastAsiaTheme="minorEastAsia" w:hAnsiTheme="minorHAnsi" w:cstheme="minorHAnsi"/>
          <w:lang w:val="sq-AL"/>
        </w:rPr>
        <w:t xml:space="preserve"> (përfshirë kontributet e mbledhura nga DPT)  për 5 mujorin 20</w:t>
      </w:r>
      <w:r>
        <w:rPr>
          <w:rFonts w:asciiTheme="minorHAnsi" w:eastAsiaTheme="minorEastAsia" w:hAnsiTheme="minorHAnsi" w:cstheme="minorHAnsi"/>
          <w:lang w:val="sq-AL"/>
        </w:rPr>
        <w:t>20</w:t>
      </w:r>
      <w:r w:rsidRPr="004E355C">
        <w:rPr>
          <w:rFonts w:asciiTheme="minorHAnsi" w:eastAsiaTheme="minorEastAsia" w:hAnsiTheme="minorHAnsi" w:cstheme="minorHAnsi"/>
          <w:lang w:val="sq-AL"/>
        </w:rPr>
        <w:t>, u realizuan në vlerën 1</w:t>
      </w:r>
      <w:r>
        <w:rPr>
          <w:rFonts w:asciiTheme="minorHAnsi" w:eastAsiaTheme="minorEastAsia" w:hAnsiTheme="minorHAnsi" w:cstheme="minorHAnsi"/>
          <w:lang w:val="sq-AL"/>
        </w:rPr>
        <w:t>41.7</w:t>
      </w:r>
      <w:r w:rsidRPr="004E355C">
        <w:rPr>
          <w:rFonts w:asciiTheme="minorHAnsi" w:eastAsiaTheme="minorEastAsia" w:hAnsiTheme="minorHAnsi" w:cstheme="minorHAnsi"/>
          <w:lang w:val="sq-AL"/>
        </w:rPr>
        <w:t xml:space="preserve"> miliardë lekë, </w:t>
      </w:r>
      <w:r>
        <w:rPr>
          <w:rFonts w:asciiTheme="minorHAnsi" w:eastAsiaTheme="minorEastAsia" w:hAnsiTheme="minorHAnsi" w:cstheme="minorHAnsi"/>
          <w:lang w:val="sq-AL"/>
        </w:rPr>
        <w:t>13.5</w:t>
      </w:r>
      <w:r w:rsidRPr="004E355C">
        <w:rPr>
          <w:rFonts w:asciiTheme="minorHAnsi" w:eastAsiaTheme="minorEastAsia" w:hAnsiTheme="minorHAnsi" w:cstheme="minorHAnsi"/>
          <w:lang w:val="sq-AL"/>
        </w:rPr>
        <w:t xml:space="preserve">% ose </w:t>
      </w:r>
      <w:r>
        <w:rPr>
          <w:rFonts w:asciiTheme="minorHAnsi" w:eastAsiaTheme="minorEastAsia" w:hAnsiTheme="minorHAnsi" w:cstheme="minorHAnsi"/>
          <w:lang w:val="sq-AL"/>
        </w:rPr>
        <w:t>21.7</w:t>
      </w:r>
      <w:r w:rsidRPr="004E355C">
        <w:rPr>
          <w:rFonts w:asciiTheme="minorHAnsi" w:eastAsiaTheme="minorEastAsia" w:hAnsiTheme="minorHAnsi" w:cstheme="minorHAnsi"/>
          <w:lang w:val="sq-AL"/>
        </w:rPr>
        <w:t xml:space="preserve"> miliardë lekë më </w:t>
      </w:r>
      <w:r>
        <w:rPr>
          <w:rFonts w:asciiTheme="minorHAnsi" w:eastAsiaTheme="minorEastAsia" w:hAnsiTheme="minorHAnsi" w:cstheme="minorHAnsi"/>
          <w:lang w:val="sq-AL"/>
        </w:rPr>
        <w:t>pak</w:t>
      </w:r>
      <w:r w:rsidRPr="004E355C">
        <w:rPr>
          <w:rFonts w:asciiTheme="minorHAnsi" w:eastAsiaTheme="minorEastAsia" w:hAnsiTheme="minorHAnsi" w:cstheme="minorHAnsi"/>
          <w:lang w:val="sq-AL"/>
        </w:rPr>
        <w:t xml:space="preserve"> se 5 mujori i vitit 201</w:t>
      </w:r>
      <w:r>
        <w:rPr>
          <w:rFonts w:asciiTheme="minorHAnsi" w:eastAsiaTheme="minorEastAsia" w:hAnsiTheme="minorHAnsi" w:cstheme="minorHAnsi"/>
          <w:lang w:val="sq-AL"/>
        </w:rPr>
        <w:t>9</w:t>
      </w:r>
      <w:r w:rsidRPr="004E355C">
        <w:rPr>
          <w:rFonts w:asciiTheme="minorHAnsi" w:eastAsiaTheme="minorEastAsia" w:hAnsiTheme="minorHAnsi" w:cstheme="minorHAnsi"/>
          <w:lang w:val="sq-AL"/>
        </w:rPr>
        <w:t xml:space="preserve"> dhe me realizim kundrejt planit të periudhës në masën 9</w:t>
      </w:r>
      <w:r>
        <w:rPr>
          <w:rFonts w:asciiTheme="minorHAnsi" w:eastAsiaTheme="minorEastAsia" w:hAnsiTheme="minorHAnsi" w:cstheme="minorHAnsi"/>
          <w:lang w:val="sq-AL"/>
        </w:rPr>
        <w:t>2.2</w:t>
      </w:r>
      <w:r w:rsidRPr="004E355C">
        <w:rPr>
          <w:rFonts w:asciiTheme="minorHAnsi" w:eastAsiaTheme="minorEastAsia" w:hAnsiTheme="minorHAnsi" w:cstheme="minorHAnsi"/>
          <w:lang w:val="sq-AL"/>
        </w:rPr>
        <w:t xml:space="preserve">% ose </w:t>
      </w:r>
      <w:r>
        <w:rPr>
          <w:rFonts w:asciiTheme="minorHAnsi" w:eastAsiaTheme="minorEastAsia" w:hAnsiTheme="minorHAnsi" w:cstheme="minorHAnsi"/>
          <w:lang w:val="sq-AL"/>
        </w:rPr>
        <w:t>12</w:t>
      </w:r>
      <w:r w:rsidRPr="004E355C">
        <w:rPr>
          <w:rFonts w:asciiTheme="minorHAnsi" w:eastAsiaTheme="minorEastAsia" w:hAnsiTheme="minorHAnsi" w:cstheme="minorHAnsi"/>
          <w:lang w:val="sq-AL"/>
        </w:rPr>
        <w:t xml:space="preserve"> miliardë lekë më pak. </w:t>
      </w:r>
      <w:r w:rsidRPr="00DD6D17">
        <w:rPr>
          <w:rFonts w:asciiTheme="minorHAnsi" w:hAnsiTheme="minorHAnsi" w:cstheme="minorHAnsi"/>
          <w:noProof/>
          <w:lang w:val="sq-AL"/>
        </w:rPr>
        <w:t>Rezultati negativ krahasuar me vitin e kaluar por krahasuar edhe me planin e vitit aktual, vjen si  impakt  i mbylljes s</w:t>
      </w:r>
      <w:r w:rsidRPr="00DD6D17">
        <w:rPr>
          <w:rFonts w:asciiTheme="minorHAnsi" w:eastAsiaTheme="minorEastAsia" w:hAnsiTheme="minorHAnsi" w:cstheme="minorHAnsi"/>
          <w:noProof/>
          <w:lang w:val="sq-AL"/>
        </w:rPr>
        <w:t>ë aktivitet</w:t>
      </w:r>
      <w:r w:rsidRPr="00DD6D17">
        <w:rPr>
          <w:rFonts w:asciiTheme="minorHAnsi" w:hAnsiTheme="minorHAnsi" w:cstheme="minorHAnsi"/>
          <w:noProof/>
          <w:lang w:val="sq-AL"/>
        </w:rPr>
        <w:t xml:space="preserve"> ekonomik p</w:t>
      </w:r>
      <w:r w:rsidRPr="00DD6D17">
        <w:rPr>
          <w:rFonts w:asciiTheme="minorHAnsi" w:eastAsiaTheme="minorEastAsia" w:hAnsiTheme="minorHAnsi" w:cstheme="minorHAnsi"/>
          <w:noProof/>
          <w:lang w:val="sq-AL"/>
        </w:rPr>
        <w:t>ër shkak të situatë së pandemisë COVID 19</w:t>
      </w:r>
      <w:r>
        <w:rPr>
          <w:rFonts w:asciiTheme="minorHAnsi" w:eastAsiaTheme="minorEastAsia" w:hAnsiTheme="minorHAnsi" w:cstheme="minorHAnsi"/>
          <w:noProof/>
          <w:lang w:val="sq-AL"/>
        </w:rPr>
        <w:t>, por edhe si pasojë e efekteve që solli tërmeti i fundvitit 2019.</w:t>
      </w:r>
    </w:p>
    <w:p w:rsidR="00F720EE" w:rsidRPr="00BB2E36" w:rsidRDefault="00F720EE" w:rsidP="00F720EE">
      <w:pPr>
        <w:spacing w:line="276" w:lineRule="auto"/>
        <w:jc w:val="both"/>
        <w:rPr>
          <w:rFonts w:asciiTheme="minorHAnsi" w:hAnsiTheme="minorHAnsi"/>
          <w:sz w:val="8"/>
          <w:szCs w:val="8"/>
          <w:lang w:val="sq-AL"/>
        </w:rPr>
      </w:pPr>
    </w:p>
    <w:p w:rsidR="00F720EE" w:rsidRDefault="005B0837" w:rsidP="005B0837">
      <w:pPr>
        <w:pStyle w:val="Caption"/>
        <w:spacing w:after="0"/>
        <w:rPr>
          <w:rFonts w:asciiTheme="minorHAnsi" w:hAnsiTheme="minorHAnsi"/>
          <w:b w:val="0"/>
          <w:bCs w:val="0"/>
          <w:i/>
          <w:color w:val="auto"/>
          <w:sz w:val="24"/>
          <w:szCs w:val="24"/>
          <w:lang w:val="sq-AL"/>
        </w:rPr>
      </w:pPr>
      <w:bookmarkStart w:id="8" w:name="_Toc12449187"/>
      <w:bookmarkStart w:id="9" w:name="_Toc44404402"/>
      <w:r w:rsidRPr="005B0837">
        <w:rPr>
          <w:rFonts w:asciiTheme="minorHAnsi" w:hAnsiTheme="minorHAnsi"/>
          <w:b w:val="0"/>
          <w:bCs w:val="0"/>
          <w:i/>
          <w:color w:val="auto"/>
          <w:sz w:val="24"/>
          <w:szCs w:val="24"/>
          <w:lang w:val="sq-AL"/>
        </w:rPr>
        <w:t xml:space="preserve">Tabela </w:t>
      </w:r>
      <w:r w:rsidRPr="005B0837">
        <w:rPr>
          <w:rFonts w:asciiTheme="minorHAnsi" w:hAnsiTheme="minorHAnsi"/>
          <w:b w:val="0"/>
          <w:bCs w:val="0"/>
          <w:i/>
          <w:color w:val="auto"/>
          <w:sz w:val="24"/>
          <w:szCs w:val="24"/>
          <w:lang w:val="sq-AL"/>
        </w:rPr>
        <w:fldChar w:fldCharType="begin"/>
      </w:r>
      <w:r w:rsidRPr="005B0837">
        <w:rPr>
          <w:rFonts w:asciiTheme="minorHAnsi" w:hAnsiTheme="minorHAnsi"/>
          <w:b w:val="0"/>
          <w:bCs w:val="0"/>
          <w:i/>
          <w:color w:val="auto"/>
          <w:sz w:val="24"/>
          <w:szCs w:val="24"/>
          <w:lang w:val="sq-AL"/>
        </w:rPr>
        <w:instrText xml:space="preserve"> SEQ Tabela \* ARABIC </w:instrText>
      </w:r>
      <w:r w:rsidRPr="005B0837">
        <w:rPr>
          <w:rFonts w:asciiTheme="minorHAnsi" w:hAnsiTheme="minorHAnsi"/>
          <w:b w:val="0"/>
          <w:bCs w:val="0"/>
          <w:i/>
          <w:color w:val="auto"/>
          <w:sz w:val="24"/>
          <w:szCs w:val="24"/>
          <w:lang w:val="sq-AL"/>
        </w:rPr>
        <w:fldChar w:fldCharType="separate"/>
      </w:r>
      <w:r w:rsidR="00C342E2">
        <w:rPr>
          <w:rFonts w:asciiTheme="minorHAnsi" w:hAnsiTheme="minorHAnsi"/>
          <w:b w:val="0"/>
          <w:bCs w:val="0"/>
          <w:i/>
          <w:noProof/>
          <w:color w:val="auto"/>
          <w:sz w:val="24"/>
          <w:szCs w:val="24"/>
          <w:lang w:val="sq-AL"/>
        </w:rPr>
        <w:t>1</w:t>
      </w:r>
      <w:r w:rsidRPr="005B0837">
        <w:rPr>
          <w:rFonts w:asciiTheme="minorHAnsi" w:hAnsiTheme="minorHAnsi"/>
          <w:b w:val="0"/>
          <w:bCs w:val="0"/>
          <w:i/>
          <w:color w:val="auto"/>
          <w:sz w:val="24"/>
          <w:szCs w:val="24"/>
          <w:lang w:val="sq-AL"/>
        </w:rPr>
        <w:fldChar w:fldCharType="end"/>
      </w:r>
      <w:r w:rsidR="00F720EE" w:rsidRPr="004E355C">
        <w:rPr>
          <w:rFonts w:asciiTheme="minorHAnsi" w:hAnsiTheme="minorHAnsi"/>
          <w:b w:val="0"/>
          <w:bCs w:val="0"/>
          <w:i/>
          <w:color w:val="auto"/>
          <w:sz w:val="24"/>
          <w:szCs w:val="24"/>
          <w:lang w:val="sq-AL"/>
        </w:rPr>
        <w:t>: Të ardhurat Tatime &amp; Dogana për periudhën Janar – Maj 20</w:t>
      </w:r>
      <w:r w:rsidR="00F720EE">
        <w:rPr>
          <w:rFonts w:asciiTheme="minorHAnsi" w:hAnsiTheme="minorHAnsi"/>
          <w:b w:val="0"/>
          <w:bCs w:val="0"/>
          <w:i/>
          <w:color w:val="auto"/>
          <w:sz w:val="24"/>
          <w:szCs w:val="24"/>
          <w:lang w:val="sq-AL"/>
        </w:rPr>
        <w:t>20</w:t>
      </w:r>
      <w:r w:rsidR="00F720EE" w:rsidRPr="004E355C">
        <w:rPr>
          <w:rFonts w:asciiTheme="minorHAnsi" w:hAnsiTheme="minorHAnsi"/>
          <w:b w:val="0"/>
          <w:bCs w:val="0"/>
          <w:i/>
          <w:color w:val="auto"/>
          <w:sz w:val="24"/>
          <w:szCs w:val="24"/>
          <w:lang w:val="sq-AL"/>
        </w:rPr>
        <w:t xml:space="preserve"> (në milionë lekë)</w:t>
      </w:r>
      <w:bookmarkEnd w:id="8"/>
      <w:bookmarkEnd w:id="9"/>
    </w:p>
    <w:tbl>
      <w:tblPr>
        <w:tblW w:w="10105" w:type="dxa"/>
        <w:jc w:val="center"/>
        <w:tblLook w:val="04A0" w:firstRow="1" w:lastRow="0" w:firstColumn="1" w:lastColumn="0" w:noHBand="0" w:noVBand="1"/>
      </w:tblPr>
      <w:tblGrid>
        <w:gridCol w:w="2587"/>
        <w:gridCol w:w="1077"/>
        <w:gridCol w:w="1271"/>
        <w:gridCol w:w="1034"/>
        <w:gridCol w:w="1034"/>
        <w:gridCol w:w="1034"/>
        <w:gridCol w:w="1034"/>
        <w:gridCol w:w="1034"/>
      </w:tblGrid>
      <w:tr w:rsidR="00F720EE" w:rsidTr="005B0837">
        <w:trPr>
          <w:trHeight w:val="352"/>
          <w:jc w:val="center"/>
        </w:trPr>
        <w:tc>
          <w:tcPr>
            <w:tcW w:w="2587" w:type="dxa"/>
            <w:vMerge w:val="restart"/>
            <w:tcBorders>
              <w:top w:val="single" w:sz="8" w:space="0" w:color="4BACC6"/>
              <w:left w:val="single" w:sz="8" w:space="0" w:color="4BACC6"/>
              <w:bottom w:val="single" w:sz="8" w:space="0" w:color="4BACC6"/>
              <w:right w:val="nil"/>
            </w:tcBorders>
            <w:shd w:val="clear" w:color="000000" w:fill="4BACC6"/>
            <w:vAlign w:val="center"/>
            <w:hideMark/>
          </w:tcPr>
          <w:p w:rsidR="00F720EE" w:rsidRDefault="00F720EE" w:rsidP="005B0837">
            <w:pPr>
              <w:rPr>
                <w:rFonts w:ascii="Calibri" w:hAnsi="Calibri" w:cs="Calibri"/>
                <w:b/>
                <w:bCs/>
                <w:color w:val="FFFFFF"/>
                <w:sz w:val="16"/>
                <w:szCs w:val="16"/>
              </w:rPr>
            </w:pPr>
            <w:r>
              <w:rPr>
                <w:rFonts w:ascii="Calibri" w:hAnsi="Calibri" w:cs="Calibri"/>
                <w:b/>
                <w:bCs/>
                <w:color w:val="FFFFFF"/>
                <w:sz w:val="16"/>
                <w:szCs w:val="16"/>
              </w:rPr>
              <w:t>Lloji i taksave</w:t>
            </w:r>
          </w:p>
        </w:tc>
        <w:tc>
          <w:tcPr>
            <w:tcW w:w="1077" w:type="dxa"/>
            <w:vMerge w:val="restart"/>
            <w:tcBorders>
              <w:top w:val="single" w:sz="8" w:space="0" w:color="4BACC6"/>
              <w:left w:val="nil"/>
              <w:bottom w:val="single" w:sz="8" w:space="0" w:color="4BACC6"/>
              <w:right w:val="nil"/>
            </w:tcBorders>
            <w:shd w:val="clear" w:color="000000" w:fill="4BACC6"/>
            <w:vAlign w:val="center"/>
            <w:hideMark/>
          </w:tcPr>
          <w:p w:rsidR="00F720EE" w:rsidRDefault="00F720EE" w:rsidP="005B0837">
            <w:pPr>
              <w:jc w:val="center"/>
              <w:rPr>
                <w:rFonts w:ascii="Calibri" w:hAnsi="Calibri" w:cs="Calibri"/>
                <w:b/>
                <w:bCs/>
                <w:color w:val="FFFFFF"/>
                <w:sz w:val="16"/>
                <w:szCs w:val="16"/>
              </w:rPr>
            </w:pPr>
            <w:r>
              <w:rPr>
                <w:rFonts w:ascii="Calibri" w:hAnsi="Calibri" w:cs="Calibri"/>
                <w:b/>
                <w:bCs/>
                <w:color w:val="FFFFFF"/>
                <w:sz w:val="16"/>
                <w:szCs w:val="16"/>
              </w:rPr>
              <w:t>Fakt 5 mujor 2019</w:t>
            </w:r>
          </w:p>
        </w:tc>
        <w:tc>
          <w:tcPr>
            <w:tcW w:w="1271" w:type="dxa"/>
            <w:tcBorders>
              <w:top w:val="single" w:sz="8" w:space="0" w:color="4BACC6"/>
              <w:left w:val="nil"/>
              <w:bottom w:val="nil"/>
              <w:right w:val="nil"/>
            </w:tcBorders>
            <w:shd w:val="clear" w:color="000000" w:fill="4BACC6"/>
            <w:vAlign w:val="center"/>
            <w:hideMark/>
          </w:tcPr>
          <w:p w:rsidR="00F720EE" w:rsidRDefault="00F720EE" w:rsidP="005B0837">
            <w:pPr>
              <w:jc w:val="center"/>
              <w:rPr>
                <w:rFonts w:ascii="Calibri" w:hAnsi="Calibri" w:cs="Calibri"/>
                <w:b/>
                <w:bCs/>
                <w:color w:val="FFFFFF"/>
                <w:sz w:val="16"/>
                <w:szCs w:val="16"/>
              </w:rPr>
            </w:pPr>
            <w:r>
              <w:rPr>
                <w:rFonts w:ascii="Calibri" w:hAnsi="Calibri" w:cs="Calibri"/>
                <w:b/>
                <w:bCs/>
                <w:color w:val="FFFFFF"/>
                <w:sz w:val="16"/>
                <w:szCs w:val="16"/>
              </w:rPr>
              <w:t xml:space="preserve"> Fakt 5 mujor </w:t>
            </w:r>
          </w:p>
        </w:tc>
        <w:tc>
          <w:tcPr>
            <w:tcW w:w="1034" w:type="dxa"/>
            <w:tcBorders>
              <w:top w:val="single" w:sz="8" w:space="0" w:color="4BACC6"/>
              <w:left w:val="nil"/>
              <w:bottom w:val="nil"/>
              <w:right w:val="nil"/>
            </w:tcBorders>
            <w:shd w:val="clear" w:color="000000" w:fill="4BACC6"/>
            <w:vAlign w:val="center"/>
            <w:hideMark/>
          </w:tcPr>
          <w:p w:rsidR="00F720EE" w:rsidRDefault="00F720EE" w:rsidP="005B0837">
            <w:pPr>
              <w:jc w:val="center"/>
              <w:rPr>
                <w:rFonts w:ascii="Calibri" w:hAnsi="Calibri" w:cs="Calibri"/>
                <w:b/>
                <w:bCs/>
                <w:color w:val="FFFFFF"/>
                <w:sz w:val="16"/>
                <w:szCs w:val="16"/>
              </w:rPr>
            </w:pPr>
            <w:r>
              <w:rPr>
                <w:rFonts w:ascii="Calibri" w:hAnsi="Calibri" w:cs="Calibri"/>
                <w:b/>
                <w:bCs/>
                <w:color w:val="FFFFFF"/>
                <w:sz w:val="16"/>
                <w:szCs w:val="16"/>
              </w:rPr>
              <w:t xml:space="preserve">Plan 5 mujor </w:t>
            </w:r>
          </w:p>
        </w:tc>
        <w:tc>
          <w:tcPr>
            <w:tcW w:w="1034" w:type="dxa"/>
            <w:vMerge w:val="restart"/>
            <w:tcBorders>
              <w:top w:val="single" w:sz="8" w:space="0" w:color="4BACC6"/>
              <w:left w:val="nil"/>
              <w:bottom w:val="single" w:sz="8" w:space="0" w:color="4BACC6"/>
              <w:right w:val="nil"/>
            </w:tcBorders>
            <w:shd w:val="clear" w:color="000000" w:fill="4BACC6"/>
            <w:vAlign w:val="center"/>
            <w:hideMark/>
          </w:tcPr>
          <w:p w:rsidR="00F720EE" w:rsidRDefault="00F720EE" w:rsidP="005B0837">
            <w:pPr>
              <w:jc w:val="center"/>
              <w:rPr>
                <w:rFonts w:ascii="Calibri" w:hAnsi="Calibri" w:cs="Calibri"/>
                <w:b/>
                <w:bCs/>
                <w:color w:val="FFFFFF"/>
                <w:sz w:val="16"/>
                <w:szCs w:val="16"/>
              </w:rPr>
            </w:pPr>
            <w:r>
              <w:rPr>
                <w:rFonts w:ascii="Calibri" w:hAnsi="Calibri" w:cs="Calibri"/>
                <w:b/>
                <w:bCs/>
                <w:color w:val="FFFFFF"/>
                <w:sz w:val="16"/>
                <w:szCs w:val="16"/>
              </w:rPr>
              <w:t>Diferenca 2020/2019</w:t>
            </w:r>
          </w:p>
        </w:tc>
        <w:tc>
          <w:tcPr>
            <w:tcW w:w="1034" w:type="dxa"/>
            <w:vMerge w:val="restart"/>
            <w:tcBorders>
              <w:top w:val="single" w:sz="8" w:space="0" w:color="4BACC6"/>
              <w:left w:val="nil"/>
              <w:bottom w:val="single" w:sz="8" w:space="0" w:color="4BACC6"/>
              <w:right w:val="nil"/>
            </w:tcBorders>
            <w:shd w:val="clear" w:color="000000" w:fill="4BACC6"/>
            <w:vAlign w:val="center"/>
            <w:hideMark/>
          </w:tcPr>
          <w:p w:rsidR="00F720EE" w:rsidRDefault="00F720EE" w:rsidP="005B0837">
            <w:pPr>
              <w:jc w:val="center"/>
              <w:rPr>
                <w:rFonts w:ascii="Calibri" w:hAnsi="Calibri" w:cs="Calibri"/>
                <w:b/>
                <w:bCs/>
                <w:color w:val="FFFFFF"/>
                <w:sz w:val="16"/>
                <w:szCs w:val="16"/>
              </w:rPr>
            </w:pPr>
            <w:r>
              <w:rPr>
                <w:rFonts w:ascii="Calibri" w:hAnsi="Calibri" w:cs="Calibri"/>
                <w:b/>
                <w:bCs/>
                <w:color w:val="FFFFFF"/>
                <w:sz w:val="16"/>
                <w:szCs w:val="16"/>
              </w:rPr>
              <w:t>Ndryshimi në % 2020/2019</w:t>
            </w:r>
          </w:p>
        </w:tc>
        <w:tc>
          <w:tcPr>
            <w:tcW w:w="1034" w:type="dxa"/>
            <w:vMerge w:val="restart"/>
            <w:tcBorders>
              <w:top w:val="single" w:sz="8" w:space="0" w:color="4BACC6"/>
              <w:left w:val="nil"/>
              <w:bottom w:val="single" w:sz="8" w:space="0" w:color="4BACC6"/>
              <w:right w:val="nil"/>
            </w:tcBorders>
            <w:shd w:val="clear" w:color="000000" w:fill="4BACC6"/>
            <w:vAlign w:val="center"/>
            <w:hideMark/>
          </w:tcPr>
          <w:p w:rsidR="00F720EE" w:rsidRDefault="00F720EE" w:rsidP="005B0837">
            <w:pPr>
              <w:jc w:val="center"/>
              <w:rPr>
                <w:rFonts w:ascii="Calibri" w:hAnsi="Calibri" w:cs="Calibri"/>
                <w:b/>
                <w:bCs/>
                <w:color w:val="FFFFFF"/>
                <w:sz w:val="16"/>
                <w:szCs w:val="16"/>
              </w:rPr>
            </w:pPr>
            <w:r>
              <w:rPr>
                <w:rFonts w:ascii="Calibri" w:hAnsi="Calibri" w:cs="Calibri"/>
                <w:b/>
                <w:bCs/>
                <w:color w:val="FFFFFF"/>
                <w:sz w:val="16"/>
                <w:szCs w:val="16"/>
              </w:rPr>
              <w:t>Diferenca Fakt/ Plan 2020</w:t>
            </w:r>
          </w:p>
        </w:tc>
        <w:tc>
          <w:tcPr>
            <w:tcW w:w="1034" w:type="dxa"/>
            <w:vMerge w:val="restart"/>
            <w:tcBorders>
              <w:top w:val="single" w:sz="8" w:space="0" w:color="4BACC6"/>
              <w:left w:val="nil"/>
              <w:bottom w:val="single" w:sz="8" w:space="0" w:color="4BACC6"/>
              <w:right w:val="single" w:sz="8" w:space="0" w:color="4BACC6"/>
            </w:tcBorders>
            <w:shd w:val="clear" w:color="000000" w:fill="4BACC6"/>
            <w:vAlign w:val="center"/>
            <w:hideMark/>
          </w:tcPr>
          <w:p w:rsidR="00F720EE" w:rsidRDefault="00F720EE" w:rsidP="005B0837">
            <w:pPr>
              <w:jc w:val="center"/>
              <w:rPr>
                <w:rFonts w:ascii="Calibri" w:hAnsi="Calibri" w:cs="Calibri"/>
                <w:b/>
                <w:bCs/>
                <w:color w:val="FFFFFF"/>
                <w:sz w:val="16"/>
                <w:szCs w:val="16"/>
              </w:rPr>
            </w:pPr>
            <w:r>
              <w:rPr>
                <w:rFonts w:ascii="Calibri" w:hAnsi="Calibri" w:cs="Calibri"/>
                <w:b/>
                <w:bCs/>
                <w:color w:val="FFFFFF"/>
                <w:sz w:val="16"/>
                <w:szCs w:val="16"/>
              </w:rPr>
              <w:t>Ndryshimi në % Fakt/Plan 2020</w:t>
            </w:r>
          </w:p>
        </w:tc>
      </w:tr>
      <w:tr w:rsidR="00F720EE" w:rsidTr="005B0837">
        <w:trPr>
          <w:trHeight w:val="389"/>
          <w:jc w:val="center"/>
        </w:trPr>
        <w:tc>
          <w:tcPr>
            <w:tcW w:w="2587" w:type="dxa"/>
            <w:vMerge/>
            <w:tcBorders>
              <w:top w:val="single" w:sz="8" w:space="0" w:color="4BACC6"/>
              <w:left w:val="single" w:sz="8" w:space="0" w:color="4BACC6"/>
              <w:bottom w:val="single" w:sz="8" w:space="0" w:color="4BACC6"/>
              <w:right w:val="nil"/>
            </w:tcBorders>
            <w:vAlign w:val="center"/>
            <w:hideMark/>
          </w:tcPr>
          <w:p w:rsidR="00F720EE" w:rsidRDefault="00F720EE" w:rsidP="005B0837">
            <w:pPr>
              <w:rPr>
                <w:rFonts w:ascii="Calibri" w:hAnsi="Calibri" w:cs="Calibri"/>
                <w:b/>
                <w:bCs/>
                <w:color w:val="FFFFFF"/>
                <w:sz w:val="16"/>
                <w:szCs w:val="16"/>
              </w:rPr>
            </w:pPr>
          </w:p>
        </w:tc>
        <w:tc>
          <w:tcPr>
            <w:tcW w:w="1077" w:type="dxa"/>
            <w:vMerge/>
            <w:tcBorders>
              <w:top w:val="single" w:sz="8" w:space="0" w:color="4BACC6"/>
              <w:left w:val="nil"/>
              <w:bottom w:val="single" w:sz="8" w:space="0" w:color="4BACC6"/>
              <w:right w:val="nil"/>
            </w:tcBorders>
            <w:vAlign w:val="center"/>
            <w:hideMark/>
          </w:tcPr>
          <w:p w:rsidR="00F720EE" w:rsidRDefault="00F720EE" w:rsidP="005B0837">
            <w:pPr>
              <w:rPr>
                <w:rFonts w:ascii="Calibri" w:hAnsi="Calibri" w:cs="Calibri"/>
                <w:b/>
                <w:bCs/>
                <w:color w:val="FFFFFF"/>
                <w:sz w:val="16"/>
                <w:szCs w:val="16"/>
              </w:rPr>
            </w:pPr>
          </w:p>
        </w:tc>
        <w:tc>
          <w:tcPr>
            <w:tcW w:w="1271" w:type="dxa"/>
            <w:tcBorders>
              <w:top w:val="nil"/>
              <w:left w:val="nil"/>
              <w:bottom w:val="single" w:sz="8" w:space="0" w:color="4BACC6"/>
              <w:right w:val="nil"/>
            </w:tcBorders>
            <w:shd w:val="clear" w:color="000000" w:fill="4BACC6"/>
            <w:vAlign w:val="center"/>
            <w:hideMark/>
          </w:tcPr>
          <w:p w:rsidR="00F720EE" w:rsidRDefault="00F720EE" w:rsidP="005B0837">
            <w:pPr>
              <w:jc w:val="center"/>
              <w:rPr>
                <w:rFonts w:ascii="Calibri" w:hAnsi="Calibri" w:cs="Calibri"/>
                <w:b/>
                <w:bCs/>
                <w:color w:val="FFFFFF"/>
                <w:sz w:val="16"/>
                <w:szCs w:val="16"/>
              </w:rPr>
            </w:pPr>
            <w:r>
              <w:rPr>
                <w:rFonts w:ascii="Calibri" w:hAnsi="Calibri" w:cs="Calibri"/>
                <w:b/>
                <w:bCs/>
                <w:color w:val="FFFFFF"/>
                <w:sz w:val="16"/>
                <w:szCs w:val="16"/>
              </w:rPr>
              <w:t>2020</w:t>
            </w:r>
          </w:p>
        </w:tc>
        <w:tc>
          <w:tcPr>
            <w:tcW w:w="1034" w:type="dxa"/>
            <w:tcBorders>
              <w:top w:val="nil"/>
              <w:left w:val="nil"/>
              <w:bottom w:val="single" w:sz="8" w:space="0" w:color="4BACC6"/>
              <w:right w:val="nil"/>
            </w:tcBorders>
            <w:shd w:val="clear" w:color="000000" w:fill="4BACC6"/>
            <w:vAlign w:val="center"/>
            <w:hideMark/>
          </w:tcPr>
          <w:p w:rsidR="00F720EE" w:rsidRDefault="00F720EE" w:rsidP="005B0837">
            <w:pPr>
              <w:jc w:val="center"/>
              <w:rPr>
                <w:rFonts w:ascii="Calibri" w:hAnsi="Calibri" w:cs="Calibri"/>
                <w:b/>
                <w:bCs/>
                <w:color w:val="FFFFFF"/>
                <w:sz w:val="16"/>
                <w:szCs w:val="16"/>
              </w:rPr>
            </w:pPr>
            <w:r>
              <w:rPr>
                <w:rFonts w:ascii="Calibri" w:hAnsi="Calibri" w:cs="Calibri"/>
                <w:b/>
                <w:bCs/>
                <w:color w:val="FFFFFF"/>
                <w:sz w:val="16"/>
                <w:szCs w:val="16"/>
              </w:rPr>
              <w:t>2020</w:t>
            </w:r>
          </w:p>
        </w:tc>
        <w:tc>
          <w:tcPr>
            <w:tcW w:w="1034" w:type="dxa"/>
            <w:vMerge/>
            <w:tcBorders>
              <w:top w:val="single" w:sz="8" w:space="0" w:color="4BACC6"/>
              <w:left w:val="nil"/>
              <w:bottom w:val="single" w:sz="8" w:space="0" w:color="4BACC6"/>
              <w:right w:val="nil"/>
            </w:tcBorders>
            <w:vAlign w:val="center"/>
            <w:hideMark/>
          </w:tcPr>
          <w:p w:rsidR="00F720EE" w:rsidRDefault="00F720EE" w:rsidP="005B0837">
            <w:pPr>
              <w:rPr>
                <w:rFonts w:ascii="Calibri" w:hAnsi="Calibri" w:cs="Calibri"/>
                <w:b/>
                <w:bCs/>
                <w:color w:val="FFFFFF"/>
                <w:sz w:val="16"/>
                <w:szCs w:val="16"/>
              </w:rPr>
            </w:pPr>
          </w:p>
        </w:tc>
        <w:tc>
          <w:tcPr>
            <w:tcW w:w="1034" w:type="dxa"/>
            <w:vMerge/>
            <w:tcBorders>
              <w:top w:val="single" w:sz="8" w:space="0" w:color="4BACC6"/>
              <w:left w:val="nil"/>
              <w:bottom w:val="single" w:sz="8" w:space="0" w:color="4BACC6"/>
              <w:right w:val="nil"/>
            </w:tcBorders>
            <w:vAlign w:val="center"/>
            <w:hideMark/>
          </w:tcPr>
          <w:p w:rsidR="00F720EE" w:rsidRDefault="00F720EE" w:rsidP="005B0837">
            <w:pPr>
              <w:rPr>
                <w:rFonts w:ascii="Calibri" w:hAnsi="Calibri" w:cs="Calibri"/>
                <w:b/>
                <w:bCs/>
                <w:color w:val="FFFFFF"/>
                <w:sz w:val="16"/>
                <w:szCs w:val="16"/>
              </w:rPr>
            </w:pPr>
          </w:p>
        </w:tc>
        <w:tc>
          <w:tcPr>
            <w:tcW w:w="1034" w:type="dxa"/>
            <w:vMerge/>
            <w:tcBorders>
              <w:top w:val="single" w:sz="8" w:space="0" w:color="4BACC6"/>
              <w:left w:val="nil"/>
              <w:bottom w:val="single" w:sz="8" w:space="0" w:color="4BACC6"/>
              <w:right w:val="nil"/>
            </w:tcBorders>
            <w:vAlign w:val="center"/>
            <w:hideMark/>
          </w:tcPr>
          <w:p w:rsidR="00F720EE" w:rsidRDefault="00F720EE" w:rsidP="005B0837">
            <w:pPr>
              <w:rPr>
                <w:rFonts w:ascii="Calibri" w:hAnsi="Calibri" w:cs="Calibri"/>
                <w:b/>
                <w:bCs/>
                <w:color w:val="FFFFFF"/>
                <w:sz w:val="16"/>
                <w:szCs w:val="16"/>
              </w:rPr>
            </w:pPr>
          </w:p>
        </w:tc>
        <w:tc>
          <w:tcPr>
            <w:tcW w:w="1034" w:type="dxa"/>
            <w:vMerge/>
            <w:tcBorders>
              <w:top w:val="single" w:sz="8" w:space="0" w:color="4BACC6"/>
              <w:left w:val="nil"/>
              <w:bottom w:val="single" w:sz="8" w:space="0" w:color="4BACC6"/>
              <w:right w:val="single" w:sz="8" w:space="0" w:color="4BACC6"/>
            </w:tcBorders>
            <w:vAlign w:val="center"/>
            <w:hideMark/>
          </w:tcPr>
          <w:p w:rsidR="00F720EE" w:rsidRDefault="00F720EE" w:rsidP="005B0837">
            <w:pPr>
              <w:rPr>
                <w:rFonts w:ascii="Calibri" w:hAnsi="Calibri" w:cs="Calibri"/>
                <w:b/>
                <w:bCs/>
                <w:color w:val="FFFFFF"/>
                <w:sz w:val="16"/>
                <w:szCs w:val="16"/>
              </w:rPr>
            </w:pPr>
          </w:p>
        </w:tc>
      </w:tr>
      <w:tr w:rsidR="00F720EE" w:rsidTr="005B0837">
        <w:trPr>
          <w:trHeight w:val="222"/>
          <w:jc w:val="center"/>
        </w:trPr>
        <w:tc>
          <w:tcPr>
            <w:tcW w:w="2587" w:type="dxa"/>
            <w:tcBorders>
              <w:top w:val="nil"/>
              <w:left w:val="single" w:sz="8" w:space="0" w:color="4BACC6"/>
              <w:bottom w:val="nil"/>
              <w:right w:val="nil"/>
            </w:tcBorders>
            <w:shd w:val="clear" w:color="000000" w:fill="FFFFFF"/>
            <w:vAlign w:val="center"/>
            <w:hideMark/>
          </w:tcPr>
          <w:p w:rsidR="00F720EE" w:rsidRDefault="00F720EE" w:rsidP="005B0837">
            <w:pPr>
              <w:rPr>
                <w:rFonts w:ascii="Calibri" w:hAnsi="Calibri" w:cs="Calibri"/>
                <w:b/>
                <w:bCs/>
                <w:color w:val="000000"/>
                <w:sz w:val="16"/>
                <w:szCs w:val="16"/>
              </w:rPr>
            </w:pPr>
            <w:r>
              <w:rPr>
                <w:rFonts w:ascii="Calibri" w:hAnsi="Calibri" w:cs="Calibri"/>
                <w:b/>
                <w:bCs/>
                <w:color w:val="000000"/>
                <w:sz w:val="16"/>
                <w:szCs w:val="16"/>
              </w:rPr>
              <w:t>TVSH TOTAL</w:t>
            </w:r>
          </w:p>
        </w:tc>
        <w:tc>
          <w:tcPr>
            <w:tcW w:w="1077" w:type="dxa"/>
            <w:tcBorders>
              <w:top w:val="nil"/>
              <w:left w:val="nil"/>
              <w:bottom w:val="nil"/>
              <w:right w:val="nil"/>
            </w:tcBorders>
            <w:shd w:val="clear" w:color="000000" w:fill="FFFFFF"/>
            <w:vAlign w:val="center"/>
            <w:hideMark/>
          </w:tcPr>
          <w:p w:rsidR="00F720EE" w:rsidRDefault="00F720EE" w:rsidP="005B0837">
            <w:pPr>
              <w:jc w:val="right"/>
              <w:rPr>
                <w:rFonts w:ascii="Calibri" w:hAnsi="Calibri" w:cs="Calibri"/>
                <w:b/>
                <w:bCs/>
                <w:color w:val="000000"/>
                <w:sz w:val="16"/>
                <w:szCs w:val="16"/>
              </w:rPr>
            </w:pPr>
            <w:r>
              <w:rPr>
                <w:rFonts w:ascii="Calibri" w:hAnsi="Calibri" w:cs="Calibri"/>
                <w:b/>
                <w:bCs/>
                <w:color w:val="000000"/>
                <w:sz w:val="16"/>
                <w:szCs w:val="16"/>
              </w:rPr>
              <w:t>54,965</w:t>
            </w:r>
          </w:p>
        </w:tc>
        <w:tc>
          <w:tcPr>
            <w:tcW w:w="1271" w:type="dxa"/>
            <w:tcBorders>
              <w:top w:val="nil"/>
              <w:left w:val="nil"/>
              <w:bottom w:val="nil"/>
              <w:right w:val="nil"/>
            </w:tcBorders>
            <w:shd w:val="clear" w:color="000000" w:fill="FFFFFF"/>
            <w:vAlign w:val="center"/>
            <w:hideMark/>
          </w:tcPr>
          <w:p w:rsidR="00F720EE" w:rsidRDefault="00F720EE" w:rsidP="005B0837">
            <w:pPr>
              <w:jc w:val="right"/>
              <w:rPr>
                <w:rFonts w:ascii="Calibri" w:hAnsi="Calibri" w:cs="Calibri"/>
                <w:b/>
                <w:bCs/>
                <w:color w:val="000000"/>
                <w:sz w:val="16"/>
                <w:szCs w:val="16"/>
              </w:rPr>
            </w:pPr>
            <w:r>
              <w:rPr>
                <w:rFonts w:ascii="Calibri" w:hAnsi="Calibri" w:cs="Calibri"/>
                <w:b/>
                <w:bCs/>
                <w:color w:val="000000"/>
                <w:sz w:val="16"/>
                <w:szCs w:val="16"/>
              </w:rPr>
              <w:t>47,922</w:t>
            </w:r>
          </w:p>
        </w:tc>
        <w:tc>
          <w:tcPr>
            <w:tcW w:w="1034" w:type="dxa"/>
            <w:tcBorders>
              <w:top w:val="nil"/>
              <w:left w:val="nil"/>
              <w:bottom w:val="nil"/>
              <w:right w:val="nil"/>
            </w:tcBorders>
            <w:shd w:val="clear" w:color="000000" w:fill="FFFFFF"/>
            <w:vAlign w:val="center"/>
            <w:hideMark/>
          </w:tcPr>
          <w:p w:rsidR="00F720EE" w:rsidRDefault="00F720EE" w:rsidP="005B0837">
            <w:pPr>
              <w:jc w:val="right"/>
              <w:rPr>
                <w:rFonts w:ascii="Calibri" w:hAnsi="Calibri" w:cs="Calibri"/>
                <w:b/>
                <w:bCs/>
                <w:color w:val="000000"/>
                <w:sz w:val="16"/>
                <w:szCs w:val="16"/>
              </w:rPr>
            </w:pPr>
            <w:r>
              <w:rPr>
                <w:rFonts w:ascii="Calibri" w:hAnsi="Calibri" w:cs="Calibri"/>
                <w:b/>
                <w:bCs/>
                <w:color w:val="000000"/>
                <w:sz w:val="16"/>
                <w:szCs w:val="16"/>
              </w:rPr>
              <w:t>51,017</w:t>
            </w:r>
          </w:p>
        </w:tc>
        <w:tc>
          <w:tcPr>
            <w:tcW w:w="1034" w:type="dxa"/>
            <w:tcBorders>
              <w:top w:val="nil"/>
              <w:left w:val="nil"/>
              <w:bottom w:val="nil"/>
              <w:right w:val="nil"/>
            </w:tcBorders>
            <w:shd w:val="clear" w:color="000000" w:fill="FFFFFF"/>
            <w:vAlign w:val="center"/>
            <w:hideMark/>
          </w:tcPr>
          <w:p w:rsidR="00F720EE" w:rsidRDefault="00F720EE" w:rsidP="005B0837">
            <w:pPr>
              <w:jc w:val="right"/>
              <w:rPr>
                <w:rFonts w:ascii="Calibri" w:hAnsi="Calibri" w:cs="Calibri"/>
                <w:b/>
                <w:bCs/>
                <w:color w:val="000000"/>
                <w:sz w:val="16"/>
                <w:szCs w:val="16"/>
              </w:rPr>
            </w:pPr>
            <w:r>
              <w:rPr>
                <w:rFonts w:ascii="Calibri" w:hAnsi="Calibri" w:cs="Calibri"/>
                <w:b/>
                <w:bCs/>
                <w:color w:val="000000"/>
                <w:sz w:val="16"/>
                <w:szCs w:val="16"/>
              </w:rPr>
              <w:t>-7,043</w:t>
            </w:r>
          </w:p>
        </w:tc>
        <w:tc>
          <w:tcPr>
            <w:tcW w:w="1034" w:type="dxa"/>
            <w:tcBorders>
              <w:top w:val="nil"/>
              <w:left w:val="nil"/>
              <w:bottom w:val="nil"/>
              <w:right w:val="nil"/>
            </w:tcBorders>
            <w:shd w:val="clear" w:color="000000" w:fill="FFFFFF"/>
            <w:vAlign w:val="center"/>
            <w:hideMark/>
          </w:tcPr>
          <w:p w:rsidR="00F720EE" w:rsidRDefault="00F720EE" w:rsidP="005B0837">
            <w:pPr>
              <w:jc w:val="right"/>
              <w:rPr>
                <w:rFonts w:ascii="Calibri" w:hAnsi="Calibri" w:cs="Calibri"/>
                <w:b/>
                <w:bCs/>
                <w:color w:val="000000"/>
                <w:sz w:val="16"/>
                <w:szCs w:val="16"/>
              </w:rPr>
            </w:pPr>
            <w:r>
              <w:rPr>
                <w:rFonts w:ascii="Calibri" w:hAnsi="Calibri" w:cs="Calibri"/>
                <w:b/>
                <w:bCs/>
                <w:color w:val="000000"/>
                <w:sz w:val="16"/>
                <w:szCs w:val="16"/>
              </w:rPr>
              <w:t>87.2%</w:t>
            </w:r>
          </w:p>
        </w:tc>
        <w:tc>
          <w:tcPr>
            <w:tcW w:w="1034" w:type="dxa"/>
            <w:tcBorders>
              <w:top w:val="nil"/>
              <w:left w:val="nil"/>
              <w:bottom w:val="nil"/>
              <w:right w:val="nil"/>
            </w:tcBorders>
            <w:shd w:val="clear" w:color="000000" w:fill="FFFFFF"/>
            <w:vAlign w:val="center"/>
            <w:hideMark/>
          </w:tcPr>
          <w:p w:rsidR="00F720EE" w:rsidRDefault="00F720EE" w:rsidP="005B0837">
            <w:pPr>
              <w:jc w:val="right"/>
              <w:rPr>
                <w:rFonts w:ascii="Calibri" w:hAnsi="Calibri" w:cs="Calibri"/>
                <w:b/>
                <w:bCs/>
                <w:color w:val="000000"/>
                <w:sz w:val="16"/>
                <w:szCs w:val="16"/>
              </w:rPr>
            </w:pPr>
            <w:r>
              <w:rPr>
                <w:rFonts w:ascii="Calibri" w:hAnsi="Calibri" w:cs="Calibri"/>
                <w:b/>
                <w:bCs/>
                <w:color w:val="000000"/>
                <w:sz w:val="16"/>
                <w:szCs w:val="16"/>
              </w:rPr>
              <w:t>-3,095</w:t>
            </w:r>
          </w:p>
        </w:tc>
        <w:tc>
          <w:tcPr>
            <w:tcW w:w="1034" w:type="dxa"/>
            <w:tcBorders>
              <w:top w:val="nil"/>
              <w:left w:val="nil"/>
              <w:bottom w:val="nil"/>
              <w:right w:val="single" w:sz="8" w:space="0" w:color="4BACC6"/>
            </w:tcBorders>
            <w:shd w:val="clear" w:color="000000" w:fill="FFFFFF"/>
            <w:vAlign w:val="center"/>
            <w:hideMark/>
          </w:tcPr>
          <w:p w:rsidR="00F720EE" w:rsidRDefault="00F720EE" w:rsidP="005B0837">
            <w:pPr>
              <w:jc w:val="right"/>
              <w:rPr>
                <w:rFonts w:ascii="Calibri" w:hAnsi="Calibri" w:cs="Calibri"/>
                <w:b/>
                <w:bCs/>
                <w:color w:val="000000"/>
                <w:sz w:val="16"/>
                <w:szCs w:val="16"/>
              </w:rPr>
            </w:pPr>
            <w:r>
              <w:rPr>
                <w:rFonts w:ascii="Calibri" w:hAnsi="Calibri" w:cs="Calibri"/>
                <w:b/>
                <w:bCs/>
                <w:color w:val="000000"/>
                <w:sz w:val="16"/>
                <w:szCs w:val="16"/>
              </w:rPr>
              <w:t>93.9%</w:t>
            </w:r>
          </w:p>
        </w:tc>
      </w:tr>
      <w:tr w:rsidR="00F720EE" w:rsidTr="005B0837">
        <w:trPr>
          <w:trHeight w:val="222"/>
          <w:jc w:val="center"/>
        </w:trPr>
        <w:tc>
          <w:tcPr>
            <w:tcW w:w="2587" w:type="dxa"/>
            <w:tcBorders>
              <w:top w:val="single" w:sz="8" w:space="0" w:color="4BACC6"/>
              <w:left w:val="single" w:sz="8" w:space="0" w:color="4BACC6"/>
              <w:bottom w:val="single" w:sz="8" w:space="0" w:color="4BACC6"/>
              <w:right w:val="nil"/>
            </w:tcBorders>
            <w:shd w:val="clear" w:color="000000" w:fill="FFFFFF"/>
            <w:vAlign w:val="center"/>
            <w:hideMark/>
          </w:tcPr>
          <w:p w:rsidR="00F720EE" w:rsidRDefault="00F720EE" w:rsidP="005B0837">
            <w:pPr>
              <w:rPr>
                <w:rFonts w:ascii="Calibri" w:hAnsi="Calibri" w:cs="Calibri"/>
                <w:b/>
                <w:bCs/>
                <w:i/>
                <w:iCs/>
                <w:color w:val="000000"/>
                <w:sz w:val="16"/>
                <w:szCs w:val="16"/>
              </w:rPr>
            </w:pPr>
            <w:r>
              <w:rPr>
                <w:rFonts w:ascii="Calibri" w:hAnsi="Calibri" w:cs="Calibri"/>
                <w:b/>
                <w:bCs/>
                <w:i/>
                <w:iCs/>
                <w:color w:val="000000"/>
                <w:sz w:val="16"/>
                <w:szCs w:val="16"/>
              </w:rPr>
              <w:t xml:space="preserve">Tvsh në import </w:t>
            </w:r>
          </w:p>
        </w:tc>
        <w:tc>
          <w:tcPr>
            <w:tcW w:w="1077" w:type="dxa"/>
            <w:tcBorders>
              <w:top w:val="single" w:sz="8" w:space="0" w:color="4BACC6"/>
              <w:left w:val="nil"/>
              <w:bottom w:val="single" w:sz="8" w:space="0" w:color="4BACC6"/>
              <w:right w:val="nil"/>
            </w:tcBorders>
            <w:shd w:val="clear" w:color="000000" w:fill="FFFFFF"/>
            <w:vAlign w:val="center"/>
            <w:hideMark/>
          </w:tcPr>
          <w:p w:rsidR="00F720EE" w:rsidRDefault="00F720EE" w:rsidP="005B0837">
            <w:pPr>
              <w:jc w:val="right"/>
              <w:rPr>
                <w:rFonts w:ascii="Calibri" w:hAnsi="Calibri" w:cs="Calibri"/>
                <w:color w:val="000000"/>
                <w:sz w:val="16"/>
                <w:szCs w:val="16"/>
              </w:rPr>
            </w:pPr>
            <w:r>
              <w:rPr>
                <w:rFonts w:ascii="Calibri" w:hAnsi="Calibri" w:cs="Calibri"/>
                <w:color w:val="000000"/>
                <w:sz w:val="16"/>
                <w:szCs w:val="16"/>
              </w:rPr>
              <w:t>42,243</w:t>
            </w:r>
          </w:p>
        </w:tc>
        <w:tc>
          <w:tcPr>
            <w:tcW w:w="1271" w:type="dxa"/>
            <w:tcBorders>
              <w:top w:val="single" w:sz="8" w:space="0" w:color="4BACC6"/>
              <w:left w:val="nil"/>
              <w:bottom w:val="single" w:sz="8" w:space="0" w:color="4BACC6"/>
              <w:right w:val="nil"/>
            </w:tcBorders>
            <w:shd w:val="clear" w:color="000000" w:fill="FFFFFF"/>
            <w:vAlign w:val="center"/>
            <w:hideMark/>
          </w:tcPr>
          <w:p w:rsidR="00F720EE" w:rsidRDefault="00F720EE" w:rsidP="005B0837">
            <w:pPr>
              <w:jc w:val="right"/>
              <w:rPr>
                <w:rFonts w:ascii="Calibri" w:hAnsi="Calibri" w:cs="Calibri"/>
                <w:color w:val="000000"/>
                <w:sz w:val="16"/>
                <w:szCs w:val="16"/>
              </w:rPr>
            </w:pPr>
            <w:r>
              <w:rPr>
                <w:rFonts w:ascii="Calibri" w:hAnsi="Calibri" w:cs="Calibri"/>
                <w:color w:val="000000"/>
                <w:sz w:val="16"/>
                <w:szCs w:val="16"/>
              </w:rPr>
              <w:t>36,078</w:t>
            </w:r>
          </w:p>
        </w:tc>
        <w:tc>
          <w:tcPr>
            <w:tcW w:w="1034" w:type="dxa"/>
            <w:tcBorders>
              <w:top w:val="single" w:sz="8" w:space="0" w:color="4BACC6"/>
              <w:left w:val="nil"/>
              <w:bottom w:val="single" w:sz="8" w:space="0" w:color="4BACC6"/>
              <w:right w:val="nil"/>
            </w:tcBorders>
            <w:shd w:val="clear" w:color="000000" w:fill="FFFFFF"/>
            <w:vAlign w:val="center"/>
            <w:hideMark/>
          </w:tcPr>
          <w:p w:rsidR="00F720EE" w:rsidRDefault="00F720EE" w:rsidP="005B0837">
            <w:pPr>
              <w:jc w:val="right"/>
              <w:rPr>
                <w:rFonts w:ascii="Calibri" w:hAnsi="Calibri" w:cs="Calibri"/>
                <w:color w:val="000000"/>
                <w:sz w:val="16"/>
                <w:szCs w:val="16"/>
              </w:rPr>
            </w:pPr>
            <w:r>
              <w:rPr>
                <w:rFonts w:ascii="Calibri" w:hAnsi="Calibri" w:cs="Calibri"/>
                <w:color w:val="000000"/>
                <w:sz w:val="16"/>
                <w:szCs w:val="16"/>
              </w:rPr>
              <w:t>38,109</w:t>
            </w:r>
          </w:p>
        </w:tc>
        <w:tc>
          <w:tcPr>
            <w:tcW w:w="1034" w:type="dxa"/>
            <w:tcBorders>
              <w:top w:val="single" w:sz="8" w:space="0" w:color="4BACC6"/>
              <w:left w:val="nil"/>
              <w:bottom w:val="single" w:sz="8" w:space="0" w:color="4BACC6"/>
              <w:right w:val="nil"/>
            </w:tcBorders>
            <w:shd w:val="clear" w:color="000000" w:fill="FFFFFF"/>
            <w:vAlign w:val="center"/>
            <w:hideMark/>
          </w:tcPr>
          <w:p w:rsidR="00F720EE" w:rsidRDefault="00F720EE" w:rsidP="005B0837">
            <w:pPr>
              <w:jc w:val="right"/>
              <w:rPr>
                <w:rFonts w:ascii="Calibri" w:hAnsi="Calibri" w:cs="Calibri"/>
                <w:color w:val="000000"/>
                <w:sz w:val="16"/>
                <w:szCs w:val="16"/>
              </w:rPr>
            </w:pPr>
            <w:r>
              <w:rPr>
                <w:rFonts w:ascii="Calibri" w:hAnsi="Calibri" w:cs="Calibri"/>
                <w:color w:val="000000"/>
                <w:sz w:val="16"/>
                <w:szCs w:val="16"/>
              </w:rPr>
              <w:t>-6,165</w:t>
            </w:r>
          </w:p>
        </w:tc>
        <w:tc>
          <w:tcPr>
            <w:tcW w:w="1034" w:type="dxa"/>
            <w:tcBorders>
              <w:top w:val="single" w:sz="8" w:space="0" w:color="4BACC6"/>
              <w:left w:val="nil"/>
              <w:bottom w:val="single" w:sz="8" w:space="0" w:color="4BACC6"/>
              <w:right w:val="nil"/>
            </w:tcBorders>
            <w:shd w:val="clear" w:color="000000" w:fill="FFFFFF"/>
            <w:vAlign w:val="center"/>
            <w:hideMark/>
          </w:tcPr>
          <w:p w:rsidR="00F720EE" w:rsidRDefault="00F720EE" w:rsidP="005B0837">
            <w:pPr>
              <w:jc w:val="right"/>
              <w:rPr>
                <w:rFonts w:ascii="Calibri" w:hAnsi="Calibri" w:cs="Calibri"/>
                <w:color w:val="000000"/>
                <w:sz w:val="16"/>
                <w:szCs w:val="16"/>
              </w:rPr>
            </w:pPr>
            <w:r>
              <w:rPr>
                <w:rFonts w:ascii="Calibri" w:hAnsi="Calibri" w:cs="Calibri"/>
                <w:color w:val="000000"/>
                <w:sz w:val="16"/>
                <w:szCs w:val="16"/>
              </w:rPr>
              <w:t>85.4%</w:t>
            </w:r>
          </w:p>
        </w:tc>
        <w:tc>
          <w:tcPr>
            <w:tcW w:w="1034" w:type="dxa"/>
            <w:tcBorders>
              <w:top w:val="single" w:sz="8" w:space="0" w:color="4BACC6"/>
              <w:left w:val="nil"/>
              <w:bottom w:val="single" w:sz="8" w:space="0" w:color="4BACC6"/>
              <w:right w:val="nil"/>
            </w:tcBorders>
            <w:shd w:val="clear" w:color="000000" w:fill="FFFFFF"/>
            <w:vAlign w:val="center"/>
            <w:hideMark/>
          </w:tcPr>
          <w:p w:rsidR="00F720EE" w:rsidRDefault="00F720EE" w:rsidP="005B0837">
            <w:pPr>
              <w:jc w:val="right"/>
              <w:rPr>
                <w:rFonts w:ascii="Calibri" w:hAnsi="Calibri" w:cs="Calibri"/>
                <w:color w:val="000000"/>
                <w:sz w:val="16"/>
                <w:szCs w:val="16"/>
              </w:rPr>
            </w:pPr>
            <w:r>
              <w:rPr>
                <w:rFonts w:ascii="Calibri" w:hAnsi="Calibri" w:cs="Calibri"/>
                <w:color w:val="000000"/>
                <w:sz w:val="16"/>
                <w:szCs w:val="16"/>
              </w:rPr>
              <w:t>-2,031</w:t>
            </w:r>
          </w:p>
        </w:tc>
        <w:tc>
          <w:tcPr>
            <w:tcW w:w="1034" w:type="dxa"/>
            <w:tcBorders>
              <w:top w:val="single" w:sz="8" w:space="0" w:color="4BACC6"/>
              <w:left w:val="nil"/>
              <w:bottom w:val="single" w:sz="8" w:space="0" w:color="4BACC6"/>
              <w:right w:val="single" w:sz="8" w:space="0" w:color="4BACC6"/>
            </w:tcBorders>
            <w:shd w:val="clear" w:color="000000" w:fill="FFFFFF"/>
            <w:vAlign w:val="center"/>
            <w:hideMark/>
          </w:tcPr>
          <w:p w:rsidR="00F720EE" w:rsidRDefault="00F720EE" w:rsidP="005B0837">
            <w:pPr>
              <w:jc w:val="right"/>
              <w:rPr>
                <w:rFonts w:ascii="Calibri" w:hAnsi="Calibri" w:cs="Calibri"/>
                <w:color w:val="000000"/>
                <w:sz w:val="16"/>
                <w:szCs w:val="16"/>
              </w:rPr>
            </w:pPr>
            <w:r>
              <w:rPr>
                <w:rFonts w:ascii="Calibri" w:hAnsi="Calibri" w:cs="Calibri"/>
                <w:color w:val="000000"/>
                <w:sz w:val="16"/>
                <w:szCs w:val="16"/>
              </w:rPr>
              <w:t>94.7%</w:t>
            </w:r>
          </w:p>
        </w:tc>
      </w:tr>
      <w:tr w:rsidR="00F720EE" w:rsidTr="005B0837">
        <w:trPr>
          <w:trHeight w:val="222"/>
          <w:jc w:val="center"/>
        </w:trPr>
        <w:tc>
          <w:tcPr>
            <w:tcW w:w="2587" w:type="dxa"/>
            <w:tcBorders>
              <w:top w:val="nil"/>
              <w:left w:val="single" w:sz="8" w:space="0" w:color="4BACC6"/>
              <w:bottom w:val="nil"/>
              <w:right w:val="nil"/>
            </w:tcBorders>
            <w:shd w:val="clear" w:color="000000" w:fill="FFFFFF"/>
            <w:vAlign w:val="center"/>
            <w:hideMark/>
          </w:tcPr>
          <w:p w:rsidR="00F720EE" w:rsidRDefault="00F720EE" w:rsidP="005B0837">
            <w:pPr>
              <w:rPr>
                <w:rFonts w:ascii="Calibri" w:hAnsi="Calibri" w:cs="Calibri"/>
                <w:b/>
                <w:bCs/>
                <w:i/>
                <w:iCs/>
                <w:color w:val="000000"/>
                <w:sz w:val="16"/>
                <w:szCs w:val="16"/>
              </w:rPr>
            </w:pPr>
            <w:r>
              <w:rPr>
                <w:rFonts w:ascii="Calibri" w:hAnsi="Calibri" w:cs="Calibri"/>
                <w:b/>
                <w:bCs/>
                <w:i/>
                <w:iCs/>
                <w:color w:val="000000"/>
                <w:sz w:val="16"/>
                <w:szCs w:val="16"/>
              </w:rPr>
              <w:t>Tvsh brenda vendit</w:t>
            </w:r>
          </w:p>
        </w:tc>
        <w:tc>
          <w:tcPr>
            <w:tcW w:w="1077" w:type="dxa"/>
            <w:tcBorders>
              <w:top w:val="nil"/>
              <w:left w:val="nil"/>
              <w:bottom w:val="nil"/>
              <w:right w:val="nil"/>
            </w:tcBorders>
            <w:shd w:val="clear" w:color="000000" w:fill="FFFFFF"/>
            <w:vAlign w:val="center"/>
            <w:hideMark/>
          </w:tcPr>
          <w:p w:rsidR="00F720EE" w:rsidRDefault="00F720EE" w:rsidP="005B0837">
            <w:pPr>
              <w:jc w:val="right"/>
              <w:rPr>
                <w:rFonts w:ascii="Calibri" w:hAnsi="Calibri" w:cs="Calibri"/>
                <w:color w:val="000000"/>
                <w:sz w:val="16"/>
                <w:szCs w:val="16"/>
              </w:rPr>
            </w:pPr>
            <w:r>
              <w:rPr>
                <w:rFonts w:ascii="Calibri" w:hAnsi="Calibri" w:cs="Calibri"/>
                <w:color w:val="000000"/>
                <w:sz w:val="16"/>
                <w:szCs w:val="16"/>
              </w:rPr>
              <w:t>12,722</w:t>
            </w:r>
          </w:p>
        </w:tc>
        <w:tc>
          <w:tcPr>
            <w:tcW w:w="1271" w:type="dxa"/>
            <w:tcBorders>
              <w:top w:val="nil"/>
              <w:left w:val="nil"/>
              <w:bottom w:val="nil"/>
              <w:right w:val="nil"/>
            </w:tcBorders>
            <w:shd w:val="clear" w:color="000000" w:fill="FFFFFF"/>
            <w:vAlign w:val="center"/>
            <w:hideMark/>
          </w:tcPr>
          <w:p w:rsidR="00F720EE" w:rsidRDefault="00F720EE" w:rsidP="005B0837">
            <w:pPr>
              <w:jc w:val="right"/>
              <w:rPr>
                <w:rFonts w:ascii="Calibri" w:hAnsi="Calibri" w:cs="Calibri"/>
                <w:color w:val="000000"/>
                <w:sz w:val="16"/>
                <w:szCs w:val="16"/>
              </w:rPr>
            </w:pPr>
            <w:r>
              <w:rPr>
                <w:rFonts w:ascii="Calibri" w:hAnsi="Calibri" w:cs="Calibri"/>
                <w:color w:val="000000"/>
                <w:sz w:val="16"/>
                <w:szCs w:val="16"/>
              </w:rPr>
              <w:t>11,844</w:t>
            </w:r>
          </w:p>
        </w:tc>
        <w:tc>
          <w:tcPr>
            <w:tcW w:w="1034" w:type="dxa"/>
            <w:tcBorders>
              <w:top w:val="nil"/>
              <w:left w:val="nil"/>
              <w:bottom w:val="nil"/>
              <w:right w:val="nil"/>
            </w:tcBorders>
            <w:shd w:val="clear" w:color="000000" w:fill="FFFFFF"/>
            <w:vAlign w:val="center"/>
            <w:hideMark/>
          </w:tcPr>
          <w:p w:rsidR="00F720EE" w:rsidRDefault="00F720EE" w:rsidP="005B0837">
            <w:pPr>
              <w:jc w:val="right"/>
              <w:rPr>
                <w:rFonts w:ascii="Calibri" w:hAnsi="Calibri" w:cs="Calibri"/>
                <w:color w:val="000000"/>
                <w:sz w:val="16"/>
                <w:szCs w:val="16"/>
              </w:rPr>
            </w:pPr>
            <w:r>
              <w:rPr>
                <w:rFonts w:ascii="Calibri" w:hAnsi="Calibri" w:cs="Calibri"/>
                <w:color w:val="000000"/>
                <w:sz w:val="16"/>
                <w:szCs w:val="16"/>
              </w:rPr>
              <w:t>12,908</w:t>
            </w:r>
          </w:p>
        </w:tc>
        <w:tc>
          <w:tcPr>
            <w:tcW w:w="1034" w:type="dxa"/>
            <w:tcBorders>
              <w:top w:val="nil"/>
              <w:left w:val="nil"/>
              <w:bottom w:val="nil"/>
              <w:right w:val="nil"/>
            </w:tcBorders>
            <w:shd w:val="clear" w:color="000000" w:fill="FFFFFF"/>
            <w:vAlign w:val="center"/>
            <w:hideMark/>
          </w:tcPr>
          <w:p w:rsidR="00F720EE" w:rsidRDefault="00F720EE" w:rsidP="005B0837">
            <w:pPr>
              <w:jc w:val="right"/>
              <w:rPr>
                <w:rFonts w:ascii="Calibri" w:hAnsi="Calibri" w:cs="Calibri"/>
                <w:color w:val="000000"/>
                <w:sz w:val="16"/>
                <w:szCs w:val="16"/>
              </w:rPr>
            </w:pPr>
            <w:r>
              <w:rPr>
                <w:rFonts w:ascii="Calibri" w:hAnsi="Calibri" w:cs="Calibri"/>
                <w:color w:val="000000"/>
                <w:sz w:val="16"/>
                <w:szCs w:val="16"/>
              </w:rPr>
              <w:t>-878</w:t>
            </w:r>
          </w:p>
        </w:tc>
        <w:tc>
          <w:tcPr>
            <w:tcW w:w="1034" w:type="dxa"/>
            <w:tcBorders>
              <w:top w:val="nil"/>
              <w:left w:val="nil"/>
              <w:bottom w:val="nil"/>
              <w:right w:val="nil"/>
            </w:tcBorders>
            <w:shd w:val="clear" w:color="000000" w:fill="FFFFFF"/>
            <w:vAlign w:val="center"/>
            <w:hideMark/>
          </w:tcPr>
          <w:p w:rsidR="00F720EE" w:rsidRDefault="00F720EE" w:rsidP="005B0837">
            <w:pPr>
              <w:jc w:val="right"/>
              <w:rPr>
                <w:rFonts w:ascii="Calibri" w:hAnsi="Calibri" w:cs="Calibri"/>
                <w:color w:val="000000"/>
                <w:sz w:val="16"/>
                <w:szCs w:val="16"/>
              </w:rPr>
            </w:pPr>
            <w:r>
              <w:rPr>
                <w:rFonts w:ascii="Calibri" w:hAnsi="Calibri" w:cs="Calibri"/>
                <w:color w:val="000000"/>
                <w:sz w:val="16"/>
                <w:szCs w:val="16"/>
              </w:rPr>
              <w:t>93.1%</w:t>
            </w:r>
          </w:p>
        </w:tc>
        <w:tc>
          <w:tcPr>
            <w:tcW w:w="1034" w:type="dxa"/>
            <w:tcBorders>
              <w:top w:val="nil"/>
              <w:left w:val="nil"/>
              <w:bottom w:val="nil"/>
              <w:right w:val="nil"/>
            </w:tcBorders>
            <w:shd w:val="clear" w:color="000000" w:fill="FFFFFF"/>
            <w:vAlign w:val="center"/>
            <w:hideMark/>
          </w:tcPr>
          <w:p w:rsidR="00F720EE" w:rsidRDefault="00F720EE" w:rsidP="005B0837">
            <w:pPr>
              <w:jc w:val="right"/>
              <w:rPr>
                <w:rFonts w:ascii="Calibri" w:hAnsi="Calibri" w:cs="Calibri"/>
                <w:color w:val="000000"/>
                <w:sz w:val="16"/>
                <w:szCs w:val="16"/>
              </w:rPr>
            </w:pPr>
            <w:r>
              <w:rPr>
                <w:rFonts w:ascii="Calibri" w:hAnsi="Calibri" w:cs="Calibri"/>
                <w:color w:val="000000"/>
                <w:sz w:val="16"/>
                <w:szCs w:val="16"/>
              </w:rPr>
              <w:t>-1,064</w:t>
            </w:r>
          </w:p>
        </w:tc>
        <w:tc>
          <w:tcPr>
            <w:tcW w:w="1034" w:type="dxa"/>
            <w:tcBorders>
              <w:top w:val="nil"/>
              <w:left w:val="nil"/>
              <w:bottom w:val="nil"/>
              <w:right w:val="single" w:sz="8" w:space="0" w:color="4BACC6"/>
            </w:tcBorders>
            <w:shd w:val="clear" w:color="000000" w:fill="FFFFFF"/>
            <w:vAlign w:val="center"/>
            <w:hideMark/>
          </w:tcPr>
          <w:p w:rsidR="00F720EE" w:rsidRDefault="00F720EE" w:rsidP="005B0837">
            <w:pPr>
              <w:jc w:val="right"/>
              <w:rPr>
                <w:rFonts w:ascii="Calibri" w:hAnsi="Calibri" w:cs="Calibri"/>
                <w:color w:val="000000"/>
                <w:sz w:val="16"/>
                <w:szCs w:val="16"/>
              </w:rPr>
            </w:pPr>
            <w:r>
              <w:rPr>
                <w:rFonts w:ascii="Calibri" w:hAnsi="Calibri" w:cs="Calibri"/>
                <w:color w:val="000000"/>
                <w:sz w:val="16"/>
                <w:szCs w:val="16"/>
              </w:rPr>
              <w:t>91.8%</w:t>
            </w:r>
          </w:p>
        </w:tc>
      </w:tr>
      <w:tr w:rsidR="00F720EE" w:rsidTr="005B0837">
        <w:trPr>
          <w:trHeight w:val="222"/>
          <w:jc w:val="center"/>
        </w:trPr>
        <w:tc>
          <w:tcPr>
            <w:tcW w:w="2587" w:type="dxa"/>
            <w:tcBorders>
              <w:top w:val="single" w:sz="8" w:space="0" w:color="4BACC6"/>
              <w:left w:val="single" w:sz="8" w:space="0" w:color="4BACC6"/>
              <w:bottom w:val="single" w:sz="8" w:space="0" w:color="4BACC6"/>
              <w:right w:val="nil"/>
            </w:tcBorders>
            <w:shd w:val="clear" w:color="000000" w:fill="FFFFFF"/>
            <w:vAlign w:val="center"/>
            <w:hideMark/>
          </w:tcPr>
          <w:p w:rsidR="00F720EE" w:rsidRDefault="00F720EE" w:rsidP="005B0837">
            <w:pPr>
              <w:rPr>
                <w:rFonts w:ascii="Calibri" w:hAnsi="Calibri" w:cs="Calibri"/>
                <w:b/>
                <w:bCs/>
                <w:color w:val="000000"/>
                <w:sz w:val="16"/>
                <w:szCs w:val="16"/>
              </w:rPr>
            </w:pPr>
            <w:r>
              <w:rPr>
                <w:rFonts w:ascii="Calibri" w:hAnsi="Calibri" w:cs="Calibri"/>
                <w:b/>
                <w:bCs/>
                <w:color w:val="000000"/>
                <w:sz w:val="16"/>
                <w:szCs w:val="16"/>
              </w:rPr>
              <w:t>Rimbursim TVSH</w:t>
            </w:r>
          </w:p>
        </w:tc>
        <w:tc>
          <w:tcPr>
            <w:tcW w:w="1077" w:type="dxa"/>
            <w:tcBorders>
              <w:top w:val="single" w:sz="8" w:space="0" w:color="4BACC6"/>
              <w:left w:val="nil"/>
              <w:bottom w:val="single" w:sz="8" w:space="0" w:color="4BACC6"/>
              <w:right w:val="nil"/>
            </w:tcBorders>
            <w:shd w:val="clear" w:color="000000" w:fill="FFFFFF"/>
            <w:vAlign w:val="center"/>
            <w:hideMark/>
          </w:tcPr>
          <w:p w:rsidR="00F720EE" w:rsidRDefault="00F720EE" w:rsidP="005B0837">
            <w:pPr>
              <w:jc w:val="right"/>
              <w:rPr>
                <w:rFonts w:ascii="Calibri" w:hAnsi="Calibri" w:cs="Calibri"/>
                <w:color w:val="000000"/>
                <w:sz w:val="16"/>
                <w:szCs w:val="16"/>
              </w:rPr>
            </w:pPr>
            <w:r>
              <w:rPr>
                <w:rFonts w:ascii="Calibri" w:hAnsi="Calibri" w:cs="Calibri"/>
                <w:color w:val="000000"/>
                <w:sz w:val="16"/>
                <w:szCs w:val="16"/>
              </w:rPr>
              <w:t>6,954</w:t>
            </w:r>
          </w:p>
        </w:tc>
        <w:tc>
          <w:tcPr>
            <w:tcW w:w="1271" w:type="dxa"/>
            <w:tcBorders>
              <w:top w:val="single" w:sz="8" w:space="0" w:color="4BACC6"/>
              <w:left w:val="nil"/>
              <w:bottom w:val="single" w:sz="8" w:space="0" w:color="4BACC6"/>
              <w:right w:val="nil"/>
            </w:tcBorders>
            <w:shd w:val="clear" w:color="000000" w:fill="FFFFFF"/>
            <w:vAlign w:val="center"/>
            <w:hideMark/>
          </w:tcPr>
          <w:p w:rsidR="00F720EE" w:rsidRDefault="00F720EE" w:rsidP="005B0837">
            <w:pPr>
              <w:jc w:val="right"/>
              <w:rPr>
                <w:rFonts w:ascii="Calibri" w:hAnsi="Calibri" w:cs="Calibri"/>
                <w:color w:val="000000"/>
                <w:sz w:val="16"/>
                <w:szCs w:val="16"/>
              </w:rPr>
            </w:pPr>
            <w:r>
              <w:rPr>
                <w:rFonts w:ascii="Calibri" w:hAnsi="Calibri" w:cs="Calibri"/>
                <w:color w:val="000000"/>
                <w:sz w:val="16"/>
                <w:szCs w:val="16"/>
              </w:rPr>
              <w:t>5,921</w:t>
            </w:r>
          </w:p>
        </w:tc>
        <w:tc>
          <w:tcPr>
            <w:tcW w:w="1034" w:type="dxa"/>
            <w:tcBorders>
              <w:top w:val="single" w:sz="8" w:space="0" w:color="4BACC6"/>
              <w:left w:val="nil"/>
              <w:bottom w:val="single" w:sz="8" w:space="0" w:color="4BACC6"/>
              <w:right w:val="nil"/>
            </w:tcBorders>
            <w:shd w:val="clear" w:color="000000" w:fill="FFFFFF"/>
            <w:vAlign w:val="center"/>
            <w:hideMark/>
          </w:tcPr>
          <w:p w:rsidR="00F720EE" w:rsidRDefault="00F720EE" w:rsidP="005B0837">
            <w:pPr>
              <w:jc w:val="right"/>
              <w:rPr>
                <w:rFonts w:ascii="Cambria" w:hAnsi="Cambria" w:cs="Calibri"/>
                <w:color w:val="000000"/>
                <w:sz w:val="16"/>
                <w:szCs w:val="16"/>
              </w:rPr>
            </w:pPr>
            <w:r>
              <w:rPr>
                <w:rFonts w:ascii="Cambria" w:hAnsi="Cambria" w:cs="Calibri"/>
                <w:color w:val="000000"/>
                <w:sz w:val="16"/>
                <w:szCs w:val="16"/>
              </w:rPr>
              <w:t>8,500</w:t>
            </w:r>
          </w:p>
        </w:tc>
        <w:tc>
          <w:tcPr>
            <w:tcW w:w="1034" w:type="dxa"/>
            <w:tcBorders>
              <w:top w:val="single" w:sz="8" w:space="0" w:color="4BACC6"/>
              <w:left w:val="nil"/>
              <w:bottom w:val="single" w:sz="8" w:space="0" w:color="4BACC6"/>
              <w:right w:val="nil"/>
            </w:tcBorders>
            <w:shd w:val="clear" w:color="000000" w:fill="FFFFFF"/>
            <w:vAlign w:val="center"/>
            <w:hideMark/>
          </w:tcPr>
          <w:p w:rsidR="00F720EE" w:rsidRDefault="00F720EE" w:rsidP="005B0837">
            <w:pPr>
              <w:jc w:val="right"/>
              <w:rPr>
                <w:rFonts w:ascii="Calibri" w:hAnsi="Calibri" w:cs="Calibri"/>
                <w:color w:val="000000"/>
                <w:sz w:val="16"/>
                <w:szCs w:val="16"/>
              </w:rPr>
            </w:pPr>
            <w:r>
              <w:rPr>
                <w:rFonts w:ascii="Calibri" w:hAnsi="Calibri" w:cs="Calibri"/>
                <w:color w:val="000000"/>
                <w:sz w:val="16"/>
                <w:szCs w:val="16"/>
              </w:rPr>
              <w:t>-1,033</w:t>
            </w:r>
          </w:p>
        </w:tc>
        <w:tc>
          <w:tcPr>
            <w:tcW w:w="1034" w:type="dxa"/>
            <w:tcBorders>
              <w:top w:val="single" w:sz="8" w:space="0" w:color="4BACC6"/>
              <w:left w:val="nil"/>
              <w:bottom w:val="single" w:sz="8" w:space="0" w:color="4BACC6"/>
              <w:right w:val="nil"/>
            </w:tcBorders>
            <w:shd w:val="clear" w:color="000000" w:fill="FFFFFF"/>
            <w:vAlign w:val="center"/>
            <w:hideMark/>
          </w:tcPr>
          <w:p w:rsidR="00F720EE" w:rsidRDefault="00F720EE" w:rsidP="005B0837">
            <w:pPr>
              <w:jc w:val="right"/>
              <w:rPr>
                <w:rFonts w:ascii="Calibri" w:hAnsi="Calibri" w:cs="Calibri"/>
                <w:color w:val="000000"/>
                <w:sz w:val="16"/>
                <w:szCs w:val="16"/>
              </w:rPr>
            </w:pPr>
            <w:r>
              <w:rPr>
                <w:rFonts w:ascii="Calibri" w:hAnsi="Calibri" w:cs="Calibri"/>
                <w:color w:val="000000"/>
                <w:sz w:val="16"/>
                <w:szCs w:val="16"/>
              </w:rPr>
              <w:t>85.1%</w:t>
            </w:r>
          </w:p>
        </w:tc>
        <w:tc>
          <w:tcPr>
            <w:tcW w:w="1034" w:type="dxa"/>
            <w:tcBorders>
              <w:top w:val="single" w:sz="8" w:space="0" w:color="4BACC6"/>
              <w:left w:val="nil"/>
              <w:bottom w:val="single" w:sz="8" w:space="0" w:color="4BACC6"/>
              <w:right w:val="nil"/>
            </w:tcBorders>
            <w:shd w:val="clear" w:color="000000" w:fill="FFFFFF"/>
            <w:vAlign w:val="center"/>
            <w:hideMark/>
          </w:tcPr>
          <w:p w:rsidR="00F720EE" w:rsidRDefault="00F720EE" w:rsidP="005B0837">
            <w:pPr>
              <w:jc w:val="right"/>
              <w:rPr>
                <w:rFonts w:ascii="Calibri" w:hAnsi="Calibri" w:cs="Calibri"/>
                <w:color w:val="000000"/>
                <w:sz w:val="16"/>
                <w:szCs w:val="16"/>
              </w:rPr>
            </w:pPr>
            <w:r>
              <w:rPr>
                <w:rFonts w:ascii="Calibri" w:hAnsi="Calibri" w:cs="Calibri"/>
                <w:color w:val="000000"/>
                <w:sz w:val="16"/>
                <w:szCs w:val="16"/>
              </w:rPr>
              <w:t>-2579</w:t>
            </w:r>
          </w:p>
        </w:tc>
        <w:tc>
          <w:tcPr>
            <w:tcW w:w="1034" w:type="dxa"/>
            <w:tcBorders>
              <w:top w:val="single" w:sz="8" w:space="0" w:color="4BACC6"/>
              <w:left w:val="nil"/>
              <w:bottom w:val="single" w:sz="8" w:space="0" w:color="4BACC6"/>
              <w:right w:val="single" w:sz="8" w:space="0" w:color="4BACC6"/>
            </w:tcBorders>
            <w:shd w:val="clear" w:color="000000" w:fill="FFFFFF"/>
            <w:vAlign w:val="center"/>
            <w:hideMark/>
          </w:tcPr>
          <w:p w:rsidR="00F720EE" w:rsidRDefault="00F720EE" w:rsidP="005B0837">
            <w:pPr>
              <w:jc w:val="right"/>
              <w:rPr>
                <w:rFonts w:ascii="Calibri" w:hAnsi="Calibri" w:cs="Calibri"/>
                <w:color w:val="000000"/>
                <w:sz w:val="16"/>
                <w:szCs w:val="16"/>
              </w:rPr>
            </w:pPr>
            <w:r>
              <w:rPr>
                <w:rFonts w:ascii="Calibri" w:hAnsi="Calibri" w:cs="Calibri"/>
                <w:color w:val="000000"/>
                <w:sz w:val="16"/>
                <w:szCs w:val="16"/>
              </w:rPr>
              <w:t>69.7%</w:t>
            </w:r>
          </w:p>
        </w:tc>
      </w:tr>
      <w:tr w:rsidR="00F720EE" w:rsidTr="005B0837">
        <w:trPr>
          <w:trHeight w:val="222"/>
          <w:jc w:val="center"/>
        </w:trPr>
        <w:tc>
          <w:tcPr>
            <w:tcW w:w="2587" w:type="dxa"/>
            <w:tcBorders>
              <w:top w:val="nil"/>
              <w:left w:val="single" w:sz="8" w:space="0" w:color="4BACC6"/>
              <w:bottom w:val="nil"/>
              <w:right w:val="nil"/>
            </w:tcBorders>
            <w:shd w:val="clear" w:color="000000" w:fill="FFFFFF"/>
            <w:vAlign w:val="center"/>
            <w:hideMark/>
          </w:tcPr>
          <w:p w:rsidR="00F720EE" w:rsidRDefault="00F720EE" w:rsidP="005B0837">
            <w:pPr>
              <w:rPr>
                <w:rFonts w:ascii="Calibri" w:hAnsi="Calibri" w:cs="Calibri"/>
                <w:b/>
                <w:bCs/>
                <w:color w:val="000000"/>
                <w:sz w:val="16"/>
                <w:szCs w:val="16"/>
              </w:rPr>
            </w:pPr>
            <w:r>
              <w:rPr>
                <w:rFonts w:ascii="Calibri" w:hAnsi="Calibri" w:cs="Calibri"/>
                <w:b/>
                <w:bCs/>
                <w:color w:val="000000"/>
                <w:sz w:val="16"/>
                <w:szCs w:val="16"/>
              </w:rPr>
              <w:t>Tatimi mbi fitimin</w:t>
            </w:r>
          </w:p>
        </w:tc>
        <w:tc>
          <w:tcPr>
            <w:tcW w:w="1077" w:type="dxa"/>
            <w:tcBorders>
              <w:top w:val="nil"/>
              <w:left w:val="nil"/>
              <w:bottom w:val="nil"/>
              <w:right w:val="nil"/>
            </w:tcBorders>
            <w:shd w:val="clear" w:color="000000" w:fill="FFFFFF"/>
            <w:vAlign w:val="center"/>
            <w:hideMark/>
          </w:tcPr>
          <w:p w:rsidR="00F720EE" w:rsidRDefault="00F720EE" w:rsidP="005B0837">
            <w:pPr>
              <w:jc w:val="right"/>
              <w:rPr>
                <w:rFonts w:ascii="Calibri" w:hAnsi="Calibri" w:cs="Calibri"/>
                <w:color w:val="000000"/>
                <w:sz w:val="16"/>
                <w:szCs w:val="16"/>
              </w:rPr>
            </w:pPr>
            <w:r>
              <w:rPr>
                <w:rFonts w:ascii="Calibri" w:hAnsi="Calibri" w:cs="Calibri"/>
                <w:color w:val="000000"/>
                <w:sz w:val="16"/>
                <w:szCs w:val="16"/>
              </w:rPr>
              <w:t>17,696</w:t>
            </w:r>
          </w:p>
        </w:tc>
        <w:tc>
          <w:tcPr>
            <w:tcW w:w="1271" w:type="dxa"/>
            <w:tcBorders>
              <w:top w:val="nil"/>
              <w:left w:val="nil"/>
              <w:bottom w:val="nil"/>
              <w:right w:val="nil"/>
            </w:tcBorders>
            <w:shd w:val="clear" w:color="000000" w:fill="FFFFFF"/>
            <w:vAlign w:val="center"/>
            <w:hideMark/>
          </w:tcPr>
          <w:p w:rsidR="00F720EE" w:rsidRDefault="00F720EE" w:rsidP="005B0837">
            <w:pPr>
              <w:jc w:val="right"/>
              <w:rPr>
                <w:rFonts w:ascii="Calibri" w:hAnsi="Calibri" w:cs="Calibri"/>
                <w:color w:val="000000"/>
                <w:sz w:val="16"/>
                <w:szCs w:val="16"/>
              </w:rPr>
            </w:pPr>
            <w:r>
              <w:rPr>
                <w:rFonts w:ascii="Calibri" w:hAnsi="Calibri" w:cs="Calibri"/>
                <w:color w:val="000000"/>
                <w:sz w:val="16"/>
                <w:szCs w:val="16"/>
              </w:rPr>
              <w:t>11,443</w:t>
            </w:r>
          </w:p>
        </w:tc>
        <w:tc>
          <w:tcPr>
            <w:tcW w:w="1034" w:type="dxa"/>
            <w:tcBorders>
              <w:top w:val="nil"/>
              <w:left w:val="nil"/>
              <w:bottom w:val="nil"/>
              <w:right w:val="nil"/>
            </w:tcBorders>
            <w:shd w:val="clear" w:color="000000" w:fill="FFFFFF"/>
            <w:vAlign w:val="center"/>
            <w:hideMark/>
          </w:tcPr>
          <w:p w:rsidR="00F720EE" w:rsidRDefault="00F720EE" w:rsidP="005B0837">
            <w:pPr>
              <w:jc w:val="right"/>
              <w:rPr>
                <w:rFonts w:ascii="Calibri" w:hAnsi="Calibri" w:cs="Calibri"/>
                <w:color w:val="000000"/>
                <w:sz w:val="16"/>
                <w:szCs w:val="16"/>
              </w:rPr>
            </w:pPr>
            <w:r>
              <w:rPr>
                <w:rFonts w:ascii="Calibri" w:hAnsi="Calibri" w:cs="Calibri"/>
                <w:color w:val="000000"/>
                <w:sz w:val="16"/>
                <w:szCs w:val="16"/>
              </w:rPr>
              <w:t>14,043</w:t>
            </w:r>
          </w:p>
        </w:tc>
        <w:tc>
          <w:tcPr>
            <w:tcW w:w="1034" w:type="dxa"/>
            <w:tcBorders>
              <w:top w:val="nil"/>
              <w:left w:val="nil"/>
              <w:bottom w:val="nil"/>
              <w:right w:val="nil"/>
            </w:tcBorders>
            <w:shd w:val="clear" w:color="000000" w:fill="FFFFFF"/>
            <w:vAlign w:val="center"/>
            <w:hideMark/>
          </w:tcPr>
          <w:p w:rsidR="00F720EE" w:rsidRDefault="00F720EE" w:rsidP="005B0837">
            <w:pPr>
              <w:jc w:val="right"/>
              <w:rPr>
                <w:rFonts w:ascii="Calibri" w:hAnsi="Calibri" w:cs="Calibri"/>
                <w:color w:val="000000"/>
                <w:sz w:val="16"/>
                <w:szCs w:val="16"/>
              </w:rPr>
            </w:pPr>
            <w:r>
              <w:rPr>
                <w:rFonts w:ascii="Calibri" w:hAnsi="Calibri" w:cs="Calibri"/>
                <w:color w:val="000000"/>
                <w:sz w:val="16"/>
                <w:szCs w:val="16"/>
              </w:rPr>
              <w:t>-6,253</w:t>
            </w:r>
          </w:p>
        </w:tc>
        <w:tc>
          <w:tcPr>
            <w:tcW w:w="1034" w:type="dxa"/>
            <w:tcBorders>
              <w:top w:val="nil"/>
              <w:left w:val="nil"/>
              <w:bottom w:val="nil"/>
              <w:right w:val="nil"/>
            </w:tcBorders>
            <w:shd w:val="clear" w:color="000000" w:fill="FFFFFF"/>
            <w:vAlign w:val="center"/>
            <w:hideMark/>
          </w:tcPr>
          <w:p w:rsidR="00F720EE" w:rsidRDefault="00F720EE" w:rsidP="005B0837">
            <w:pPr>
              <w:jc w:val="right"/>
              <w:rPr>
                <w:rFonts w:ascii="Calibri" w:hAnsi="Calibri" w:cs="Calibri"/>
                <w:color w:val="000000"/>
                <w:sz w:val="16"/>
                <w:szCs w:val="16"/>
              </w:rPr>
            </w:pPr>
            <w:r>
              <w:rPr>
                <w:rFonts w:ascii="Calibri" w:hAnsi="Calibri" w:cs="Calibri"/>
                <w:color w:val="000000"/>
                <w:sz w:val="16"/>
                <w:szCs w:val="16"/>
              </w:rPr>
              <w:t>64.7%</w:t>
            </w:r>
          </w:p>
        </w:tc>
        <w:tc>
          <w:tcPr>
            <w:tcW w:w="1034" w:type="dxa"/>
            <w:tcBorders>
              <w:top w:val="nil"/>
              <w:left w:val="nil"/>
              <w:bottom w:val="nil"/>
              <w:right w:val="nil"/>
            </w:tcBorders>
            <w:shd w:val="clear" w:color="000000" w:fill="FFFFFF"/>
            <w:vAlign w:val="center"/>
            <w:hideMark/>
          </w:tcPr>
          <w:p w:rsidR="00F720EE" w:rsidRDefault="00F720EE" w:rsidP="005B0837">
            <w:pPr>
              <w:jc w:val="right"/>
              <w:rPr>
                <w:rFonts w:ascii="Calibri" w:hAnsi="Calibri" w:cs="Calibri"/>
                <w:color w:val="000000"/>
                <w:sz w:val="16"/>
                <w:szCs w:val="16"/>
              </w:rPr>
            </w:pPr>
            <w:r>
              <w:rPr>
                <w:rFonts w:ascii="Calibri" w:hAnsi="Calibri" w:cs="Calibri"/>
                <w:color w:val="000000"/>
                <w:sz w:val="16"/>
                <w:szCs w:val="16"/>
              </w:rPr>
              <w:t>-2,600</w:t>
            </w:r>
          </w:p>
        </w:tc>
        <w:tc>
          <w:tcPr>
            <w:tcW w:w="1034" w:type="dxa"/>
            <w:tcBorders>
              <w:top w:val="nil"/>
              <w:left w:val="nil"/>
              <w:bottom w:val="nil"/>
              <w:right w:val="single" w:sz="8" w:space="0" w:color="4BACC6"/>
            </w:tcBorders>
            <w:shd w:val="clear" w:color="000000" w:fill="FFFFFF"/>
            <w:vAlign w:val="center"/>
            <w:hideMark/>
          </w:tcPr>
          <w:p w:rsidR="00F720EE" w:rsidRDefault="00F720EE" w:rsidP="005B0837">
            <w:pPr>
              <w:jc w:val="right"/>
              <w:rPr>
                <w:rFonts w:ascii="Calibri" w:hAnsi="Calibri" w:cs="Calibri"/>
                <w:color w:val="000000"/>
                <w:sz w:val="16"/>
                <w:szCs w:val="16"/>
              </w:rPr>
            </w:pPr>
            <w:r>
              <w:rPr>
                <w:rFonts w:ascii="Calibri" w:hAnsi="Calibri" w:cs="Calibri"/>
                <w:color w:val="000000"/>
                <w:sz w:val="16"/>
                <w:szCs w:val="16"/>
              </w:rPr>
              <w:t>81.5%</w:t>
            </w:r>
          </w:p>
        </w:tc>
      </w:tr>
      <w:tr w:rsidR="00F720EE" w:rsidTr="005B0837">
        <w:trPr>
          <w:trHeight w:val="222"/>
          <w:jc w:val="center"/>
        </w:trPr>
        <w:tc>
          <w:tcPr>
            <w:tcW w:w="2587" w:type="dxa"/>
            <w:tcBorders>
              <w:top w:val="single" w:sz="8" w:space="0" w:color="4BACC6"/>
              <w:left w:val="single" w:sz="8" w:space="0" w:color="4BACC6"/>
              <w:bottom w:val="single" w:sz="8" w:space="0" w:color="4BACC6"/>
              <w:right w:val="nil"/>
            </w:tcBorders>
            <w:shd w:val="clear" w:color="000000" w:fill="FFFFFF"/>
            <w:vAlign w:val="center"/>
            <w:hideMark/>
          </w:tcPr>
          <w:p w:rsidR="00F720EE" w:rsidRDefault="00F720EE" w:rsidP="005B0837">
            <w:pPr>
              <w:rPr>
                <w:rFonts w:ascii="Calibri" w:hAnsi="Calibri" w:cs="Calibri"/>
                <w:b/>
                <w:bCs/>
                <w:color w:val="000000"/>
                <w:sz w:val="16"/>
                <w:szCs w:val="16"/>
              </w:rPr>
            </w:pPr>
            <w:r>
              <w:rPr>
                <w:rFonts w:ascii="Calibri" w:hAnsi="Calibri" w:cs="Calibri"/>
                <w:b/>
                <w:bCs/>
                <w:color w:val="000000"/>
                <w:sz w:val="16"/>
                <w:szCs w:val="16"/>
              </w:rPr>
              <w:t xml:space="preserve">Akciza </w:t>
            </w:r>
          </w:p>
        </w:tc>
        <w:tc>
          <w:tcPr>
            <w:tcW w:w="1077" w:type="dxa"/>
            <w:tcBorders>
              <w:top w:val="single" w:sz="8" w:space="0" w:color="4BACC6"/>
              <w:left w:val="nil"/>
              <w:bottom w:val="single" w:sz="8" w:space="0" w:color="4BACC6"/>
              <w:right w:val="nil"/>
            </w:tcBorders>
            <w:shd w:val="clear" w:color="000000" w:fill="FFFFFF"/>
            <w:vAlign w:val="center"/>
            <w:hideMark/>
          </w:tcPr>
          <w:p w:rsidR="00F720EE" w:rsidRDefault="00F720EE" w:rsidP="005B0837">
            <w:pPr>
              <w:jc w:val="right"/>
              <w:rPr>
                <w:rFonts w:ascii="Calibri" w:hAnsi="Calibri" w:cs="Calibri"/>
                <w:color w:val="000000"/>
                <w:sz w:val="16"/>
                <w:szCs w:val="16"/>
              </w:rPr>
            </w:pPr>
            <w:r>
              <w:rPr>
                <w:rFonts w:ascii="Calibri" w:hAnsi="Calibri" w:cs="Calibri"/>
                <w:color w:val="000000"/>
                <w:sz w:val="16"/>
                <w:szCs w:val="16"/>
              </w:rPr>
              <w:t>16,982</w:t>
            </w:r>
          </w:p>
        </w:tc>
        <w:tc>
          <w:tcPr>
            <w:tcW w:w="1271" w:type="dxa"/>
            <w:tcBorders>
              <w:top w:val="single" w:sz="8" w:space="0" w:color="4BACC6"/>
              <w:left w:val="nil"/>
              <w:bottom w:val="single" w:sz="8" w:space="0" w:color="4BACC6"/>
              <w:right w:val="nil"/>
            </w:tcBorders>
            <w:shd w:val="clear" w:color="000000" w:fill="FFFFFF"/>
            <w:vAlign w:val="center"/>
            <w:hideMark/>
          </w:tcPr>
          <w:p w:rsidR="00F720EE" w:rsidRDefault="00F720EE" w:rsidP="005B0837">
            <w:pPr>
              <w:jc w:val="right"/>
              <w:rPr>
                <w:rFonts w:ascii="Calibri" w:hAnsi="Calibri" w:cs="Calibri"/>
                <w:color w:val="000000"/>
                <w:sz w:val="16"/>
                <w:szCs w:val="16"/>
              </w:rPr>
            </w:pPr>
            <w:r>
              <w:rPr>
                <w:rFonts w:ascii="Calibri" w:hAnsi="Calibri" w:cs="Calibri"/>
                <w:color w:val="000000"/>
                <w:sz w:val="16"/>
                <w:szCs w:val="16"/>
              </w:rPr>
              <w:t>15,810</w:t>
            </w:r>
          </w:p>
        </w:tc>
        <w:tc>
          <w:tcPr>
            <w:tcW w:w="1034" w:type="dxa"/>
            <w:tcBorders>
              <w:top w:val="single" w:sz="8" w:space="0" w:color="4BACC6"/>
              <w:left w:val="nil"/>
              <w:bottom w:val="single" w:sz="8" w:space="0" w:color="4BACC6"/>
              <w:right w:val="nil"/>
            </w:tcBorders>
            <w:shd w:val="clear" w:color="000000" w:fill="FFFFFF"/>
            <w:vAlign w:val="center"/>
            <w:hideMark/>
          </w:tcPr>
          <w:p w:rsidR="00F720EE" w:rsidRDefault="00F720EE" w:rsidP="005B0837">
            <w:pPr>
              <w:jc w:val="right"/>
              <w:rPr>
                <w:rFonts w:ascii="Calibri" w:hAnsi="Calibri" w:cs="Calibri"/>
                <w:color w:val="000000"/>
                <w:sz w:val="16"/>
                <w:szCs w:val="16"/>
              </w:rPr>
            </w:pPr>
            <w:r>
              <w:rPr>
                <w:rFonts w:ascii="Calibri" w:hAnsi="Calibri" w:cs="Calibri"/>
                <w:color w:val="000000"/>
                <w:sz w:val="16"/>
                <w:szCs w:val="16"/>
              </w:rPr>
              <w:t>16,715</w:t>
            </w:r>
          </w:p>
        </w:tc>
        <w:tc>
          <w:tcPr>
            <w:tcW w:w="1034" w:type="dxa"/>
            <w:tcBorders>
              <w:top w:val="single" w:sz="8" w:space="0" w:color="4BACC6"/>
              <w:left w:val="nil"/>
              <w:bottom w:val="single" w:sz="8" w:space="0" w:color="4BACC6"/>
              <w:right w:val="nil"/>
            </w:tcBorders>
            <w:shd w:val="clear" w:color="000000" w:fill="FFFFFF"/>
            <w:vAlign w:val="center"/>
            <w:hideMark/>
          </w:tcPr>
          <w:p w:rsidR="00F720EE" w:rsidRDefault="00F720EE" w:rsidP="005B0837">
            <w:pPr>
              <w:jc w:val="right"/>
              <w:rPr>
                <w:rFonts w:ascii="Calibri" w:hAnsi="Calibri" w:cs="Calibri"/>
                <w:color w:val="000000"/>
                <w:sz w:val="16"/>
                <w:szCs w:val="16"/>
              </w:rPr>
            </w:pPr>
            <w:r>
              <w:rPr>
                <w:rFonts w:ascii="Calibri" w:hAnsi="Calibri" w:cs="Calibri"/>
                <w:color w:val="000000"/>
                <w:sz w:val="16"/>
                <w:szCs w:val="16"/>
              </w:rPr>
              <w:t>-1172</w:t>
            </w:r>
          </w:p>
        </w:tc>
        <w:tc>
          <w:tcPr>
            <w:tcW w:w="1034" w:type="dxa"/>
            <w:tcBorders>
              <w:top w:val="single" w:sz="8" w:space="0" w:color="4BACC6"/>
              <w:left w:val="nil"/>
              <w:bottom w:val="single" w:sz="8" w:space="0" w:color="4BACC6"/>
              <w:right w:val="nil"/>
            </w:tcBorders>
            <w:shd w:val="clear" w:color="000000" w:fill="FFFFFF"/>
            <w:vAlign w:val="center"/>
            <w:hideMark/>
          </w:tcPr>
          <w:p w:rsidR="00F720EE" w:rsidRDefault="00F720EE" w:rsidP="005B0837">
            <w:pPr>
              <w:jc w:val="right"/>
              <w:rPr>
                <w:rFonts w:ascii="Calibri" w:hAnsi="Calibri" w:cs="Calibri"/>
                <w:color w:val="000000"/>
                <w:sz w:val="16"/>
                <w:szCs w:val="16"/>
              </w:rPr>
            </w:pPr>
            <w:r>
              <w:rPr>
                <w:rFonts w:ascii="Calibri" w:hAnsi="Calibri" w:cs="Calibri"/>
                <w:color w:val="000000"/>
                <w:sz w:val="16"/>
                <w:szCs w:val="16"/>
              </w:rPr>
              <w:t>93.1%</w:t>
            </w:r>
          </w:p>
        </w:tc>
        <w:tc>
          <w:tcPr>
            <w:tcW w:w="1034" w:type="dxa"/>
            <w:tcBorders>
              <w:top w:val="single" w:sz="8" w:space="0" w:color="4BACC6"/>
              <w:left w:val="nil"/>
              <w:bottom w:val="single" w:sz="8" w:space="0" w:color="4BACC6"/>
              <w:right w:val="nil"/>
            </w:tcBorders>
            <w:shd w:val="clear" w:color="000000" w:fill="FFFFFF"/>
            <w:vAlign w:val="center"/>
            <w:hideMark/>
          </w:tcPr>
          <w:p w:rsidR="00F720EE" w:rsidRDefault="00F720EE" w:rsidP="005B0837">
            <w:pPr>
              <w:jc w:val="right"/>
              <w:rPr>
                <w:rFonts w:ascii="Calibri" w:hAnsi="Calibri" w:cs="Calibri"/>
                <w:color w:val="000000"/>
                <w:sz w:val="16"/>
                <w:szCs w:val="16"/>
              </w:rPr>
            </w:pPr>
            <w:r>
              <w:rPr>
                <w:rFonts w:ascii="Calibri" w:hAnsi="Calibri" w:cs="Calibri"/>
                <w:color w:val="000000"/>
                <w:sz w:val="16"/>
                <w:szCs w:val="16"/>
              </w:rPr>
              <w:t>-905</w:t>
            </w:r>
          </w:p>
        </w:tc>
        <w:tc>
          <w:tcPr>
            <w:tcW w:w="1034" w:type="dxa"/>
            <w:tcBorders>
              <w:top w:val="single" w:sz="8" w:space="0" w:color="4BACC6"/>
              <w:left w:val="nil"/>
              <w:bottom w:val="single" w:sz="8" w:space="0" w:color="4BACC6"/>
              <w:right w:val="single" w:sz="8" w:space="0" w:color="4BACC6"/>
            </w:tcBorders>
            <w:shd w:val="clear" w:color="000000" w:fill="FFFFFF"/>
            <w:vAlign w:val="center"/>
            <w:hideMark/>
          </w:tcPr>
          <w:p w:rsidR="00F720EE" w:rsidRDefault="00F720EE" w:rsidP="005B0837">
            <w:pPr>
              <w:jc w:val="right"/>
              <w:rPr>
                <w:rFonts w:ascii="Calibri" w:hAnsi="Calibri" w:cs="Calibri"/>
                <w:color w:val="000000"/>
                <w:sz w:val="16"/>
                <w:szCs w:val="16"/>
              </w:rPr>
            </w:pPr>
            <w:r>
              <w:rPr>
                <w:rFonts w:ascii="Calibri" w:hAnsi="Calibri" w:cs="Calibri"/>
                <w:color w:val="000000"/>
                <w:sz w:val="16"/>
                <w:szCs w:val="16"/>
              </w:rPr>
              <w:t>94.6%</w:t>
            </w:r>
          </w:p>
        </w:tc>
      </w:tr>
      <w:tr w:rsidR="00F720EE" w:rsidTr="005B0837">
        <w:trPr>
          <w:trHeight w:val="222"/>
          <w:jc w:val="center"/>
        </w:trPr>
        <w:tc>
          <w:tcPr>
            <w:tcW w:w="2587" w:type="dxa"/>
            <w:tcBorders>
              <w:top w:val="nil"/>
              <w:left w:val="single" w:sz="8" w:space="0" w:color="4BACC6"/>
              <w:bottom w:val="nil"/>
              <w:right w:val="nil"/>
            </w:tcBorders>
            <w:shd w:val="clear" w:color="000000" w:fill="FFFFFF"/>
            <w:vAlign w:val="center"/>
            <w:hideMark/>
          </w:tcPr>
          <w:p w:rsidR="00F720EE" w:rsidRDefault="00F720EE" w:rsidP="005B0837">
            <w:pPr>
              <w:rPr>
                <w:rFonts w:ascii="Calibri" w:hAnsi="Calibri" w:cs="Calibri"/>
                <w:b/>
                <w:bCs/>
                <w:color w:val="000000"/>
                <w:sz w:val="16"/>
                <w:szCs w:val="16"/>
              </w:rPr>
            </w:pPr>
            <w:r>
              <w:rPr>
                <w:rFonts w:ascii="Calibri" w:hAnsi="Calibri" w:cs="Calibri"/>
                <w:b/>
                <w:bCs/>
                <w:color w:val="000000"/>
                <w:sz w:val="16"/>
                <w:szCs w:val="16"/>
              </w:rPr>
              <w:t>Tatimi mbi të ardhurat personale</w:t>
            </w:r>
          </w:p>
        </w:tc>
        <w:tc>
          <w:tcPr>
            <w:tcW w:w="1077" w:type="dxa"/>
            <w:tcBorders>
              <w:top w:val="nil"/>
              <w:left w:val="nil"/>
              <w:bottom w:val="nil"/>
              <w:right w:val="nil"/>
            </w:tcBorders>
            <w:shd w:val="clear" w:color="000000" w:fill="FFFFFF"/>
            <w:vAlign w:val="center"/>
            <w:hideMark/>
          </w:tcPr>
          <w:p w:rsidR="00F720EE" w:rsidRDefault="00F720EE" w:rsidP="005B0837">
            <w:pPr>
              <w:jc w:val="right"/>
              <w:rPr>
                <w:rFonts w:ascii="Calibri" w:hAnsi="Calibri" w:cs="Calibri"/>
                <w:color w:val="000000"/>
                <w:sz w:val="16"/>
                <w:szCs w:val="16"/>
              </w:rPr>
            </w:pPr>
            <w:r>
              <w:rPr>
                <w:rFonts w:ascii="Calibri" w:hAnsi="Calibri" w:cs="Calibri"/>
                <w:color w:val="000000"/>
                <w:sz w:val="16"/>
                <w:szCs w:val="16"/>
              </w:rPr>
              <w:t>18,440</w:t>
            </w:r>
          </w:p>
        </w:tc>
        <w:tc>
          <w:tcPr>
            <w:tcW w:w="1271" w:type="dxa"/>
            <w:tcBorders>
              <w:top w:val="nil"/>
              <w:left w:val="nil"/>
              <w:bottom w:val="nil"/>
              <w:right w:val="nil"/>
            </w:tcBorders>
            <w:shd w:val="clear" w:color="000000" w:fill="FFFFFF"/>
            <w:vAlign w:val="center"/>
            <w:hideMark/>
          </w:tcPr>
          <w:p w:rsidR="00F720EE" w:rsidRDefault="00F720EE" w:rsidP="005B0837">
            <w:pPr>
              <w:jc w:val="right"/>
              <w:rPr>
                <w:rFonts w:ascii="Calibri" w:hAnsi="Calibri" w:cs="Calibri"/>
                <w:color w:val="000000"/>
                <w:sz w:val="16"/>
                <w:szCs w:val="16"/>
              </w:rPr>
            </w:pPr>
            <w:r>
              <w:rPr>
                <w:rFonts w:ascii="Calibri" w:hAnsi="Calibri" w:cs="Calibri"/>
                <w:color w:val="000000"/>
                <w:sz w:val="16"/>
                <w:szCs w:val="16"/>
              </w:rPr>
              <w:t>13,544</w:t>
            </w:r>
          </w:p>
        </w:tc>
        <w:tc>
          <w:tcPr>
            <w:tcW w:w="1034" w:type="dxa"/>
            <w:tcBorders>
              <w:top w:val="nil"/>
              <w:left w:val="nil"/>
              <w:bottom w:val="nil"/>
              <w:right w:val="nil"/>
            </w:tcBorders>
            <w:shd w:val="clear" w:color="000000" w:fill="FFFFFF"/>
            <w:vAlign w:val="center"/>
            <w:hideMark/>
          </w:tcPr>
          <w:p w:rsidR="00F720EE" w:rsidRDefault="00F720EE" w:rsidP="005B0837">
            <w:pPr>
              <w:jc w:val="right"/>
              <w:rPr>
                <w:rFonts w:ascii="Calibri" w:hAnsi="Calibri" w:cs="Calibri"/>
                <w:color w:val="000000"/>
                <w:sz w:val="16"/>
                <w:szCs w:val="16"/>
              </w:rPr>
            </w:pPr>
            <w:r>
              <w:rPr>
                <w:rFonts w:ascii="Calibri" w:hAnsi="Calibri" w:cs="Calibri"/>
                <w:color w:val="000000"/>
                <w:sz w:val="16"/>
                <w:szCs w:val="16"/>
              </w:rPr>
              <w:t>14,151</w:t>
            </w:r>
          </w:p>
        </w:tc>
        <w:tc>
          <w:tcPr>
            <w:tcW w:w="1034" w:type="dxa"/>
            <w:tcBorders>
              <w:top w:val="nil"/>
              <w:left w:val="nil"/>
              <w:bottom w:val="nil"/>
              <w:right w:val="nil"/>
            </w:tcBorders>
            <w:shd w:val="clear" w:color="000000" w:fill="FFFFFF"/>
            <w:vAlign w:val="center"/>
            <w:hideMark/>
          </w:tcPr>
          <w:p w:rsidR="00F720EE" w:rsidRDefault="00F720EE" w:rsidP="005B0837">
            <w:pPr>
              <w:jc w:val="right"/>
              <w:rPr>
                <w:rFonts w:ascii="Calibri" w:hAnsi="Calibri" w:cs="Calibri"/>
                <w:color w:val="000000"/>
                <w:sz w:val="16"/>
                <w:szCs w:val="16"/>
              </w:rPr>
            </w:pPr>
            <w:r>
              <w:rPr>
                <w:rFonts w:ascii="Calibri" w:hAnsi="Calibri" w:cs="Calibri"/>
                <w:color w:val="000000"/>
                <w:sz w:val="16"/>
                <w:szCs w:val="16"/>
              </w:rPr>
              <w:t>-4,896</w:t>
            </w:r>
          </w:p>
        </w:tc>
        <w:tc>
          <w:tcPr>
            <w:tcW w:w="1034" w:type="dxa"/>
            <w:tcBorders>
              <w:top w:val="nil"/>
              <w:left w:val="nil"/>
              <w:bottom w:val="nil"/>
              <w:right w:val="nil"/>
            </w:tcBorders>
            <w:shd w:val="clear" w:color="000000" w:fill="FFFFFF"/>
            <w:vAlign w:val="center"/>
            <w:hideMark/>
          </w:tcPr>
          <w:p w:rsidR="00F720EE" w:rsidRDefault="00F720EE" w:rsidP="005B0837">
            <w:pPr>
              <w:jc w:val="right"/>
              <w:rPr>
                <w:rFonts w:ascii="Calibri" w:hAnsi="Calibri" w:cs="Calibri"/>
                <w:color w:val="000000"/>
                <w:sz w:val="16"/>
                <w:szCs w:val="16"/>
              </w:rPr>
            </w:pPr>
            <w:r>
              <w:rPr>
                <w:rFonts w:ascii="Calibri" w:hAnsi="Calibri" w:cs="Calibri"/>
                <w:color w:val="000000"/>
                <w:sz w:val="16"/>
                <w:szCs w:val="16"/>
              </w:rPr>
              <w:t>73.4%</w:t>
            </w:r>
          </w:p>
        </w:tc>
        <w:tc>
          <w:tcPr>
            <w:tcW w:w="1034" w:type="dxa"/>
            <w:tcBorders>
              <w:top w:val="nil"/>
              <w:left w:val="nil"/>
              <w:bottom w:val="nil"/>
              <w:right w:val="nil"/>
            </w:tcBorders>
            <w:shd w:val="clear" w:color="000000" w:fill="FFFFFF"/>
            <w:vAlign w:val="center"/>
            <w:hideMark/>
          </w:tcPr>
          <w:p w:rsidR="00F720EE" w:rsidRDefault="00F720EE" w:rsidP="005B0837">
            <w:pPr>
              <w:jc w:val="right"/>
              <w:rPr>
                <w:rFonts w:ascii="Calibri" w:hAnsi="Calibri" w:cs="Calibri"/>
                <w:color w:val="000000"/>
                <w:sz w:val="16"/>
                <w:szCs w:val="16"/>
              </w:rPr>
            </w:pPr>
            <w:r>
              <w:rPr>
                <w:rFonts w:ascii="Calibri" w:hAnsi="Calibri" w:cs="Calibri"/>
                <w:color w:val="000000"/>
                <w:sz w:val="16"/>
                <w:szCs w:val="16"/>
              </w:rPr>
              <w:t>-607</w:t>
            </w:r>
          </w:p>
        </w:tc>
        <w:tc>
          <w:tcPr>
            <w:tcW w:w="1034" w:type="dxa"/>
            <w:tcBorders>
              <w:top w:val="nil"/>
              <w:left w:val="nil"/>
              <w:bottom w:val="nil"/>
              <w:right w:val="single" w:sz="8" w:space="0" w:color="4BACC6"/>
            </w:tcBorders>
            <w:shd w:val="clear" w:color="000000" w:fill="FFFFFF"/>
            <w:vAlign w:val="center"/>
            <w:hideMark/>
          </w:tcPr>
          <w:p w:rsidR="00F720EE" w:rsidRDefault="00F720EE" w:rsidP="005B0837">
            <w:pPr>
              <w:jc w:val="right"/>
              <w:rPr>
                <w:rFonts w:ascii="Calibri" w:hAnsi="Calibri" w:cs="Calibri"/>
                <w:color w:val="000000"/>
                <w:sz w:val="16"/>
                <w:szCs w:val="16"/>
              </w:rPr>
            </w:pPr>
            <w:r>
              <w:rPr>
                <w:rFonts w:ascii="Calibri" w:hAnsi="Calibri" w:cs="Calibri"/>
                <w:color w:val="000000"/>
                <w:sz w:val="16"/>
                <w:szCs w:val="16"/>
              </w:rPr>
              <w:t>95.7%</w:t>
            </w:r>
          </w:p>
        </w:tc>
      </w:tr>
      <w:tr w:rsidR="00F720EE" w:rsidTr="005B0837">
        <w:trPr>
          <w:trHeight w:val="222"/>
          <w:jc w:val="center"/>
        </w:trPr>
        <w:tc>
          <w:tcPr>
            <w:tcW w:w="2587" w:type="dxa"/>
            <w:tcBorders>
              <w:top w:val="single" w:sz="8" w:space="0" w:color="4BACC6"/>
              <w:left w:val="single" w:sz="8" w:space="0" w:color="4BACC6"/>
              <w:bottom w:val="single" w:sz="8" w:space="0" w:color="4BACC6"/>
              <w:right w:val="nil"/>
            </w:tcBorders>
            <w:shd w:val="clear" w:color="000000" w:fill="FFFFFF"/>
            <w:vAlign w:val="center"/>
            <w:hideMark/>
          </w:tcPr>
          <w:p w:rsidR="00F720EE" w:rsidRDefault="00F720EE" w:rsidP="005B0837">
            <w:pPr>
              <w:rPr>
                <w:rFonts w:ascii="Calibri" w:hAnsi="Calibri" w:cs="Calibri"/>
                <w:b/>
                <w:bCs/>
                <w:color w:val="000000"/>
                <w:sz w:val="16"/>
                <w:szCs w:val="16"/>
              </w:rPr>
            </w:pPr>
            <w:r>
              <w:rPr>
                <w:rFonts w:ascii="Calibri" w:hAnsi="Calibri" w:cs="Calibri"/>
                <w:b/>
                <w:bCs/>
                <w:color w:val="000000"/>
                <w:sz w:val="16"/>
                <w:szCs w:val="16"/>
              </w:rPr>
              <w:t>Taksa Nacional dhe te tjera</w:t>
            </w:r>
          </w:p>
        </w:tc>
        <w:tc>
          <w:tcPr>
            <w:tcW w:w="1077" w:type="dxa"/>
            <w:tcBorders>
              <w:top w:val="single" w:sz="8" w:space="0" w:color="4BACC6"/>
              <w:left w:val="nil"/>
              <w:bottom w:val="single" w:sz="8" w:space="0" w:color="4BACC6"/>
              <w:right w:val="nil"/>
            </w:tcBorders>
            <w:shd w:val="clear" w:color="000000" w:fill="FFFFFF"/>
            <w:vAlign w:val="center"/>
            <w:hideMark/>
          </w:tcPr>
          <w:p w:rsidR="00F720EE" w:rsidRDefault="00F720EE" w:rsidP="005B0837">
            <w:pPr>
              <w:jc w:val="right"/>
              <w:rPr>
                <w:rFonts w:ascii="Calibri" w:hAnsi="Calibri" w:cs="Calibri"/>
                <w:color w:val="000000"/>
                <w:sz w:val="16"/>
                <w:szCs w:val="16"/>
              </w:rPr>
            </w:pPr>
            <w:r>
              <w:rPr>
                <w:rFonts w:ascii="Calibri" w:hAnsi="Calibri" w:cs="Calibri"/>
                <w:color w:val="000000"/>
                <w:sz w:val="16"/>
                <w:szCs w:val="16"/>
              </w:rPr>
              <w:t>14,076</w:t>
            </w:r>
          </w:p>
        </w:tc>
        <w:tc>
          <w:tcPr>
            <w:tcW w:w="1271" w:type="dxa"/>
            <w:tcBorders>
              <w:top w:val="single" w:sz="8" w:space="0" w:color="4BACC6"/>
              <w:left w:val="nil"/>
              <w:bottom w:val="single" w:sz="8" w:space="0" w:color="4BACC6"/>
              <w:right w:val="nil"/>
            </w:tcBorders>
            <w:shd w:val="clear" w:color="000000" w:fill="FFFFFF"/>
            <w:vAlign w:val="center"/>
            <w:hideMark/>
          </w:tcPr>
          <w:p w:rsidR="00F720EE" w:rsidRDefault="00F720EE" w:rsidP="005B0837">
            <w:pPr>
              <w:jc w:val="right"/>
              <w:rPr>
                <w:rFonts w:ascii="Calibri" w:hAnsi="Calibri" w:cs="Calibri"/>
                <w:color w:val="000000"/>
                <w:sz w:val="16"/>
                <w:szCs w:val="16"/>
              </w:rPr>
            </w:pPr>
            <w:r>
              <w:rPr>
                <w:rFonts w:ascii="Calibri" w:hAnsi="Calibri" w:cs="Calibri"/>
                <w:color w:val="000000"/>
                <w:sz w:val="16"/>
                <w:szCs w:val="16"/>
              </w:rPr>
              <w:t>12,376</w:t>
            </w:r>
          </w:p>
        </w:tc>
        <w:tc>
          <w:tcPr>
            <w:tcW w:w="1034" w:type="dxa"/>
            <w:tcBorders>
              <w:top w:val="single" w:sz="8" w:space="0" w:color="4BACC6"/>
              <w:left w:val="nil"/>
              <w:bottom w:val="single" w:sz="8" w:space="0" w:color="4BACC6"/>
              <w:right w:val="nil"/>
            </w:tcBorders>
            <w:shd w:val="clear" w:color="000000" w:fill="FFFFFF"/>
            <w:vAlign w:val="center"/>
            <w:hideMark/>
          </w:tcPr>
          <w:p w:rsidR="00F720EE" w:rsidRDefault="00F720EE" w:rsidP="005B0837">
            <w:pPr>
              <w:jc w:val="right"/>
              <w:rPr>
                <w:rFonts w:ascii="Calibri" w:hAnsi="Calibri" w:cs="Calibri"/>
                <w:color w:val="000000"/>
                <w:sz w:val="16"/>
                <w:szCs w:val="16"/>
              </w:rPr>
            </w:pPr>
            <w:r>
              <w:rPr>
                <w:rFonts w:ascii="Calibri" w:hAnsi="Calibri" w:cs="Calibri"/>
                <w:color w:val="000000"/>
                <w:sz w:val="16"/>
                <w:szCs w:val="16"/>
              </w:rPr>
              <w:t>14,384</w:t>
            </w:r>
          </w:p>
        </w:tc>
        <w:tc>
          <w:tcPr>
            <w:tcW w:w="1034" w:type="dxa"/>
            <w:tcBorders>
              <w:top w:val="single" w:sz="8" w:space="0" w:color="4BACC6"/>
              <w:left w:val="nil"/>
              <w:bottom w:val="single" w:sz="8" w:space="0" w:color="4BACC6"/>
              <w:right w:val="nil"/>
            </w:tcBorders>
            <w:shd w:val="clear" w:color="000000" w:fill="FFFFFF"/>
            <w:vAlign w:val="center"/>
            <w:hideMark/>
          </w:tcPr>
          <w:p w:rsidR="00F720EE" w:rsidRDefault="00F720EE" w:rsidP="005B0837">
            <w:pPr>
              <w:jc w:val="right"/>
              <w:rPr>
                <w:rFonts w:ascii="Calibri" w:hAnsi="Calibri" w:cs="Calibri"/>
                <w:color w:val="000000"/>
                <w:sz w:val="16"/>
                <w:szCs w:val="16"/>
              </w:rPr>
            </w:pPr>
            <w:r>
              <w:rPr>
                <w:rFonts w:ascii="Calibri" w:hAnsi="Calibri" w:cs="Calibri"/>
                <w:color w:val="000000"/>
                <w:sz w:val="16"/>
                <w:szCs w:val="16"/>
              </w:rPr>
              <w:t>-1,700</w:t>
            </w:r>
          </w:p>
        </w:tc>
        <w:tc>
          <w:tcPr>
            <w:tcW w:w="1034" w:type="dxa"/>
            <w:tcBorders>
              <w:top w:val="single" w:sz="8" w:space="0" w:color="4BACC6"/>
              <w:left w:val="nil"/>
              <w:bottom w:val="single" w:sz="8" w:space="0" w:color="4BACC6"/>
              <w:right w:val="nil"/>
            </w:tcBorders>
            <w:shd w:val="clear" w:color="000000" w:fill="FFFFFF"/>
            <w:vAlign w:val="center"/>
            <w:hideMark/>
          </w:tcPr>
          <w:p w:rsidR="00F720EE" w:rsidRDefault="00F720EE" w:rsidP="005B0837">
            <w:pPr>
              <w:jc w:val="right"/>
              <w:rPr>
                <w:rFonts w:ascii="Calibri" w:hAnsi="Calibri" w:cs="Calibri"/>
                <w:color w:val="000000"/>
                <w:sz w:val="16"/>
                <w:szCs w:val="16"/>
              </w:rPr>
            </w:pPr>
            <w:r>
              <w:rPr>
                <w:rFonts w:ascii="Calibri" w:hAnsi="Calibri" w:cs="Calibri"/>
                <w:color w:val="000000"/>
                <w:sz w:val="16"/>
                <w:szCs w:val="16"/>
              </w:rPr>
              <w:t>87.9%</w:t>
            </w:r>
          </w:p>
        </w:tc>
        <w:tc>
          <w:tcPr>
            <w:tcW w:w="1034" w:type="dxa"/>
            <w:tcBorders>
              <w:top w:val="single" w:sz="8" w:space="0" w:color="4BACC6"/>
              <w:left w:val="nil"/>
              <w:bottom w:val="single" w:sz="8" w:space="0" w:color="4BACC6"/>
              <w:right w:val="nil"/>
            </w:tcBorders>
            <w:shd w:val="clear" w:color="000000" w:fill="FFFFFF"/>
            <w:vAlign w:val="center"/>
            <w:hideMark/>
          </w:tcPr>
          <w:p w:rsidR="00F720EE" w:rsidRDefault="00F720EE" w:rsidP="005B0837">
            <w:pPr>
              <w:jc w:val="right"/>
              <w:rPr>
                <w:rFonts w:ascii="Calibri" w:hAnsi="Calibri" w:cs="Calibri"/>
                <w:color w:val="000000"/>
                <w:sz w:val="16"/>
                <w:szCs w:val="16"/>
              </w:rPr>
            </w:pPr>
            <w:r>
              <w:rPr>
                <w:rFonts w:ascii="Calibri" w:hAnsi="Calibri" w:cs="Calibri"/>
                <w:color w:val="000000"/>
                <w:sz w:val="16"/>
                <w:szCs w:val="16"/>
              </w:rPr>
              <w:t>-2,008</w:t>
            </w:r>
          </w:p>
        </w:tc>
        <w:tc>
          <w:tcPr>
            <w:tcW w:w="1034" w:type="dxa"/>
            <w:tcBorders>
              <w:top w:val="single" w:sz="8" w:space="0" w:color="4BACC6"/>
              <w:left w:val="nil"/>
              <w:bottom w:val="single" w:sz="8" w:space="0" w:color="4BACC6"/>
              <w:right w:val="single" w:sz="8" w:space="0" w:color="4BACC6"/>
            </w:tcBorders>
            <w:shd w:val="clear" w:color="000000" w:fill="FFFFFF"/>
            <w:vAlign w:val="center"/>
            <w:hideMark/>
          </w:tcPr>
          <w:p w:rsidR="00F720EE" w:rsidRDefault="00F720EE" w:rsidP="005B0837">
            <w:pPr>
              <w:jc w:val="right"/>
              <w:rPr>
                <w:rFonts w:ascii="Calibri" w:hAnsi="Calibri" w:cs="Calibri"/>
                <w:color w:val="000000"/>
                <w:sz w:val="16"/>
                <w:szCs w:val="16"/>
              </w:rPr>
            </w:pPr>
            <w:r>
              <w:rPr>
                <w:rFonts w:ascii="Calibri" w:hAnsi="Calibri" w:cs="Calibri"/>
                <w:color w:val="000000"/>
                <w:sz w:val="16"/>
                <w:szCs w:val="16"/>
              </w:rPr>
              <w:t>86.0%</w:t>
            </w:r>
          </w:p>
        </w:tc>
      </w:tr>
      <w:tr w:rsidR="00F720EE" w:rsidTr="005B0837">
        <w:trPr>
          <w:trHeight w:val="222"/>
          <w:jc w:val="center"/>
        </w:trPr>
        <w:tc>
          <w:tcPr>
            <w:tcW w:w="2587" w:type="dxa"/>
            <w:tcBorders>
              <w:top w:val="nil"/>
              <w:left w:val="single" w:sz="8" w:space="0" w:color="4BACC6"/>
              <w:bottom w:val="nil"/>
              <w:right w:val="nil"/>
            </w:tcBorders>
            <w:shd w:val="clear" w:color="000000" w:fill="FFFFFF"/>
            <w:vAlign w:val="center"/>
            <w:hideMark/>
          </w:tcPr>
          <w:p w:rsidR="00F720EE" w:rsidRDefault="00F720EE" w:rsidP="005B0837">
            <w:pPr>
              <w:rPr>
                <w:rFonts w:ascii="Calibri" w:hAnsi="Calibri" w:cs="Calibri"/>
                <w:b/>
                <w:bCs/>
                <w:i/>
                <w:iCs/>
                <w:color w:val="000000"/>
                <w:sz w:val="16"/>
                <w:szCs w:val="16"/>
              </w:rPr>
            </w:pPr>
            <w:r>
              <w:rPr>
                <w:rFonts w:ascii="Calibri" w:hAnsi="Calibri" w:cs="Calibri"/>
                <w:b/>
                <w:bCs/>
                <w:i/>
                <w:iCs/>
                <w:color w:val="000000"/>
                <w:sz w:val="16"/>
                <w:szCs w:val="16"/>
              </w:rPr>
              <w:t>Taksat nacionale</w:t>
            </w:r>
          </w:p>
        </w:tc>
        <w:tc>
          <w:tcPr>
            <w:tcW w:w="1077" w:type="dxa"/>
            <w:tcBorders>
              <w:top w:val="nil"/>
              <w:left w:val="nil"/>
              <w:bottom w:val="nil"/>
              <w:right w:val="nil"/>
            </w:tcBorders>
            <w:shd w:val="clear" w:color="000000" w:fill="FFFFFF"/>
            <w:vAlign w:val="center"/>
            <w:hideMark/>
          </w:tcPr>
          <w:p w:rsidR="00F720EE" w:rsidRDefault="00F720EE" w:rsidP="005B0837">
            <w:pPr>
              <w:jc w:val="right"/>
              <w:rPr>
                <w:rFonts w:ascii="Calibri" w:hAnsi="Calibri" w:cs="Calibri"/>
                <w:color w:val="000000"/>
                <w:sz w:val="16"/>
                <w:szCs w:val="16"/>
              </w:rPr>
            </w:pPr>
            <w:r>
              <w:rPr>
                <w:rFonts w:ascii="Calibri" w:hAnsi="Calibri" w:cs="Calibri"/>
                <w:color w:val="000000"/>
                <w:sz w:val="16"/>
                <w:szCs w:val="16"/>
              </w:rPr>
              <w:t>13,059</w:t>
            </w:r>
          </w:p>
        </w:tc>
        <w:tc>
          <w:tcPr>
            <w:tcW w:w="1271" w:type="dxa"/>
            <w:tcBorders>
              <w:top w:val="nil"/>
              <w:left w:val="nil"/>
              <w:bottom w:val="nil"/>
              <w:right w:val="nil"/>
            </w:tcBorders>
            <w:shd w:val="clear" w:color="000000" w:fill="FFFFFF"/>
            <w:vAlign w:val="center"/>
            <w:hideMark/>
          </w:tcPr>
          <w:p w:rsidR="00F720EE" w:rsidRDefault="00F720EE" w:rsidP="005B0837">
            <w:pPr>
              <w:jc w:val="right"/>
              <w:rPr>
                <w:rFonts w:ascii="Calibri" w:hAnsi="Calibri" w:cs="Calibri"/>
                <w:color w:val="000000"/>
                <w:sz w:val="16"/>
                <w:szCs w:val="16"/>
              </w:rPr>
            </w:pPr>
            <w:r>
              <w:rPr>
                <w:rFonts w:ascii="Calibri" w:hAnsi="Calibri" w:cs="Calibri"/>
                <w:color w:val="000000"/>
                <w:sz w:val="16"/>
                <w:szCs w:val="16"/>
              </w:rPr>
              <w:t>11,585</w:t>
            </w:r>
          </w:p>
        </w:tc>
        <w:tc>
          <w:tcPr>
            <w:tcW w:w="1034" w:type="dxa"/>
            <w:tcBorders>
              <w:top w:val="nil"/>
              <w:left w:val="nil"/>
              <w:bottom w:val="nil"/>
              <w:right w:val="nil"/>
            </w:tcBorders>
            <w:shd w:val="clear" w:color="000000" w:fill="FFFFFF"/>
            <w:vAlign w:val="center"/>
            <w:hideMark/>
          </w:tcPr>
          <w:p w:rsidR="00F720EE" w:rsidRDefault="00F720EE" w:rsidP="005B0837">
            <w:pPr>
              <w:jc w:val="right"/>
              <w:rPr>
                <w:rFonts w:ascii="Calibri" w:hAnsi="Calibri" w:cs="Calibri"/>
                <w:color w:val="000000"/>
                <w:sz w:val="16"/>
                <w:szCs w:val="16"/>
              </w:rPr>
            </w:pPr>
            <w:r>
              <w:rPr>
                <w:rFonts w:ascii="Calibri" w:hAnsi="Calibri" w:cs="Calibri"/>
                <w:color w:val="000000"/>
                <w:sz w:val="16"/>
                <w:szCs w:val="16"/>
              </w:rPr>
              <w:t>13,177</w:t>
            </w:r>
          </w:p>
        </w:tc>
        <w:tc>
          <w:tcPr>
            <w:tcW w:w="1034" w:type="dxa"/>
            <w:tcBorders>
              <w:top w:val="nil"/>
              <w:left w:val="nil"/>
              <w:bottom w:val="nil"/>
              <w:right w:val="nil"/>
            </w:tcBorders>
            <w:shd w:val="clear" w:color="000000" w:fill="FFFFFF"/>
            <w:vAlign w:val="center"/>
            <w:hideMark/>
          </w:tcPr>
          <w:p w:rsidR="00F720EE" w:rsidRDefault="00F720EE" w:rsidP="005B0837">
            <w:pPr>
              <w:jc w:val="right"/>
              <w:rPr>
                <w:rFonts w:ascii="Calibri" w:hAnsi="Calibri" w:cs="Calibri"/>
                <w:color w:val="000000"/>
                <w:sz w:val="16"/>
                <w:szCs w:val="16"/>
              </w:rPr>
            </w:pPr>
            <w:r>
              <w:rPr>
                <w:rFonts w:ascii="Calibri" w:hAnsi="Calibri" w:cs="Calibri"/>
                <w:color w:val="000000"/>
                <w:sz w:val="16"/>
                <w:szCs w:val="16"/>
              </w:rPr>
              <w:t>-1,474</w:t>
            </w:r>
          </w:p>
        </w:tc>
        <w:tc>
          <w:tcPr>
            <w:tcW w:w="1034" w:type="dxa"/>
            <w:tcBorders>
              <w:top w:val="nil"/>
              <w:left w:val="nil"/>
              <w:bottom w:val="nil"/>
              <w:right w:val="nil"/>
            </w:tcBorders>
            <w:shd w:val="clear" w:color="000000" w:fill="FFFFFF"/>
            <w:vAlign w:val="center"/>
            <w:hideMark/>
          </w:tcPr>
          <w:p w:rsidR="00F720EE" w:rsidRDefault="00F720EE" w:rsidP="005B0837">
            <w:pPr>
              <w:jc w:val="right"/>
              <w:rPr>
                <w:rFonts w:ascii="Calibri" w:hAnsi="Calibri" w:cs="Calibri"/>
                <w:color w:val="000000"/>
                <w:sz w:val="16"/>
                <w:szCs w:val="16"/>
              </w:rPr>
            </w:pPr>
            <w:r>
              <w:rPr>
                <w:rFonts w:ascii="Calibri" w:hAnsi="Calibri" w:cs="Calibri"/>
                <w:color w:val="000000"/>
                <w:sz w:val="16"/>
                <w:szCs w:val="16"/>
              </w:rPr>
              <w:t>88.7%</w:t>
            </w:r>
          </w:p>
        </w:tc>
        <w:tc>
          <w:tcPr>
            <w:tcW w:w="1034" w:type="dxa"/>
            <w:tcBorders>
              <w:top w:val="nil"/>
              <w:left w:val="nil"/>
              <w:bottom w:val="nil"/>
              <w:right w:val="nil"/>
            </w:tcBorders>
            <w:shd w:val="clear" w:color="000000" w:fill="FFFFFF"/>
            <w:vAlign w:val="center"/>
            <w:hideMark/>
          </w:tcPr>
          <w:p w:rsidR="00F720EE" w:rsidRDefault="00F720EE" w:rsidP="005B0837">
            <w:pPr>
              <w:jc w:val="right"/>
              <w:rPr>
                <w:rFonts w:ascii="Calibri" w:hAnsi="Calibri" w:cs="Calibri"/>
                <w:color w:val="000000"/>
                <w:sz w:val="16"/>
                <w:szCs w:val="16"/>
              </w:rPr>
            </w:pPr>
            <w:r>
              <w:rPr>
                <w:rFonts w:ascii="Calibri" w:hAnsi="Calibri" w:cs="Calibri"/>
                <w:color w:val="000000"/>
                <w:sz w:val="16"/>
                <w:szCs w:val="16"/>
              </w:rPr>
              <w:t>-1,592</w:t>
            </w:r>
          </w:p>
        </w:tc>
        <w:tc>
          <w:tcPr>
            <w:tcW w:w="1034" w:type="dxa"/>
            <w:tcBorders>
              <w:top w:val="nil"/>
              <w:left w:val="nil"/>
              <w:bottom w:val="nil"/>
              <w:right w:val="single" w:sz="8" w:space="0" w:color="4BACC6"/>
            </w:tcBorders>
            <w:shd w:val="clear" w:color="000000" w:fill="FFFFFF"/>
            <w:vAlign w:val="center"/>
            <w:hideMark/>
          </w:tcPr>
          <w:p w:rsidR="00F720EE" w:rsidRDefault="00F720EE" w:rsidP="005B0837">
            <w:pPr>
              <w:jc w:val="right"/>
              <w:rPr>
                <w:rFonts w:ascii="Calibri" w:hAnsi="Calibri" w:cs="Calibri"/>
                <w:color w:val="000000"/>
                <w:sz w:val="16"/>
                <w:szCs w:val="16"/>
              </w:rPr>
            </w:pPr>
            <w:r>
              <w:rPr>
                <w:rFonts w:ascii="Calibri" w:hAnsi="Calibri" w:cs="Calibri"/>
                <w:color w:val="000000"/>
                <w:sz w:val="16"/>
                <w:szCs w:val="16"/>
              </w:rPr>
              <w:t>87.9%</w:t>
            </w:r>
          </w:p>
        </w:tc>
      </w:tr>
      <w:tr w:rsidR="00F720EE" w:rsidTr="005B0837">
        <w:trPr>
          <w:trHeight w:val="222"/>
          <w:jc w:val="center"/>
        </w:trPr>
        <w:tc>
          <w:tcPr>
            <w:tcW w:w="2587" w:type="dxa"/>
            <w:tcBorders>
              <w:top w:val="single" w:sz="8" w:space="0" w:color="4BACC6"/>
              <w:left w:val="single" w:sz="8" w:space="0" w:color="4BACC6"/>
              <w:bottom w:val="single" w:sz="8" w:space="0" w:color="4BACC6"/>
              <w:right w:val="nil"/>
            </w:tcBorders>
            <w:shd w:val="clear" w:color="000000" w:fill="FFFFFF"/>
            <w:vAlign w:val="center"/>
            <w:hideMark/>
          </w:tcPr>
          <w:p w:rsidR="00F720EE" w:rsidRDefault="00F720EE" w:rsidP="005B0837">
            <w:pPr>
              <w:rPr>
                <w:rFonts w:ascii="Calibri" w:hAnsi="Calibri" w:cs="Calibri"/>
                <w:b/>
                <w:bCs/>
                <w:i/>
                <w:iCs/>
                <w:color w:val="000000"/>
                <w:sz w:val="16"/>
                <w:szCs w:val="16"/>
              </w:rPr>
            </w:pPr>
            <w:r>
              <w:rPr>
                <w:rFonts w:ascii="Calibri" w:hAnsi="Calibri" w:cs="Calibri"/>
                <w:b/>
                <w:bCs/>
                <w:i/>
                <w:iCs/>
                <w:color w:val="000000"/>
                <w:sz w:val="16"/>
                <w:szCs w:val="16"/>
              </w:rPr>
              <w:t>Renta Minerare</w:t>
            </w:r>
          </w:p>
        </w:tc>
        <w:tc>
          <w:tcPr>
            <w:tcW w:w="1077" w:type="dxa"/>
            <w:tcBorders>
              <w:top w:val="single" w:sz="8" w:space="0" w:color="4BACC6"/>
              <w:left w:val="nil"/>
              <w:bottom w:val="single" w:sz="8" w:space="0" w:color="4BACC6"/>
              <w:right w:val="nil"/>
            </w:tcBorders>
            <w:shd w:val="clear" w:color="000000" w:fill="FFFFFF"/>
            <w:vAlign w:val="center"/>
            <w:hideMark/>
          </w:tcPr>
          <w:p w:rsidR="00F720EE" w:rsidRDefault="00F720EE" w:rsidP="005B0837">
            <w:pPr>
              <w:jc w:val="right"/>
              <w:rPr>
                <w:rFonts w:ascii="Calibri" w:hAnsi="Calibri" w:cs="Calibri"/>
                <w:color w:val="000000"/>
                <w:sz w:val="16"/>
                <w:szCs w:val="16"/>
              </w:rPr>
            </w:pPr>
            <w:r>
              <w:rPr>
                <w:rFonts w:ascii="Calibri" w:hAnsi="Calibri" w:cs="Calibri"/>
                <w:color w:val="000000"/>
                <w:sz w:val="16"/>
                <w:szCs w:val="16"/>
              </w:rPr>
              <w:t>1,017</w:t>
            </w:r>
          </w:p>
        </w:tc>
        <w:tc>
          <w:tcPr>
            <w:tcW w:w="1271" w:type="dxa"/>
            <w:tcBorders>
              <w:top w:val="single" w:sz="8" w:space="0" w:color="4BACC6"/>
              <w:left w:val="nil"/>
              <w:bottom w:val="single" w:sz="8" w:space="0" w:color="4BACC6"/>
              <w:right w:val="nil"/>
            </w:tcBorders>
            <w:shd w:val="clear" w:color="000000" w:fill="FFFFFF"/>
            <w:vAlign w:val="center"/>
            <w:hideMark/>
          </w:tcPr>
          <w:p w:rsidR="00F720EE" w:rsidRDefault="00F720EE" w:rsidP="005B0837">
            <w:pPr>
              <w:jc w:val="right"/>
              <w:rPr>
                <w:rFonts w:ascii="Calibri" w:hAnsi="Calibri" w:cs="Calibri"/>
                <w:color w:val="000000"/>
                <w:sz w:val="16"/>
                <w:szCs w:val="16"/>
              </w:rPr>
            </w:pPr>
            <w:r>
              <w:rPr>
                <w:rFonts w:ascii="Calibri" w:hAnsi="Calibri" w:cs="Calibri"/>
                <w:color w:val="000000"/>
                <w:sz w:val="16"/>
                <w:szCs w:val="16"/>
              </w:rPr>
              <w:t>791</w:t>
            </w:r>
          </w:p>
        </w:tc>
        <w:tc>
          <w:tcPr>
            <w:tcW w:w="1034" w:type="dxa"/>
            <w:tcBorders>
              <w:top w:val="single" w:sz="8" w:space="0" w:color="4BACC6"/>
              <w:left w:val="nil"/>
              <w:bottom w:val="single" w:sz="8" w:space="0" w:color="4BACC6"/>
              <w:right w:val="nil"/>
            </w:tcBorders>
            <w:shd w:val="clear" w:color="000000" w:fill="FFFFFF"/>
            <w:vAlign w:val="center"/>
            <w:hideMark/>
          </w:tcPr>
          <w:p w:rsidR="00F720EE" w:rsidRDefault="00F720EE" w:rsidP="005B0837">
            <w:pPr>
              <w:jc w:val="right"/>
              <w:rPr>
                <w:rFonts w:ascii="Calibri" w:hAnsi="Calibri" w:cs="Calibri"/>
                <w:color w:val="000000"/>
                <w:sz w:val="16"/>
                <w:szCs w:val="16"/>
              </w:rPr>
            </w:pPr>
            <w:r>
              <w:rPr>
                <w:rFonts w:ascii="Calibri" w:hAnsi="Calibri" w:cs="Calibri"/>
                <w:color w:val="000000"/>
                <w:sz w:val="16"/>
                <w:szCs w:val="16"/>
              </w:rPr>
              <w:t>1,207</w:t>
            </w:r>
          </w:p>
        </w:tc>
        <w:tc>
          <w:tcPr>
            <w:tcW w:w="1034" w:type="dxa"/>
            <w:tcBorders>
              <w:top w:val="single" w:sz="8" w:space="0" w:color="4BACC6"/>
              <w:left w:val="nil"/>
              <w:bottom w:val="single" w:sz="8" w:space="0" w:color="4BACC6"/>
              <w:right w:val="nil"/>
            </w:tcBorders>
            <w:shd w:val="clear" w:color="000000" w:fill="FFFFFF"/>
            <w:vAlign w:val="center"/>
            <w:hideMark/>
          </w:tcPr>
          <w:p w:rsidR="00F720EE" w:rsidRDefault="00F720EE" w:rsidP="005B0837">
            <w:pPr>
              <w:jc w:val="right"/>
              <w:rPr>
                <w:rFonts w:ascii="Calibri" w:hAnsi="Calibri" w:cs="Calibri"/>
                <w:color w:val="000000"/>
                <w:sz w:val="16"/>
                <w:szCs w:val="16"/>
              </w:rPr>
            </w:pPr>
            <w:r>
              <w:rPr>
                <w:rFonts w:ascii="Calibri" w:hAnsi="Calibri" w:cs="Calibri"/>
                <w:color w:val="000000"/>
                <w:sz w:val="16"/>
                <w:szCs w:val="16"/>
              </w:rPr>
              <w:t>-226</w:t>
            </w:r>
          </w:p>
        </w:tc>
        <w:tc>
          <w:tcPr>
            <w:tcW w:w="1034" w:type="dxa"/>
            <w:tcBorders>
              <w:top w:val="single" w:sz="8" w:space="0" w:color="4BACC6"/>
              <w:left w:val="nil"/>
              <w:bottom w:val="single" w:sz="8" w:space="0" w:color="4BACC6"/>
              <w:right w:val="nil"/>
            </w:tcBorders>
            <w:shd w:val="clear" w:color="000000" w:fill="FFFFFF"/>
            <w:vAlign w:val="center"/>
            <w:hideMark/>
          </w:tcPr>
          <w:p w:rsidR="00F720EE" w:rsidRDefault="00F720EE" w:rsidP="005B0837">
            <w:pPr>
              <w:jc w:val="right"/>
              <w:rPr>
                <w:rFonts w:ascii="Calibri" w:hAnsi="Calibri" w:cs="Calibri"/>
                <w:color w:val="000000"/>
                <w:sz w:val="16"/>
                <w:szCs w:val="16"/>
              </w:rPr>
            </w:pPr>
            <w:r>
              <w:rPr>
                <w:rFonts w:ascii="Calibri" w:hAnsi="Calibri" w:cs="Calibri"/>
                <w:color w:val="000000"/>
                <w:sz w:val="16"/>
                <w:szCs w:val="16"/>
              </w:rPr>
              <w:t>77.8%</w:t>
            </w:r>
          </w:p>
        </w:tc>
        <w:tc>
          <w:tcPr>
            <w:tcW w:w="1034" w:type="dxa"/>
            <w:tcBorders>
              <w:top w:val="single" w:sz="8" w:space="0" w:color="4BACC6"/>
              <w:left w:val="nil"/>
              <w:bottom w:val="single" w:sz="8" w:space="0" w:color="4BACC6"/>
              <w:right w:val="nil"/>
            </w:tcBorders>
            <w:shd w:val="clear" w:color="000000" w:fill="FFFFFF"/>
            <w:vAlign w:val="center"/>
            <w:hideMark/>
          </w:tcPr>
          <w:p w:rsidR="00F720EE" w:rsidRDefault="00F720EE" w:rsidP="005B0837">
            <w:pPr>
              <w:jc w:val="right"/>
              <w:rPr>
                <w:rFonts w:ascii="Calibri" w:hAnsi="Calibri" w:cs="Calibri"/>
                <w:color w:val="000000"/>
                <w:sz w:val="16"/>
                <w:szCs w:val="16"/>
              </w:rPr>
            </w:pPr>
            <w:r>
              <w:rPr>
                <w:rFonts w:ascii="Calibri" w:hAnsi="Calibri" w:cs="Calibri"/>
                <w:color w:val="000000"/>
                <w:sz w:val="16"/>
                <w:szCs w:val="16"/>
              </w:rPr>
              <w:t>-416</w:t>
            </w:r>
          </w:p>
        </w:tc>
        <w:tc>
          <w:tcPr>
            <w:tcW w:w="1034" w:type="dxa"/>
            <w:tcBorders>
              <w:top w:val="single" w:sz="8" w:space="0" w:color="4BACC6"/>
              <w:left w:val="nil"/>
              <w:bottom w:val="single" w:sz="8" w:space="0" w:color="4BACC6"/>
              <w:right w:val="single" w:sz="8" w:space="0" w:color="4BACC6"/>
            </w:tcBorders>
            <w:shd w:val="clear" w:color="000000" w:fill="FFFFFF"/>
            <w:vAlign w:val="center"/>
            <w:hideMark/>
          </w:tcPr>
          <w:p w:rsidR="00F720EE" w:rsidRDefault="00F720EE" w:rsidP="005B0837">
            <w:pPr>
              <w:jc w:val="right"/>
              <w:rPr>
                <w:rFonts w:ascii="Calibri" w:hAnsi="Calibri" w:cs="Calibri"/>
                <w:color w:val="000000"/>
                <w:sz w:val="16"/>
                <w:szCs w:val="16"/>
              </w:rPr>
            </w:pPr>
            <w:r>
              <w:rPr>
                <w:rFonts w:ascii="Calibri" w:hAnsi="Calibri" w:cs="Calibri"/>
                <w:color w:val="000000"/>
                <w:sz w:val="16"/>
                <w:szCs w:val="16"/>
              </w:rPr>
              <w:t>65.5%</w:t>
            </w:r>
          </w:p>
        </w:tc>
      </w:tr>
      <w:tr w:rsidR="00F720EE" w:rsidTr="005B0837">
        <w:trPr>
          <w:trHeight w:val="222"/>
          <w:jc w:val="center"/>
        </w:trPr>
        <w:tc>
          <w:tcPr>
            <w:tcW w:w="2587" w:type="dxa"/>
            <w:tcBorders>
              <w:top w:val="nil"/>
              <w:left w:val="single" w:sz="8" w:space="0" w:color="4BACC6"/>
              <w:bottom w:val="nil"/>
              <w:right w:val="nil"/>
            </w:tcBorders>
            <w:shd w:val="clear" w:color="000000" w:fill="FFFFFF"/>
            <w:vAlign w:val="center"/>
            <w:hideMark/>
          </w:tcPr>
          <w:p w:rsidR="00F720EE" w:rsidRDefault="00F720EE" w:rsidP="005B0837">
            <w:pPr>
              <w:rPr>
                <w:rFonts w:ascii="Calibri" w:hAnsi="Calibri" w:cs="Calibri"/>
                <w:b/>
                <w:bCs/>
                <w:color w:val="000000"/>
                <w:sz w:val="16"/>
                <w:szCs w:val="16"/>
              </w:rPr>
            </w:pPr>
            <w:r>
              <w:rPr>
                <w:rFonts w:ascii="Calibri" w:hAnsi="Calibri" w:cs="Calibri"/>
                <w:b/>
                <w:bCs/>
                <w:color w:val="000000"/>
                <w:sz w:val="16"/>
                <w:szCs w:val="16"/>
              </w:rPr>
              <w:t>Taksë Doganore</w:t>
            </w:r>
          </w:p>
        </w:tc>
        <w:tc>
          <w:tcPr>
            <w:tcW w:w="1077" w:type="dxa"/>
            <w:tcBorders>
              <w:top w:val="nil"/>
              <w:left w:val="nil"/>
              <w:bottom w:val="nil"/>
              <w:right w:val="nil"/>
            </w:tcBorders>
            <w:shd w:val="clear" w:color="000000" w:fill="FFFFFF"/>
            <w:vAlign w:val="center"/>
            <w:hideMark/>
          </w:tcPr>
          <w:p w:rsidR="00F720EE" w:rsidRDefault="00F720EE" w:rsidP="005B0837">
            <w:pPr>
              <w:jc w:val="right"/>
              <w:rPr>
                <w:rFonts w:ascii="Calibri" w:hAnsi="Calibri" w:cs="Calibri"/>
                <w:color w:val="000000"/>
                <w:sz w:val="16"/>
                <w:szCs w:val="16"/>
              </w:rPr>
            </w:pPr>
            <w:r>
              <w:rPr>
                <w:rFonts w:ascii="Calibri" w:hAnsi="Calibri" w:cs="Calibri"/>
                <w:color w:val="000000"/>
                <w:sz w:val="16"/>
                <w:szCs w:val="16"/>
              </w:rPr>
              <w:t>2,558</w:t>
            </w:r>
          </w:p>
        </w:tc>
        <w:tc>
          <w:tcPr>
            <w:tcW w:w="1271" w:type="dxa"/>
            <w:tcBorders>
              <w:top w:val="nil"/>
              <w:left w:val="nil"/>
              <w:bottom w:val="nil"/>
              <w:right w:val="nil"/>
            </w:tcBorders>
            <w:shd w:val="clear" w:color="000000" w:fill="FFFFFF"/>
            <w:vAlign w:val="center"/>
            <w:hideMark/>
          </w:tcPr>
          <w:p w:rsidR="00F720EE" w:rsidRDefault="00F720EE" w:rsidP="005B0837">
            <w:pPr>
              <w:jc w:val="right"/>
              <w:rPr>
                <w:rFonts w:ascii="Calibri" w:hAnsi="Calibri" w:cs="Calibri"/>
                <w:color w:val="000000"/>
                <w:sz w:val="16"/>
                <w:szCs w:val="16"/>
              </w:rPr>
            </w:pPr>
            <w:r>
              <w:rPr>
                <w:rFonts w:ascii="Calibri" w:hAnsi="Calibri" w:cs="Calibri"/>
                <w:color w:val="000000"/>
                <w:sz w:val="16"/>
                <w:szCs w:val="16"/>
              </w:rPr>
              <w:t>2,247</w:t>
            </w:r>
          </w:p>
        </w:tc>
        <w:tc>
          <w:tcPr>
            <w:tcW w:w="1034" w:type="dxa"/>
            <w:tcBorders>
              <w:top w:val="nil"/>
              <w:left w:val="nil"/>
              <w:bottom w:val="nil"/>
              <w:right w:val="nil"/>
            </w:tcBorders>
            <w:shd w:val="clear" w:color="000000" w:fill="FFFFFF"/>
            <w:vAlign w:val="center"/>
            <w:hideMark/>
          </w:tcPr>
          <w:p w:rsidR="00F720EE" w:rsidRDefault="00F720EE" w:rsidP="005B0837">
            <w:pPr>
              <w:jc w:val="right"/>
              <w:rPr>
                <w:rFonts w:ascii="Calibri" w:hAnsi="Calibri" w:cs="Calibri"/>
                <w:color w:val="000000"/>
                <w:sz w:val="16"/>
                <w:szCs w:val="16"/>
              </w:rPr>
            </w:pPr>
            <w:r>
              <w:rPr>
                <w:rFonts w:ascii="Calibri" w:hAnsi="Calibri" w:cs="Calibri"/>
                <w:color w:val="000000"/>
                <w:sz w:val="16"/>
                <w:szCs w:val="16"/>
              </w:rPr>
              <w:t>2,528</w:t>
            </w:r>
          </w:p>
        </w:tc>
        <w:tc>
          <w:tcPr>
            <w:tcW w:w="1034" w:type="dxa"/>
            <w:tcBorders>
              <w:top w:val="nil"/>
              <w:left w:val="nil"/>
              <w:bottom w:val="nil"/>
              <w:right w:val="nil"/>
            </w:tcBorders>
            <w:shd w:val="clear" w:color="000000" w:fill="FFFFFF"/>
            <w:vAlign w:val="center"/>
            <w:hideMark/>
          </w:tcPr>
          <w:p w:rsidR="00F720EE" w:rsidRDefault="00F720EE" w:rsidP="005B0837">
            <w:pPr>
              <w:jc w:val="right"/>
              <w:rPr>
                <w:rFonts w:ascii="Calibri" w:hAnsi="Calibri" w:cs="Calibri"/>
                <w:color w:val="000000"/>
                <w:sz w:val="16"/>
                <w:szCs w:val="16"/>
              </w:rPr>
            </w:pPr>
            <w:r>
              <w:rPr>
                <w:rFonts w:ascii="Calibri" w:hAnsi="Calibri" w:cs="Calibri"/>
                <w:color w:val="000000"/>
                <w:sz w:val="16"/>
                <w:szCs w:val="16"/>
              </w:rPr>
              <w:t>-311</w:t>
            </w:r>
          </w:p>
        </w:tc>
        <w:tc>
          <w:tcPr>
            <w:tcW w:w="1034" w:type="dxa"/>
            <w:tcBorders>
              <w:top w:val="nil"/>
              <w:left w:val="nil"/>
              <w:bottom w:val="nil"/>
              <w:right w:val="nil"/>
            </w:tcBorders>
            <w:shd w:val="clear" w:color="000000" w:fill="FFFFFF"/>
            <w:vAlign w:val="center"/>
            <w:hideMark/>
          </w:tcPr>
          <w:p w:rsidR="00F720EE" w:rsidRDefault="00F720EE" w:rsidP="005B0837">
            <w:pPr>
              <w:jc w:val="right"/>
              <w:rPr>
                <w:rFonts w:ascii="Calibri" w:hAnsi="Calibri" w:cs="Calibri"/>
                <w:color w:val="000000"/>
                <w:sz w:val="16"/>
                <w:szCs w:val="16"/>
              </w:rPr>
            </w:pPr>
            <w:r>
              <w:rPr>
                <w:rFonts w:ascii="Calibri" w:hAnsi="Calibri" w:cs="Calibri"/>
                <w:color w:val="000000"/>
                <w:sz w:val="16"/>
                <w:szCs w:val="16"/>
              </w:rPr>
              <w:t>87.8%</w:t>
            </w:r>
          </w:p>
        </w:tc>
        <w:tc>
          <w:tcPr>
            <w:tcW w:w="1034" w:type="dxa"/>
            <w:tcBorders>
              <w:top w:val="nil"/>
              <w:left w:val="nil"/>
              <w:bottom w:val="nil"/>
              <w:right w:val="nil"/>
            </w:tcBorders>
            <w:shd w:val="clear" w:color="000000" w:fill="FFFFFF"/>
            <w:vAlign w:val="center"/>
            <w:hideMark/>
          </w:tcPr>
          <w:p w:rsidR="00F720EE" w:rsidRDefault="00F720EE" w:rsidP="005B0837">
            <w:pPr>
              <w:jc w:val="right"/>
              <w:rPr>
                <w:rFonts w:ascii="Calibri" w:hAnsi="Calibri" w:cs="Calibri"/>
                <w:color w:val="000000"/>
                <w:sz w:val="16"/>
                <w:szCs w:val="16"/>
              </w:rPr>
            </w:pPr>
            <w:r>
              <w:rPr>
                <w:rFonts w:ascii="Calibri" w:hAnsi="Calibri" w:cs="Calibri"/>
                <w:color w:val="000000"/>
                <w:sz w:val="16"/>
                <w:szCs w:val="16"/>
              </w:rPr>
              <w:t>-281</w:t>
            </w:r>
          </w:p>
        </w:tc>
        <w:tc>
          <w:tcPr>
            <w:tcW w:w="1034" w:type="dxa"/>
            <w:tcBorders>
              <w:top w:val="nil"/>
              <w:left w:val="nil"/>
              <w:bottom w:val="nil"/>
              <w:right w:val="single" w:sz="8" w:space="0" w:color="4BACC6"/>
            </w:tcBorders>
            <w:shd w:val="clear" w:color="000000" w:fill="FFFFFF"/>
            <w:vAlign w:val="center"/>
            <w:hideMark/>
          </w:tcPr>
          <w:p w:rsidR="00F720EE" w:rsidRDefault="00F720EE" w:rsidP="005B0837">
            <w:pPr>
              <w:jc w:val="right"/>
              <w:rPr>
                <w:rFonts w:ascii="Calibri" w:hAnsi="Calibri" w:cs="Calibri"/>
                <w:color w:val="000000"/>
                <w:sz w:val="16"/>
                <w:szCs w:val="16"/>
              </w:rPr>
            </w:pPr>
            <w:r>
              <w:rPr>
                <w:rFonts w:ascii="Calibri" w:hAnsi="Calibri" w:cs="Calibri"/>
                <w:color w:val="000000"/>
                <w:sz w:val="16"/>
                <w:szCs w:val="16"/>
              </w:rPr>
              <w:t>88.9%</w:t>
            </w:r>
          </w:p>
        </w:tc>
      </w:tr>
      <w:tr w:rsidR="00F720EE" w:rsidTr="005B0837">
        <w:trPr>
          <w:trHeight w:val="222"/>
          <w:jc w:val="center"/>
        </w:trPr>
        <w:tc>
          <w:tcPr>
            <w:tcW w:w="2587" w:type="dxa"/>
            <w:tcBorders>
              <w:top w:val="single" w:sz="4" w:space="0" w:color="5B9BD5"/>
              <w:left w:val="single" w:sz="4" w:space="0" w:color="5B9BD5"/>
              <w:bottom w:val="single" w:sz="8" w:space="0" w:color="4BACC6"/>
              <w:right w:val="nil"/>
            </w:tcBorders>
            <w:shd w:val="clear" w:color="000000" w:fill="FFFFFF"/>
            <w:vAlign w:val="center"/>
            <w:hideMark/>
          </w:tcPr>
          <w:p w:rsidR="00F720EE" w:rsidRDefault="00F720EE" w:rsidP="005B0837">
            <w:pPr>
              <w:rPr>
                <w:rFonts w:ascii="Calibri" w:hAnsi="Calibri" w:cs="Calibri"/>
                <w:b/>
                <w:bCs/>
                <w:color w:val="000000"/>
                <w:sz w:val="16"/>
                <w:szCs w:val="16"/>
              </w:rPr>
            </w:pPr>
            <w:r>
              <w:rPr>
                <w:rFonts w:ascii="Calibri" w:hAnsi="Calibri" w:cs="Calibri"/>
                <w:b/>
                <w:bCs/>
                <w:color w:val="000000"/>
                <w:sz w:val="16"/>
                <w:szCs w:val="16"/>
              </w:rPr>
              <w:t xml:space="preserve">TOTALI TATIME + DOGANA </w:t>
            </w:r>
          </w:p>
        </w:tc>
        <w:tc>
          <w:tcPr>
            <w:tcW w:w="1077" w:type="dxa"/>
            <w:tcBorders>
              <w:top w:val="single" w:sz="4" w:space="0" w:color="5B9BD5"/>
              <w:left w:val="nil"/>
              <w:bottom w:val="single" w:sz="8" w:space="0" w:color="4BACC6"/>
              <w:right w:val="nil"/>
            </w:tcBorders>
            <w:shd w:val="clear" w:color="000000" w:fill="FFFFFF"/>
            <w:vAlign w:val="center"/>
            <w:hideMark/>
          </w:tcPr>
          <w:p w:rsidR="00F720EE" w:rsidRDefault="00F720EE" w:rsidP="005B0837">
            <w:pPr>
              <w:jc w:val="right"/>
              <w:rPr>
                <w:rFonts w:ascii="Calibri" w:hAnsi="Calibri" w:cs="Calibri"/>
                <w:b/>
                <w:bCs/>
                <w:color w:val="000000"/>
                <w:sz w:val="16"/>
                <w:szCs w:val="16"/>
              </w:rPr>
            </w:pPr>
            <w:r>
              <w:rPr>
                <w:rFonts w:ascii="Calibri" w:hAnsi="Calibri" w:cs="Calibri"/>
                <w:b/>
                <w:bCs/>
                <w:color w:val="000000"/>
                <w:sz w:val="16"/>
                <w:szCs w:val="16"/>
              </w:rPr>
              <w:t>124,717</w:t>
            </w:r>
          </w:p>
        </w:tc>
        <w:tc>
          <w:tcPr>
            <w:tcW w:w="1271" w:type="dxa"/>
            <w:tcBorders>
              <w:top w:val="single" w:sz="4" w:space="0" w:color="5B9BD5"/>
              <w:left w:val="nil"/>
              <w:bottom w:val="single" w:sz="8" w:space="0" w:color="4BACC6"/>
              <w:right w:val="nil"/>
            </w:tcBorders>
            <w:shd w:val="clear" w:color="000000" w:fill="FFFFFF"/>
            <w:vAlign w:val="center"/>
            <w:hideMark/>
          </w:tcPr>
          <w:p w:rsidR="00F720EE" w:rsidRDefault="00F720EE" w:rsidP="005B0837">
            <w:pPr>
              <w:jc w:val="right"/>
              <w:rPr>
                <w:rFonts w:ascii="Calibri" w:hAnsi="Calibri" w:cs="Calibri"/>
                <w:b/>
                <w:bCs/>
                <w:color w:val="000000"/>
                <w:sz w:val="16"/>
                <w:szCs w:val="16"/>
              </w:rPr>
            </w:pPr>
            <w:r>
              <w:rPr>
                <w:rFonts w:ascii="Calibri" w:hAnsi="Calibri" w:cs="Calibri"/>
                <w:b/>
                <w:bCs/>
                <w:color w:val="000000"/>
                <w:sz w:val="16"/>
                <w:szCs w:val="16"/>
              </w:rPr>
              <w:t>103,342</w:t>
            </w:r>
          </w:p>
        </w:tc>
        <w:tc>
          <w:tcPr>
            <w:tcW w:w="1034" w:type="dxa"/>
            <w:tcBorders>
              <w:top w:val="single" w:sz="4" w:space="0" w:color="5B9BD5"/>
              <w:left w:val="nil"/>
              <w:bottom w:val="single" w:sz="8" w:space="0" w:color="4BACC6"/>
              <w:right w:val="nil"/>
            </w:tcBorders>
            <w:shd w:val="clear" w:color="000000" w:fill="FFFFFF"/>
            <w:vAlign w:val="center"/>
            <w:hideMark/>
          </w:tcPr>
          <w:p w:rsidR="00F720EE" w:rsidRDefault="00F720EE" w:rsidP="005B0837">
            <w:pPr>
              <w:jc w:val="right"/>
              <w:rPr>
                <w:rFonts w:ascii="Calibri" w:hAnsi="Calibri" w:cs="Calibri"/>
                <w:b/>
                <w:bCs/>
                <w:color w:val="000000"/>
                <w:sz w:val="16"/>
                <w:szCs w:val="16"/>
              </w:rPr>
            </w:pPr>
            <w:r>
              <w:rPr>
                <w:rFonts w:ascii="Calibri" w:hAnsi="Calibri" w:cs="Calibri"/>
                <w:b/>
                <w:bCs/>
                <w:color w:val="000000"/>
                <w:sz w:val="16"/>
                <w:szCs w:val="16"/>
              </w:rPr>
              <w:t>112,838</w:t>
            </w:r>
          </w:p>
        </w:tc>
        <w:tc>
          <w:tcPr>
            <w:tcW w:w="1034" w:type="dxa"/>
            <w:tcBorders>
              <w:top w:val="single" w:sz="4" w:space="0" w:color="5B9BD5"/>
              <w:left w:val="nil"/>
              <w:bottom w:val="single" w:sz="8" w:space="0" w:color="4BACC6"/>
              <w:right w:val="nil"/>
            </w:tcBorders>
            <w:shd w:val="clear" w:color="000000" w:fill="FFFFFF"/>
            <w:vAlign w:val="center"/>
            <w:hideMark/>
          </w:tcPr>
          <w:p w:rsidR="00F720EE" w:rsidRDefault="00F720EE" w:rsidP="005B0837">
            <w:pPr>
              <w:jc w:val="right"/>
              <w:rPr>
                <w:rFonts w:ascii="Calibri" w:hAnsi="Calibri" w:cs="Calibri"/>
                <w:b/>
                <w:bCs/>
                <w:color w:val="000000"/>
                <w:sz w:val="16"/>
                <w:szCs w:val="16"/>
              </w:rPr>
            </w:pPr>
            <w:r>
              <w:rPr>
                <w:rFonts w:ascii="Calibri" w:hAnsi="Calibri" w:cs="Calibri"/>
                <w:b/>
                <w:bCs/>
                <w:color w:val="000000"/>
                <w:sz w:val="16"/>
                <w:szCs w:val="16"/>
              </w:rPr>
              <w:t>-21,375</w:t>
            </w:r>
          </w:p>
        </w:tc>
        <w:tc>
          <w:tcPr>
            <w:tcW w:w="1034" w:type="dxa"/>
            <w:tcBorders>
              <w:top w:val="single" w:sz="4" w:space="0" w:color="5B9BD5"/>
              <w:left w:val="nil"/>
              <w:bottom w:val="single" w:sz="8" w:space="0" w:color="4BACC6"/>
              <w:right w:val="nil"/>
            </w:tcBorders>
            <w:shd w:val="clear" w:color="000000" w:fill="FFFFFF"/>
            <w:vAlign w:val="center"/>
            <w:hideMark/>
          </w:tcPr>
          <w:p w:rsidR="00F720EE" w:rsidRDefault="00F720EE" w:rsidP="005B0837">
            <w:pPr>
              <w:jc w:val="right"/>
              <w:rPr>
                <w:rFonts w:ascii="Calibri" w:hAnsi="Calibri" w:cs="Calibri"/>
                <w:b/>
                <w:bCs/>
                <w:color w:val="000000"/>
                <w:sz w:val="16"/>
                <w:szCs w:val="16"/>
              </w:rPr>
            </w:pPr>
            <w:r>
              <w:rPr>
                <w:rFonts w:ascii="Calibri" w:hAnsi="Calibri" w:cs="Calibri"/>
                <w:b/>
                <w:bCs/>
                <w:color w:val="000000"/>
                <w:sz w:val="16"/>
                <w:szCs w:val="16"/>
              </w:rPr>
              <w:t>82.9%</w:t>
            </w:r>
          </w:p>
        </w:tc>
        <w:tc>
          <w:tcPr>
            <w:tcW w:w="1034" w:type="dxa"/>
            <w:tcBorders>
              <w:top w:val="single" w:sz="4" w:space="0" w:color="5B9BD5"/>
              <w:left w:val="nil"/>
              <w:bottom w:val="single" w:sz="8" w:space="0" w:color="4BACC6"/>
              <w:right w:val="nil"/>
            </w:tcBorders>
            <w:shd w:val="clear" w:color="000000" w:fill="FFFFFF"/>
            <w:vAlign w:val="center"/>
            <w:hideMark/>
          </w:tcPr>
          <w:p w:rsidR="00F720EE" w:rsidRDefault="00F720EE" w:rsidP="005B0837">
            <w:pPr>
              <w:jc w:val="right"/>
              <w:rPr>
                <w:rFonts w:ascii="Calibri" w:hAnsi="Calibri" w:cs="Calibri"/>
                <w:b/>
                <w:bCs/>
                <w:color w:val="000000"/>
                <w:sz w:val="16"/>
                <w:szCs w:val="16"/>
              </w:rPr>
            </w:pPr>
            <w:r>
              <w:rPr>
                <w:rFonts w:ascii="Calibri" w:hAnsi="Calibri" w:cs="Calibri"/>
                <w:b/>
                <w:bCs/>
                <w:color w:val="000000"/>
                <w:sz w:val="16"/>
                <w:szCs w:val="16"/>
              </w:rPr>
              <w:t>-9,496</w:t>
            </w:r>
          </w:p>
        </w:tc>
        <w:tc>
          <w:tcPr>
            <w:tcW w:w="1034" w:type="dxa"/>
            <w:tcBorders>
              <w:top w:val="single" w:sz="4" w:space="0" w:color="5B9BD5"/>
              <w:left w:val="nil"/>
              <w:bottom w:val="single" w:sz="8" w:space="0" w:color="4BACC6"/>
              <w:right w:val="single" w:sz="4" w:space="0" w:color="5B9BD5"/>
            </w:tcBorders>
            <w:shd w:val="clear" w:color="000000" w:fill="FFFFFF"/>
            <w:vAlign w:val="center"/>
            <w:hideMark/>
          </w:tcPr>
          <w:p w:rsidR="00F720EE" w:rsidRDefault="00F720EE" w:rsidP="005B0837">
            <w:pPr>
              <w:jc w:val="right"/>
              <w:rPr>
                <w:rFonts w:ascii="Calibri" w:hAnsi="Calibri" w:cs="Calibri"/>
                <w:b/>
                <w:bCs/>
                <w:color w:val="000000"/>
                <w:sz w:val="16"/>
                <w:szCs w:val="16"/>
              </w:rPr>
            </w:pPr>
            <w:r>
              <w:rPr>
                <w:rFonts w:ascii="Calibri" w:hAnsi="Calibri" w:cs="Calibri"/>
                <w:b/>
                <w:bCs/>
                <w:color w:val="000000"/>
                <w:sz w:val="16"/>
                <w:szCs w:val="16"/>
              </w:rPr>
              <w:t>91.6%</w:t>
            </w:r>
          </w:p>
        </w:tc>
      </w:tr>
      <w:tr w:rsidR="00F720EE" w:rsidTr="005B0837">
        <w:trPr>
          <w:trHeight w:val="222"/>
          <w:jc w:val="center"/>
        </w:trPr>
        <w:tc>
          <w:tcPr>
            <w:tcW w:w="2587" w:type="dxa"/>
            <w:tcBorders>
              <w:top w:val="nil"/>
              <w:left w:val="single" w:sz="4" w:space="0" w:color="5B9BD5"/>
              <w:bottom w:val="single" w:sz="4" w:space="0" w:color="5B9BD5"/>
              <w:right w:val="nil"/>
            </w:tcBorders>
            <w:shd w:val="clear" w:color="000000" w:fill="FFFFFF"/>
            <w:vAlign w:val="center"/>
            <w:hideMark/>
          </w:tcPr>
          <w:p w:rsidR="00F720EE" w:rsidRDefault="00F720EE" w:rsidP="005B0837">
            <w:pPr>
              <w:rPr>
                <w:rFonts w:ascii="Calibri" w:hAnsi="Calibri" w:cs="Calibri"/>
                <w:b/>
                <w:bCs/>
                <w:color w:val="000000"/>
                <w:sz w:val="16"/>
                <w:szCs w:val="16"/>
              </w:rPr>
            </w:pPr>
            <w:r>
              <w:rPr>
                <w:rFonts w:ascii="Calibri" w:hAnsi="Calibri" w:cs="Calibri"/>
                <w:b/>
                <w:bCs/>
                <w:color w:val="000000"/>
                <w:sz w:val="16"/>
                <w:szCs w:val="16"/>
              </w:rPr>
              <w:t>Kontributet e mbledhura (DPT)</w:t>
            </w:r>
          </w:p>
        </w:tc>
        <w:tc>
          <w:tcPr>
            <w:tcW w:w="1077" w:type="dxa"/>
            <w:tcBorders>
              <w:top w:val="nil"/>
              <w:left w:val="nil"/>
              <w:bottom w:val="single" w:sz="4" w:space="0" w:color="5B9BD5"/>
              <w:right w:val="nil"/>
            </w:tcBorders>
            <w:shd w:val="clear" w:color="000000" w:fill="FFFFFF"/>
            <w:vAlign w:val="center"/>
            <w:hideMark/>
          </w:tcPr>
          <w:p w:rsidR="00F720EE" w:rsidRDefault="00F720EE" w:rsidP="005B0837">
            <w:pPr>
              <w:jc w:val="right"/>
              <w:rPr>
                <w:rFonts w:ascii="Calibri" w:hAnsi="Calibri" w:cs="Calibri"/>
                <w:color w:val="000000"/>
                <w:sz w:val="16"/>
                <w:szCs w:val="16"/>
              </w:rPr>
            </w:pPr>
            <w:r>
              <w:rPr>
                <w:rFonts w:ascii="Calibri" w:hAnsi="Calibri" w:cs="Calibri"/>
                <w:color w:val="000000"/>
                <w:sz w:val="16"/>
                <w:szCs w:val="16"/>
              </w:rPr>
              <w:t>39,050</w:t>
            </w:r>
          </w:p>
        </w:tc>
        <w:tc>
          <w:tcPr>
            <w:tcW w:w="1271" w:type="dxa"/>
            <w:tcBorders>
              <w:top w:val="nil"/>
              <w:left w:val="nil"/>
              <w:bottom w:val="single" w:sz="4" w:space="0" w:color="5B9BD5"/>
              <w:right w:val="nil"/>
            </w:tcBorders>
            <w:shd w:val="clear" w:color="000000" w:fill="FFFFFF"/>
            <w:vAlign w:val="center"/>
            <w:hideMark/>
          </w:tcPr>
          <w:p w:rsidR="00F720EE" w:rsidRDefault="00F720EE" w:rsidP="005B0837">
            <w:pPr>
              <w:jc w:val="right"/>
              <w:rPr>
                <w:rFonts w:ascii="Calibri" w:hAnsi="Calibri" w:cs="Calibri"/>
                <w:color w:val="000000"/>
                <w:sz w:val="16"/>
                <w:szCs w:val="16"/>
              </w:rPr>
            </w:pPr>
            <w:r>
              <w:rPr>
                <w:rFonts w:ascii="Calibri" w:hAnsi="Calibri" w:cs="Calibri"/>
                <w:color w:val="000000"/>
                <w:sz w:val="16"/>
                <w:szCs w:val="16"/>
              </w:rPr>
              <w:t>38,362</w:t>
            </w:r>
          </w:p>
        </w:tc>
        <w:tc>
          <w:tcPr>
            <w:tcW w:w="1034" w:type="dxa"/>
            <w:tcBorders>
              <w:top w:val="nil"/>
              <w:left w:val="nil"/>
              <w:bottom w:val="single" w:sz="4" w:space="0" w:color="5B9BD5"/>
              <w:right w:val="nil"/>
            </w:tcBorders>
            <w:shd w:val="clear" w:color="000000" w:fill="FFFFFF"/>
            <w:vAlign w:val="center"/>
            <w:hideMark/>
          </w:tcPr>
          <w:p w:rsidR="00F720EE" w:rsidRDefault="00F720EE" w:rsidP="005B0837">
            <w:pPr>
              <w:jc w:val="right"/>
              <w:rPr>
                <w:rFonts w:ascii="Calibri" w:hAnsi="Calibri" w:cs="Calibri"/>
                <w:color w:val="000000"/>
                <w:sz w:val="16"/>
                <w:szCs w:val="16"/>
              </w:rPr>
            </w:pPr>
            <w:r>
              <w:rPr>
                <w:rFonts w:ascii="Calibri" w:hAnsi="Calibri" w:cs="Calibri"/>
                <w:color w:val="000000"/>
                <w:sz w:val="16"/>
                <w:szCs w:val="16"/>
              </w:rPr>
              <w:t>40,892</w:t>
            </w:r>
          </w:p>
        </w:tc>
        <w:tc>
          <w:tcPr>
            <w:tcW w:w="1034" w:type="dxa"/>
            <w:tcBorders>
              <w:top w:val="nil"/>
              <w:left w:val="nil"/>
              <w:bottom w:val="single" w:sz="4" w:space="0" w:color="5B9BD5"/>
              <w:right w:val="nil"/>
            </w:tcBorders>
            <w:shd w:val="clear" w:color="000000" w:fill="FFFFFF"/>
            <w:vAlign w:val="center"/>
            <w:hideMark/>
          </w:tcPr>
          <w:p w:rsidR="00F720EE" w:rsidRDefault="00F720EE" w:rsidP="005B0837">
            <w:pPr>
              <w:jc w:val="right"/>
              <w:rPr>
                <w:rFonts w:ascii="Calibri" w:hAnsi="Calibri" w:cs="Calibri"/>
                <w:color w:val="000000"/>
                <w:sz w:val="16"/>
                <w:szCs w:val="16"/>
              </w:rPr>
            </w:pPr>
            <w:r>
              <w:rPr>
                <w:rFonts w:ascii="Calibri" w:hAnsi="Calibri" w:cs="Calibri"/>
                <w:color w:val="000000"/>
                <w:sz w:val="16"/>
                <w:szCs w:val="16"/>
              </w:rPr>
              <w:t>-688</w:t>
            </w:r>
          </w:p>
        </w:tc>
        <w:tc>
          <w:tcPr>
            <w:tcW w:w="1034" w:type="dxa"/>
            <w:tcBorders>
              <w:top w:val="nil"/>
              <w:left w:val="nil"/>
              <w:bottom w:val="single" w:sz="4" w:space="0" w:color="5B9BD5"/>
              <w:right w:val="nil"/>
            </w:tcBorders>
            <w:shd w:val="clear" w:color="000000" w:fill="FFFFFF"/>
            <w:vAlign w:val="center"/>
            <w:hideMark/>
          </w:tcPr>
          <w:p w:rsidR="00F720EE" w:rsidRDefault="00F720EE" w:rsidP="005B0837">
            <w:pPr>
              <w:jc w:val="right"/>
              <w:rPr>
                <w:rFonts w:ascii="Calibri" w:hAnsi="Calibri" w:cs="Calibri"/>
                <w:color w:val="000000"/>
                <w:sz w:val="16"/>
                <w:szCs w:val="16"/>
              </w:rPr>
            </w:pPr>
            <w:r>
              <w:rPr>
                <w:rFonts w:ascii="Calibri" w:hAnsi="Calibri" w:cs="Calibri"/>
                <w:color w:val="000000"/>
                <w:sz w:val="16"/>
                <w:szCs w:val="16"/>
              </w:rPr>
              <w:t>98.2%</w:t>
            </w:r>
          </w:p>
        </w:tc>
        <w:tc>
          <w:tcPr>
            <w:tcW w:w="1034" w:type="dxa"/>
            <w:tcBorders>
              <w:top w:val="nil"/>
              <w:left w:val="nil"/>
              <w:bottom w:val="single" w:sz="4" w:space="0" w:color="5B9BD5"/>
              <w:right w:val="nil"/>
            </w:tcBorders>
            <w:shd w:val="clear" w:color="000000" w:fill="FFFFFF"/>
            <w:vAlign w:val="center"/>
            <w:hideMark/>
          </w:tcPr>
          <w:p w:rsidR="00F720EE" w:rsidRDefault="00F720EE" w:rsidP="005B0837">
            <w:pPr>
              <w:jc w:val="right"/>
              <w:rPr>
                <w:rFonts w:ascii="Calibri" w:hAnsi="Calibri" w:cs="Calibri"/>
                <w:color w:val="000000"/>
                <w:sz w:val="16"/>
                <w:szCs w:val="16"/>
              </w:rPr>
            </w:pPr>
            <w:r>
              <w:rPr>
                <w:rFonts w:ascii="Calibri" w:hAnsi="Calibri" w:cs="Calibri"/>
                <w:color w:val="000000"/>
                <w:sz w:val="16"/>
                <w:szCs w:val="16"/>
              </w:rPr>
              <w:t>-2530</w:t>
            </w:r>
          </w:p>
        </w:tc>
        <w:tc>
          <w:tcPr>
            <w:tcW w:w="1034" w:type="dxa"/>
            <w:tcBorders>
              <w:top w:val="nil"/>
              <w:left w:val="nil"/>
              <w:bottom w:val="single" w:sz="4" w:space="0" w:color="5B9BD5"/>
              <w:right w:val="single" w:sz="4" w:space="0" w:color="5B9BD5"/>
            </w:tcBorders>
            <w:shd w:val="clear" w:color="000000" w:fill="FFFFFF"/>
            <w:vAlign w:val="center"/>
            <w:hideMark/>
          </w:tcPr>
          <w:p w:rsidR="00F720EE" w:rsidRDefault="00F720EE" w:rsidP="005B0837">
            <w:pPr>
              <w:jc w:val="right"/>
              <w:rPr>
                <w:rFonts w:ascii="Calibri" w:hAnsi="Calibri" w:cs="Calibri"/>
                <w:color w:val="000000"/>
                <w:sz w:val="16"/>
                <w:szCs w:val="16"/>
              </w:rPr>
            </w:pPr>
            <w:r>
              <w:rPr>
                <w:rFonts w:ascii="Calibri" w:hAnsi="Calibri" w:cs="Calibri"/>
                <w:color w:val="000000"/>
                <w:sz w:val="16"/>
                <w:szCs w:val="16"/>
              </w:rPr>
              <w:t>93.8%</w:t>
            </w:r>
          </w:p>
        </w:tc>
      </w:tr>
      <w:tr w:rsidR="00F720EE" w:rsidTr="005B0837">
        <w:trPr>
          <w:trHeight w:val="287"/>
          <w:jc w:val="center"/>
        </w:trPr>
        <w:tc>
          <w:tcPr>
            <w:tcW w:w="2587" w:type="dxa"/>
            <w:tcBorders>
              <w:top w:val="nil"/>
              <w:left w:val="single" w:sz="8" w:space="0" w:color="4BACC6"/>
              <w:bottom w:val="single" w:sz="8" w:space="0" w:color="4BACC6"/>
              <w:right w:val="nil"/>
            </w:tcBorders>
            <w:shd w:val="clear" w:color="000000" w:fill="FFFFFF"/>
            <w:vAlign w:val="center"/>
            <w:hideMark/>
          </w:tcPr>
          <w:p w:rsidR="00F720EE" w:rsidRDefault="00F720EE" w:rsidP="005B0837">
            <w:pPr>
              <w:rPr>
                <w:rFonts w:ascii="Calibri" w:hAnsi="Calibri" w:cs="Calibri"/>
                <w:b/>
                <w:bCs/>
                <w:color w:val="000000"/>
                <w:sz w:val="16"/>
                <w:szCs w:val="16"/>
              </w:rPr>
            </w:pPr>
            <w:r>
              <w:rPr>
                <w:rFonts w:ascii="Calibri" w:hAnsi="Calibri" w:cs="Calibri"/>
                <w:b/>
                <w:bCs/>
                <w:color w:val="000000"/>
                <w:sz w:val="16"/>
                <w:szCs w:val="16"/>
              </w:rPr>
              <w:t>TOTALI TATIME + DOGANA (përfshirë kontributet)</w:t>
            </w:r>
          </w:p>
        </w:tc>
        <w:tc>
          <w:tcPr>
            <w:tcW w:w="1077" w:type="dxa"/>
            <w:tcBorders>
              <w:top w:val="nil"/>
              <w:left w:val="nil"/>
              <w:bottom w:val="single" w:sz="8" w:space="0" w:color="4BACC6"/>
              <w:right w:val="nil"/>
            </w:tcBorders>
            <w:shd w:val="clear" w:color="000000" w:fill="FFFFFF"/>
            <w:vAlign w:val="center"/>
            <w:hideMark/>
          </w:tcPr>
          <w:p w:rsidR="00F720EE" w:rsidRDefault="00F720EE" w:rsidP="005B0837">
            <w:pPr>
              <w:jc w:val="right"/>
              <w:rPr>
                <w:rFonts w:ascii="Calibri" w:hAnsi="Calibri" w:cs="Calibri"/>
                <w:b/>
                <w:bCs/>
                <w:color w:val="000000"/>
                <w:sz w:val="16"/>
                <w:szCs w:val="16"/>
              </w:rPr>
            </w:pPr>
            <w:r>
              <w:rPr>
                <w:rFonts w:ascii="Calibri" w:hAnsi="Calibri" w:cs="Calibri"/>
                <w:b/>
                <w:bCs/>
                <w:color w:val="000000"/>
                <w:sz w:val="16"/>
                <w:szCs w:val="16"/>
              </w:rPr>
              <w:t>163,767</w:t>
            </w:r>
          </w:p>
        </w:tc>
        <w:tc>
          <w:tcPr>
            <w:tcW w:w="1271" w:type="dxa"/>
            <w:tcBorders>
              <w:top w:val="nil"/>
              <w:left w:val="nil"/>
              <w:bottom w:val="single" w:sz="8" w:space="0" w:color="4BACC6"/>
              <w:right w:val="nil"/>
            </w:tcBorders>
            <w:shd w:val="clear" w:color="000000" w:fill="FFFFFF"/>
            <w:vAlign w:val="center"/>
            <w:hideMark/>
          </w:tcPr>
          <w:p w:rsidR="00F720EE" w:rsidRDefault="00F720EE" w:rsidP="005B0837">
            <w:pPr>
              <w:jc w:val="right"/>
              <w:rPr>
                <w:rFonts w:ascii="Calibri" w:hAnsi="Calibri" w:cs="Calibri"/>
                <w:b/>
                <w:bCs/>
                <w:color w:val="000000"/>
                <w:sz w:val="16"/>
                <w:szCs w:val="16"/>
              </w:rPr>
            </w:pPr>
            <w:r>
              <w:rPr>
                <w:rFonts w:ascii="Calibri" w:hAnsi="Calibri" w:cs="Calibri"/>
                <w:b/>
                <w:bCs/>
                <w:color w:val="000000"/>
                <w:sz w:val="16"/>
                <w:szCs w:val="16"/>
              </w:rPr>
              <w:t>141,704</w:t>
            </w:r>
          </w:p>
        </w:tc>
        <w:tc>
          <w:tcPr>
            <w:tcW w:w="1034" w:type="dxa"/>
            <w:tcBorders>
              <w:top w:val="nil"/>
              <w:left w:val="nil"/>
              <w:bottom w:val="single" w:sz="8" w:space="0" w:color="4BACC6"/>
              <w:right w:val="nil"/>
            </w:tcBorders>
            <w:shd w:val="clear" w:color="000000" w:fill="FFFFFF"/>
            <w:vAlign w:val="center"/>
            <w:hideMark/>
          </w:tcPr>
          <w:p w:rsidR="00F720EE" w:rsidRDefault="00F720EE" w:rsidP="005B0837">
            <w:pPr>
              <w:jc w:val="right"/>
              <w:rPr>
                <w:rFonts w:ascii="Calibri" w:hAnsi="Calibri" w:cs="Calibri"/>
                <w:b/>
                <w:bCs/>
                <w:color w:val="000000"/>
                <w:sz w:val="16"/>
                <w:szCs w:val="16"/>
              </w:rPr>
            </w:pPr>
            <w:r>
              <w:rPr>
                <w:rFonts w:ascii="Calibri" w:hAnsi="Calibri" w:cs="Calibri"/>
                <w:b/>
                <w:bCs/>
                <w:color w:val="000000"/>
                <w:sz w:val="16"/>
                <w:szCs w:val="16"/>
              </w:rPr>
              <w:t>153,730</w:t>
            </w:r>
          </w:p>
        </w:tc>
        <w:tc>
          <w:tcPr>
            <w:tcW w:w="1034" w:type="dxa"/>
            <w:tcBorders>
              <w:top w:val="nil"/>
              <w:left w:val="nil"/>
              <w:bottom w:val="single" w:sz="8" w:space="0" w:color="4BACC6"/>
              <w:right w:val="nil"/>
            </w:tcBorders>
            <w:shd w:val="clear" w:color="000000" w:fill="FFFFFF"/>
            <w:vAlign w:val="center"/>
            <w:hideMark/>
          </w:tcPr>
          <w:p w:rsidR="00F720EE" w:rsidRDefault="00F720EE" w:rsidP="005B0837">
            <w:pPr>
              <w:jc w:val="right"/>
              <w:rPr>
                <w:rFonts w:ascii="Calibri" w:hAnsi="Calibri" w:cs="Calibri"/>
                <w:b/>
                <w:bCs/>
                <w:color w:val="000000"/>
                <w:sz w:val="16"/>
                <w:szCs w:val="16"/>
              </w:rPr>
            </w:pPr>
            <w:r>
              <w:rPr>
                <w:rFonts w:ascii="Calibri" w:hAnsi="Calibri" w:cs="Calibri"/>
                <w:b/>
                <w:bCs/>
                <w:color w:val="000000"/>
                <w:sz w:val="16"/>
                <w:szCs w:val="16"/>
              </w:rPr>
              <w:t>-22,063</w:t>
            </w:r>
          </w:p>
        </w:tc>
        <w:tc>
          <w:tcPr>
            <w:tcW w:w="1034" w:type="dxa"/>
            <w:tcBorders>
              <w:top w:val="nil"/>
              <w:left w:val="nil"/>
              <w:bottom w:val="single" w:sz="8" w:space="0" w:color="4BACC6"/>
              <w:right w:val="nil"/>
            </w:tcBorders>
            <w:shd w:val="clear" w:color="000000" w:fill="FFFFFF"/>
            <w:vAlign w:val="center"/>
            <w:hideMark/>
          </w:tcPr>
          <w:p w:rsidR="00F720EE" w:rsidRDefault="00F720EE" w:rsidP="005B0837">
            <w:pPr>
              <w:jc w:val="right"/>
              <w:rPr>
                <w:rFonts w:ascii="Calibri" w:hAnsi="Calibri" w:cs="Calibri"/>
                <w:b/>
                <w:bCs/>
                <w:color w:val="000000"/>
                <w:sz w:val="16"/>
                <w:szCs w:val="16"/>
              </w:rPr>
            </w:pPr>
            <w:r>
              <w:rPr>
                <w:rFonts w:ascii="Calibri" w:hAnsi="Calibri" w:cs="Calibri"/>
                <w:b/>
                <w:bCs/>
                <w:color w:val="000000"/>
                <w:sz w:val="16"/>
                <w:szCs w:val="16"/>
              </w:rPr>
              <w:t>86.5%</w:t>
            </w:r>
          </w:p>
        </w:tc>
        <w:tc>
          <w:tcPr>
            <w:tcW w:w="1034" w:type="dxa"/>
            <w:tcBorders>
              <w:top w:val="nil"/>
              <w:left w:val="nil"/>
              <w:bottom w:val="single" w:sz="8" w:space="0" w:color="4BACC6"/>
              <w:right w:val="nil"/>
            </w:tcBorders>
            <w:shd w:val="clear" w:color="000000" w:fill="FFFFFF"/>
            <w:vAlign w:val="center"/>
            <w:hideMark/>
          </w:tcPr>
          <w:p w:rsidR="00F720EE" w:rsidRDefault="00F720EE" w:rsidP="005B0837">
            <w:pPr>
              <w:jc w:val="right"/>
              <w:rPr>
                <w:rFonts w:ascii="Calibri" w:hAnsi="Calibri" w:cs="Calibri"/>
                <w:b/>
                <w:bCs/>
                <w:color w:val="000000"/>
                <w:sz w:val="16"/>
                <w:szCs w:val="16"/>
              </w:rPr>
            </w:pPr>
            <w:r>
              <w:rPr>
                <w:rFonts w:ascii="Calibri" w:hAnsi="Calibri" w:cs="Calibri"/>
                <w:b/>
                <w:bCs/>
                <w:color w:val="000000"/>
                <w:sz w:val="16"/>
                <w:szCs w:val="16"/>
              </w:rPr>
              <w:t>-12,026</w:t>
            </w:r>
          </w:p>
        </w:tc>
        <w:tc>
          <w:tcPr>
            <w:tcW w:w="1034" w:type="dxa"/>
            <w:tcBorders>
              <w:top w:val="nil"/>
              <w:left w:val="nil"/>
              <w:bottom w:val="single" w:sz="8" w:space="0" w:color="4BACC6"/>
              <w:right w:val="single" w:sz="8" w:space="0" w:color="4BACC6"/>
            </w:tcBorders>
            <w:shd w:val="clear" w:color="000000" w:fill="FFFFFF"/>
            <w:vAlign w:val="center"/>
            <w:hideMark/>
          </w:tcPr>
          <w:p w:rsidR="00F720EE" w:rsidRDefault="00F720EE" w:rsidP="005B0837">
            <w:pPr>
              <w:jc w:val="right"/>
              <w:rPr>
                <w:rFonts w:ascii="Calibri" w:hAnsi="Calibri" w:cs="Calibri"/>
                <w:b/>
                <w:bCs/>
                <w:color w:val="000000"/>
                <w:sz w:val="16"/>
                <w:szCs w:val="16"/>
              </w:rPr>
            </w:pPr>
            <w:r>
              <w:rPr>
                <w:rFonts w:ascii="Calibri" w:hAnsi="Calibri" w:cs="Calibri"/>
                <w:b/>
                <w:bCs/>
                <w:color w:val="000000"/>
                <w:sz w:val="16"/>
                <w:szCs w:val="16"/>
              </w:rPr>
              <w:t>92.2%</w:t>
            </w:r>
          </w:p>
        </w:tc>
      </w:tr>
    </w:tbl>
    <w:p w:rsidR="00F720EE" w:rsidRPr="004E355C" w:rsidRDefault="00F720EE" w:rsidP="00F720EE">
      <w:pPr>
        <w:tabs>
          <w:tab w:val="left" w:pos="2511"/>
          <w:tab w:val="center" w:pos="4680"/>
          <w:tab w:val="left" w:pos="9360"/>
        </w:tabs>
        <w:spacing w:line="276" w:lineRule="auto"/>
        <w:jc w:val="both"/>
        <w:rPr>
          <w:rFonts w:asciiTheme="minorHAnsi" w:hAnsiTheme="minorHAnsi"/>
          <w:i/>
          <w:noProof/>
          <w:sz w:val="20"/>
          <w:szCs w:val="20"/>
          <w:lang w:val="sq-AL"/>
        </w:rPr>
      </w:pPr>
      <w:r w:rsidRPr="004E355C">
        <w:rPr>
          <w:rFonts w:asciiTheme="minorHAnsi" w:hAnsiTheme="minorHAnsi"/>
          <w:i/>
          <w:noProof/>
          <w:sz w:val="20"/>
          <w:szCs w:val="20"/>
          <w:lang w:val="sq-AL"/>
        </w:rPr>
        <w:t>Burimi: Ministria e Financave dhe Ekonomisë (20</w:t>
      </w:r>
      <w:r>
        <w:rPr>
          <w:rFonts w:asciiTheme="minorHAnsi" w:hAnsiTheme="minorHAnsi"/>
          <w:i/>
          <w:noProof/>
          <w:sz w:val="20"/>
          <w:szCs w:val="20"/>
          <w:lang w:val="sq-AL"/>
        </w:rPr>
        <w:t>20</w:t>
      </w:r>
      <w:r w:rsidRPr="004E355C">
        <w:rPr>
          <w:rFonts w:asciiTheme="minorHAnsi" w:hAnsiTheme="minorHAnsi"/>
          <w:i/>
          <w:noProof/>
          <w:sz w:val="20"/>
          <w:szCs w:val="20"/>
          <w:lang w:val="sq-AL"/>
        </w:rPr>
        <w:t>)</w:t>
      </w:r>
    </w:p>
    <w:p w:rsidR="00F720EE" w:rsidRPr="007A267D" w:rsidRDefault="00F720EE" w:rsidP="00F720EE">
      <w:pPr>
        <w:tabs>
          <w:tab w:val="left" w:pos="2511"/>
          <w:tab w:val="center" w:pos="4680"/>
          <w:tab w:val="left" w:pos="9360"/>
        </w:tabs>
        <w:spacing w:before="240" w:line="276" w:lineRule="auto"/>
        <w:jc w:val="both"/>
        <w:rPr>
          <w:rFonts w:asciiTheme="minorHAnsi" w:hAnsiTheme="minorHAnsi"/>
          <w:noProof/>
          <w:lang w:val="sq-AL"/>
        </w:rPr>
      </w:pPr>
      <w:r w:rsidRPr="007A267D">
        <w:rPr>
          <w:rFonts w:asciiTheme="minorHAnsi" w:eastAsiaTheme="minorEastAsia" w:hAnsiTheme="minorHAnsi" w:cstheme="minorHAnsi"/>
          <w:noProof/>
          <w:lang w:val="sq-AL"/>
        </w:rPr>
        <w:lastRenderedPageBreak/>
        <w:t>Krahasuar me 5 mujorin 2019, performaca e  te gjithë zërave të të ardhurave “Nga Tatimet dhe Doganat” (përfshirë kontributet e mbledhura nga DPT), ka pësuar rënie. R</w:t>
      </w:r>
      <w:r w:rsidRPr="007A267D">
        <w:rPr>
          <w:rFonts w:ascii="Calibri" w:eastAsiaTheme="minorEastAsia" w:hAnsi="Calibri" w:cs="Calibri"/>
          <w:noProof/>
          <w:lang w:val="sq-AL"/>
        </w:rPr>
        <w:t>ënien më të madhe e kanë pësuar zërat e të ardhurave nga Tatimi mbi Fitimin me –35.3%, Tatimi mbi të ardhurat Personale me –22.6%, si dhe Tatimi mbi Vlerën e Shtuar Neto në total  –12.8% ose 7 miliardë lekë më pak se 5 mujori i vitit 2019.</w:t>
      </w:r>
    </w:p>
    <w:p w:rsidR="00F720EE" w:rsidRPr="004E355C" w:rsidRDefault="00F720EE" w:rsidP="00F720EE">
      <w:pPr>
        <w:tabs>
          <w:tab w:val="left" w:pos="2511"/>
          <w:tab w:val="center" w:pos="4680"/>
          <w:tab w:val="left" w:pos="9360"/>
        </w:tabs>
        <w:spacing w:before="240" w:line="276" w:lineRule="auto"/>
        <w:jc w:val="both"/>
        <w:rPr>
          <w:rFonts w:asciiTheme="minorHAnsi" w:hAnsiTheme="minorHAnsi"/>
          <w:noProof/>
          <w:lang w:val="sq-AL"/>
        </w:rPr>
      </w:pPr>
      <w:bookmarkStart w:id="10" w:name="_Toc12448427"/>
      <w:bookmarkStart w:id="11" w:name="_Toc44404441"/>
      <w:r w:rsidRPr="004E355C">
        <w:rPr>
          <w:rFonts w:asciiTheme="minorHAnsi" w:hAnsiTheme="minorHAnsi"/>
          <w:i/>
          <w:lang w:val="sq-AL"/>
        </w:rPr>
        <w:t xml:space="preserve">Grafiku </w:t>
      </w:r>
      <w:r w:rsidRPr="004E355C">
        <w:rPr>
          <w:rFonts w:asciiTheme="minorHAnsi" w:hAnsiTheme="minorHAnsi"/>
          <w:b/>
          <w:bCs/>
          <w:i/>
          <w:lang w:val="sq-AL"/>
        </w:rPr>
        <w:fldChar w:fldCharType="begin"/>
      </w:r>
      <w:r w:rsidRPr="004E355C">
        <w:rPr>
          <w:rFonts w:asciiTheme="minorHAnsi" w:hAnsiTheme="minorHAnsi"/>
          <w:i/>
          <w:lang w:val="sq-AL"/>
        </w:rPr>
        <w:instrText xml:space="preserve"> SEQ Grafiku \* ARABIC </w:instrText>
      </w:r>
      <w:r w:rsidRPr="004E355C">
        <w:rPr>
          <w:rFonts w:asciiTheme="minorHAnsi" w:hAnsiTheme="minorHAnsi"/>
          <w:b/>
          <w:bCs/>
          <w:i/>
          <w:lang w:val="sq-AL"/>
        </w:rPr>
        <w:fldChar w:fldCharType="separate"/>
      </w:r>
      <w:r w:rsidR="00C342E2">
        <w:rPr>
          <w:rFonts w:asciiTheme="minorHAnsi" w:hAnsiTheme="minorHAnsi"/>
          <w:i/>
          <w:noProof/>
          <w:lang w:val="sq-AL"/>
        </w:rPr>
        <w:t>1</w:t>
      </w:r>
      <w:r w:rsidRPr="004E355C">
        <w:rPr>
          <w:rFonts w:asciiTheme="minorHAnsi" w:hAnsiTheme="minorHAnsi"/>
          <w:b/>
          <w:bCs/>
          <w:i/>
          <w:lang w:val="sq-AL"/>
        </w:rPr>
        <w:fldChar w:fldCharType="end"/>
      </w:r>
      <w:r w:rsidRPr="004E355C">
        <w:rPr>
          <w:rFonts w:asciiTheme="minorHAnsi" w:hAnsiTheme="minorHAnsi"/>
          <w:i/>
          <w:lang w:val="sq-AL"/>
        </w:rPr>
        <w:t>: Totali i të ardhurave Janar- Maj 20</w:t>
      </w:r>
      <w:r>
        <w:rPr>
          <w:rFonts w:asciiTheme="minorHAnsi" w:hAnsiTheme="minorHAnsi"/>
          <w:i/>
          <w:lang w:val="sq-AL"/>
        </w:rPr>
        <w:t>20</w:t>
      </w:r>
      <w:r w:rsidRPr="004E355C">
        <w:rPr>
          <w:rFonts w:asciiTheme="minorHAnsi" w:hAnsiTheme="minorHAnsi"/>
          <w:i/>
          <w:lang w:val="sq-AL"/>
        </w:rPr>
        <w:t>/201</w:t>
      </w:r>
      <w:r>
        <w:rPr>
          <w:rFonts w:asciiTheme="minorHAnsi" w:hAnsiTheme="minorHAnsi"/>
          <w:i/>
          <w:lang w:val="sq-AL"/>
        </w:rPr>
        <w:t>9</w:t>
      </w:r>
      <w:r w:rsidRPr="004E355C">
        <w:rPr>
          <w:rFonts w:asciiTheme="minorHAnsi" w:hAnsiTheme="minorHAnsi"/>
          <w:i/>
          <w:lang w:val="sq-AL"/>
        </w:rPr>
        <w:t xml:space="preserve">  (në milionë lekë)</w:t>
      </w:r>
      <w:bookmarkEnd w:id="10"/>
      <w:bookmarkEnd w:id="11"/>
    </w:p>
    <w:p w:rsidR="00F720EE" w:rsidRPr="004E355C" w:rsidRDefault="00F720EE" w:rsidP="00F720EE">
      <w:pPr>
        <w:tabs>
          <w:tab w:val="left" w:pos="2511"/>
          <w:tab w:val="center" w:pos="4680"/>
          <w:tab w:val="left" w:pos="9360"/>
        </w:tabs>
        <w:spacing w:line="276" w:lineRule="auto"/>
        <w:jc w:val="center"/>
        <w:rPr>
          <w:rFonts w:asciiTheme="minorHAnsi" w:hAnsiTheme="minorHAnsi"/>
          <w:noProof/>
          <w:lang w:val="sq-AL"/>
        </w:rPr>
      </w:pPr>
      <w:r>
        <w:rPr>
          <w:noProof/>
        </w:rPr>
        <w:drawing>
          <wp:inline distT="0" distB="0" distL="0" distR="0" wp14:anchorId="6F0D63D5" wp14:editId="6FBBDAB6">
            <wp:extent cx="6115050" cy="2065020"/>
            <wp:effectExtent l="0" t="0" r="19050" b="11430"/>
            <wp:docPr id="12" name="Chart 12">
              <a:extLst xmlns:a="http://schemas.openxmlformats.org/drawingml/2006/main">
                <a:ext uri="{FF2B5EF4-FFF2-40B4-BE49-F238E27FC236}">
                  <a16:creationId xmlns:a16="http://schemas.microsoft.com/office/drawing/2014/main" xmlns:w16se="http://schemas.microsoft.com/office/word/2015/wordml/symex"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00000000-0008-0000-1400-000005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rsidR="00F720EE" w:rsidRPr="004E355C" w:rsidRDefault="00F720EE" w:rsidP="00F720EE">
      <w:pPr>
        <w:tabs>
          <w:tab w:val="left" w:pos="2511"/>
          <w:tab w:val="center" w:pos="4680"/>
          <w:tab w:val="left" w:pos="9360"/>
        </w:tabs>
        <w:spacing w:line="276" w:lineRule="auto"/>
        <w:jc w:val="both"/>
        <w:rPr>
          <w:rFonts w:asciiTheme="minorHAnsi" w:hAnsiTheme="minorHAnsi"/>
          <w:i/>
          <w:noProof/>
          <w:sz w:val="20"/>
          <w:szCs w:val="20"/>
          <w:lang w:val="sq-AL"/>
        </w:rPr>
      </w:pPr>
      <w:r w:rsidRPr="004E355C">
        <w:rPr>
          <w:rFonts w:asciiTheme="minorHAnsi" w:hAnsiTheme="minorHAnsi"/>
          <w:i/>
          <w:noProof/>
          <w:sz w:val="20"/>
          <w:szCs w:val="20"/>
          <w:lang w:val="sq-AL"/>
        </w:rPr>
        <w:t>Burimi: Ministria e Financave dhe Ekonomisë (20</w:t>
      </w:r>
      <w:r>
        <w:rPr>
          <w:rFonts w:asciiTheme="minorHAnsi" w:hAnsiTheme="minorHAnsi"/>
          <w:i/>
          <w:noProof/>
          <w:sz w:val="20"/>
          <w:szCs w:val="20"/>
          <w:lang w:val="sq-AL"/>
        </w:rPr>
        <w:t>20</w:t>
      </w:r>
      <w:r w:rsidRPr="004E355C">
        <w:rPr>
          <w:rFonts w:asciiTheme="minorHAnsi" w:hAnsiTheme="minorHAnsi"/>
          <w:i/>
          <w:noProof/>
          <w:sz w:val="20"/>
          <w:szCs w:val="20"/>
          <w:lang w:val="sq-AL"/>
        </w:rPr>
        <w:t>)</w:t>
      </w:r>
    </w:p>
    <w:p w:rsidR="00F720EE" w:rsidRPr="004E355C" w:rsidRDefault="00F720EE" w:rsidP="00F720EE">
      <w:pPr>
        <w:tabs>
          <w:tab w:val="left" w:pos="2511"/>
          <w:tab w:val="center" w:pos="4680"/>
          <w:tab w:val="left" w:pos="9360"/>
        </w:tabs>
        <w:spacing w:line="276" w:lineRule="auto"/>
        <w:jc w:val="both"/>
        <w:rPr>
          <w:rFonts w:asciiTheme="minorHAnsi" w:hAnsiTheme="minorHAnsi"/>
          <w:noProof/>
          <w:u w:val="single"/>
          <w:lang w:val="sq-AL"/>
        </w:rPr>
      </w:pPr>
    </w:p>
    <w:p w:rsidR="00F720EE" w:rsidRPr="00E337DA" w:rsidRDefault="00F720EE" w:rsidP="00F720EE">
      <w:pPr>
        <w:tabs>
          <w:tab w:val="left" w:pos="2511"/>
          <w:tab w:val="center" w:pos="4680"/>
          <w:tab w:val="left" w:pos="9360"/>
        </w:tabs>
        <w:spacing w:line="276" w:lineRule="auto"/>
        <w:jc w:val="both"/>
        <w:rPr>
          <w:rFonts w:asciiTheme="minorHAnsi" w:hAnsiTheme="minorHAnsi" w:cstheme="minorHAnsi"/>
          <w:noProof/>
          <w:u w:val="single"/>
          <w:lang w:val="sq-AL"/>
        </w:rPr>
      </w:pPr>
      <w:r w:rsidRPr="00E337DA">
        <w:rPr>
          <w:rFonts w:asciiTheme="minorHAnsi" w:hAnsiTheme="minorHAnsi" w:cstheme="minorHAnsi"/>
          <w:noProof/>
          <w:u w:val="single"/>
          <w:lang w:val="sq-AL"/>
        </w:rPr>
        <w:t>Faktorët kryesorë që kanë ndikuar në performancën e 5 mujorit kundrejt planit janë:</w:t>
      </w:r>
    </w:p>
    <w:p w:rsidR="00F720EE" w:rsidRPr="00E337DA" w:rsidRDefault="00F720EE" w:rsidP="00503465">
      <w:pPr>
        <w:pStyle w:val="ListParagraph"/>
        <w:numPr>
          <w:ilvl w:val="0"/>
          <w:numId w:val="25"/>
        </w:numPr>
        <w:tabs>
          <w:tab w:val="left" w:pos="2511"/>
          <w:tab w:val="center" w:pos="4680"/>
          <w:tab w:val="left" w:pos="9360"/>
        </w:tabs>
        <w:spacing w:line="276" w:lineRule="auto"/>
        <w:jc w:val="both"/>
        <w:rPr>
          <w:rFonts w:asciiTheme="minorHAnsi" w:hAnsiTheme="minorHAnsi" w:cstheme="minorHAnsi"/>
          <w:noProof/>
          <w:lang w:val="sq-AL"/>
        </w:rPr>
      </w:pPr>
      <w:r w:rsidRPr="00E337DA">
        <w:rPr>
          <w:rFonts w:asciiTheme="minorHAnsi" w:hAnsiTheme="minorHAnsi" w:cstheme="minorHAnsi"/>
          <w:noProof/>
          <w:lang w:val="sq-AL"/>
        </w:rPr>
        <w:t>Ulja e ndjeshme e t</w:t>
      </w:r>
      <w:r w:rsidRPr="00E337DA">
        <w:rPr>
          <w:rFonts w:ascii="Calibri" w:hAnsi="Calibri" w:cs="Calibri"/>
          <w:noProof/>
          <w:lang w:val="sq-AL"/>
        </w:rPr>
        <w:t>ë ardhurave nga Tatimi mbi Fitimin si pasojë e shtyrjes së pagesës për shkak të situatës së pandemisë Covid-19.</w:t>
      </w:r>
    </w:p>
    <w:p w:rsidR="00F720EE" w:rsidRPr="00E337DA" w:rsidRDefault="00F720EE" w:rsidP="00503465">
      <w:pPr>
        <w:pStyle w:val="ListParagraph"/>
        <w:numPr>
          <w:ilvl w:val="0"/>
          <w:numId w:val="25"/>
        </w:numPr>
        <w:tabs>
          <w:tab w:val="left" w:pos="2511"/>
          <w:tab w:val="center" w:pos="4680"/>
          <w:tab w:val="left" w:pos="9360"/>
        </w:tabs>
        <w:spacing w:line="276" w:lineRule="auto"/>
        <w:jc w:val="both"/>
        <w:rPr>
          <w:rFonts w:asciiTheme="minorHAnsi" w:hAnsiTheme="minorHAnsi" w:cstheme="minorHAnsi"/>
          <w:noProof/>
          <w:lang w:val="sq-AL"/>
        </w:rPr>
      </w:pPr>
      <w:r w:rsidRPr="00E337DA">
        <w:rPr>
          <w:rFonts w:ascii="Calibri" w:hAnsi="Calibri" w:cs="Calibri"/>
          <w:noProof/>
          <w:lang w:val="sq-AL"/>
        </w:rPr>
        <w:t>Ulja e të ardhurave nga Tatimi mbi të Ardhurat Personale si pasojë e mosfunksionimit të pjesës dërrmuese të aktiviteteve ekonomike nga situata e krijuar prej Covid-19.</w:t>
      </w:r>
    </w:p>
    <w:p w:rsidR="00F720EE" w:rsidRPr="00E337DA" w:rsidRDefault="00F720EE" w:rsidP="00503465">
      <w:pPr>
        <w:pStyle w:val="ListParagraph"/>
        <w:numPr>
          <w:ilvl w:val="0"/>
          <w:numId w:val="25"/>
        </w:numPr>
        <w:tabs>
          <w:tab w:val="left" w:pos="2511"/>
          <w:tab w:val="center" w:pos="4680"/>
          <w:tab w:val="left" w:pos="9360"/>
        </w:tabs>
        <w:spacing w:line="276" w:lineRule="auto"/>
        <w:jc w:val="both"/>
        <w:rPr>
          <w:rFonts w:asciiTheme="minorHAnsi" w:hAnsiTheme="minorHAnsi" w:cstheme="minorHAnsi"/>
          <w:noProof/>
          <w:lang w:val="en-GB"/>
        </w:rPr>
      </w:pPr>
      <w:r w:rsidRPr="00E337DA">
        <w:rPr>
          <w:rFonts w:asciiTheme="minorHAnsi" w:hAnsiTheme="minorHAnsi" w:cstheme="minorHAnsi"/>
          <w:noProof/>
        </w:rPr>
        <w:t>Rënie e Kursit të këmbimit të monedhës Dollari Amerikan kundrejt monedhës vendase, përkatësisht në masën 2.6%, e cila ka dhënë efekte t</w:t>
      </w:r>
      <w:r w:rsidRPr="00E337DA">
        <w:rPr>
          <w:rFonts w:ascii="Calibri" w:hAnsi="Calibri" w:cs="Calibri"/>
          <w:noProof/>
        </w:rPr>
        <w:t xml:space="preserve">ë vogla </w:t>
      </w:r>
      <w:r w:rsidRPr="00E337DA">
        <w:rPr>
          <w:rFonts w:asciiTheme="minorHAnsi" w:hAnsiTheme="minorHAnsi" w:cstheme="minorHAnsi"/>
          <w:noProof/>
        </w:rPr>
        <w:t xml:space="preserve">negative në uljen e të ardhurave nga TVSH-ja e importeve për disa kategori mallrash. </w:t>
      </w:r>
    </w:p>
    <w:p w:rsidR="00F720EE" w:rsidRPr="004E355C" w:rsidRDefault="00F720EE" w:rsidP="00F720EE">
      <w:pPr>
        <w:spacing w:before="240" w:line="276" w:lineRule="auto"/>
        <w:rPr>
          <w:rFonts w:asciiTheme="minorHAnsi" w:hAnsiTheme="minorHAnsi"/>
          <w:b/>
          <w:noProof/>
          <w:lang w:val="sq-AL"/>
        </w:rPr>
      </w:pPr>
      <w:r w:rsidRPr="004E355C">
        <w:rPr>
          <w:rFonts w:asciiTheme="minorHAnsi" w:hAnsiTheme="minorHAnsi"/>
          <w:b/>
          <w:noProof/>
          <w:lang w:val="sq-AL"/>
        </w:rPr>
        <w:t>Performanca e të ardhurave tatimore dhe doganore kundrejt planit 20</w:t>
      </w:r>
      <w:r>
        <w:rPr>
          <w:rFonts w:asciiTheme="minorHAnsi" w:hAnsiTheme="minorHAnsi"/>
          <w:b/>
          <w:noProof/>
          <w:lang w:val="sq-AL"/>
        </w:rPr>
        <w:t>20</w:t>
      </w:r>
    </w:p>
    <w:p w:rsidR="00F720EE" w:rsidRPr="004E355C" w:rsidRDefault="00F720EE" w:rsidP="00F720EE">
      <w:pPr>
        <w:tabs>
          <w:tab w:val="left" w:pos="2511"/>
          <w:tab w:val="center" w:pos="4680"/>
          <w:tab w:val="left" w:pos="9360"/>
        </w:tabs>
        <w:spacing w:line="276" w:lineRule="auto"/>
        <w:jc w:val="both"/>
        <w:rPr>
          <w:rFonts w:asciiTheme="minorHAnsi" w:hAnsiTheme="minorHAnsi" w:cstheme="minorHAnsi"/>
          <w:noProof/>
          <w:lang w:val="sq-AL"/>
        </w:rPr>
      </w:pPr>
      <w:r w:rsidRPr="004E355C">
        <w:rPr>
          <w:rFonts w:asciiTheme="minorHAnsi" w:hAnsiTheme="minorHAnsi" w:cstheme="minorHAnsi"/>
          <w:noProof/>
          <w:lang w:val="sq-AL"/>
        </w:rPr>
        <w:t>Të ardhurat nga “Tatimet dhe Doganat” për periudhën Janar-Maj 20</w:t>
      </w:r>
      <w:r>
        <w:rPr>
          <w:rFonts w:asciiTheme="minorHAnsi" w:hAnsiTheme="minorHAnsi" w:cstheme="minorHAnsi"/>
          <w:noProof/>
          <w:lang w:val="sq-AL"/>
        </w:rPr>
        <w:t>20</w:t>
      </w:r>
      <w:r w:rsidRPr="004E355C">
        <w:rPr>
          <w:rFonts w:asciiTheme="minorHAnsi" w:hAnsiTheme="minorHAnsi" w:cstheme="minorHAnsi"/>
          <w:noProof/>
          <w:lang w:val="sq-AL"/>
        </w:rPr>
        <w:t xml:space="preserve"> paraqiten me një realizim në masën 9</w:t>
      </w:r>
      <w:r>
        <w:rPr>
          <w:rFonts w:asciiTheme="minorHAnsi" w:hAnsiTheme="minorHAnsi" w:cstheme="minorHAnsi"/>
          <w:noProof/>
          <w:lang w:val="sq-AL"/>
        </w:rPr>
        <w:t>2.2</w:t>
      </w:r>
      <w:r w:rsidRPr="004E355C">
        <w:rPr>
          <w:rFonts w:asciiTheme="minorHAnsi" w:hAnsiTheme="minorHAnsi" w:cstheme="minorHAnsi"/>
          <w:noProof/>
          <w:lang w:val="sq-AL"/>
        </w:rPr>
        <w:t xml:space="preserve">% ose </w:t>
      </w:r>
      <w:r>
        <w:rPr>
          <w:rFonts w:asciiTheme="minorHAnsi" w:hAnsiTheme="minorHAnsi" w:cstheme="minorHAnsi"/>
          <w:noProof/>
          <w:lang w:val="sq-AL"/>
        </w:rPr>
        <w:t>12</w:t>
      </w:r>
      <w:r w:rsidRPr="004E355C">
        <w:rPr>
          <w:rFonts w:asciiTheme="minorHAnsi" w:hAnsiTheme="minorHAnsi" w:cstheme="minorHAnsi"/>
          <w:noProof/>
          <w:lang w:val="sq-AL"/>
        </w:rPr>
        <w:t xml:space="preserve"> miliardë lekë më pak se plani i periudhës. Performanca sipas taksave paraqitet si vijon:</w:t>
      </w:r>
    </w:p>
    <w:p w:rsidR="00F720EE" w:rsidRPr="004E355C" w:rsidRDefault="00F720EE" w:rsidP="00503465">
      <w:pPr>
        <w:pStyle w:val="ListParagraph"/>
        <w:numPr>
          <w:ilvl w:val="0"/>
          <w:numId w:val="25"/>
        </w:numPr>
        <w:tabs>
          <w:tab w:val="left" w:pos="2511"/>
          <w:tab w:val="center" w:pos="4680"/>
          <w:tab w:val="left" w:pos="9360"/>
        </w:tabs>
        <w:spacing w:line="276" w:lineRule="auto"/>
        <w:jc w:val="both"/>
        <w:rPr>
          <w:rFonts w:asciiTheme="minorHAnsi" w:hAnsiTheme="minorHAnsi" w:cstheme="minorHAnsi"/>
          <w:noProof/>
          <w:lang w:val="sq-AL"/>
        </w:rPr>
      </w:pPr>
      <w:r w:rsidRPr="004E355C">
        <w:rPr>
          <w:rFonts w:asciiTheme="minorHAnsi" w:hAnsiTheme="minorHAnsi" w:cstheme="minorHAnsi"/>
          <w:noProof/>
          <w:lang w:val="sq-AL"/>
        </w:rPr>
        <w:t xml:space="preserve">Të ardhurat nga “T.V.SH-ja” në total, janë realizuar në vlerën </w:t>
      </w:r>
      <w:r>
        <w:rPr>
          <w:rFonts w:asciiTheme="minorHAnsi" w:hAnsiTheme="minorHAnsi" w:cstheme="minorHAnsi"/>
          <w:noProof/>
          <w:lang w:val="sq-AL"/>
        </w:rPr>
        <w:t>47.9</w:t>
      </w:r>
      <w:r w:rsidRPr="004E355C">
        <w:rPr>
          <w:rFonts w:asciiTheme="minorHAnsi" w:hAnsiTheme="minorHAnsi" w:cstheme="minorHAnsi"/>
          <w:noProof/>
          <w:lang w:val="sq-AL"/>
        </w:rPr>
        <w:t xml:space="preserve"> miliardë lekë, </w:t>
      </w:r>
      <w:r>
        <w:rPr>
          <w:rFonts w:asciiTheme="minorHAnsi" w:hAnsiTheme="minorHAnsi" w:cstheme="minorHAnsi"/>
          <w:noProof/>
          <w:lang w:val="sq-AL"/>
        </w:rPr>
        <w:t>6.1</w:t>
      </w:r>
      <w:r w:rsidRPr="004E355C">
        <w:rPr>
          <w:rFonts w:asciiTheme="minorHAnsi" w:hAnsiTheme="minorHAnsi" w:cstheme="minorHAnsi"/>
          <w:noProof/>
          <w:lang w:val="sq-AL"/>
        </w:rPr>
        <w:t xml:space="preserve">% ose </w:t>
      </w:r>
      <w:r>
        <w:rPr>
          <w:rFonts w:asciiTheme="minorHAnsi" w:hAnsiTheme="minorHAnsi" w:cstheme="minorHAnsi"/>
          <w:noProof/>
          <w:lang w:val="sq-AL"/>
        </w:rPr>
        <w:t>3.1</w:t>
      </w:r>
      <w:r w:rsidRPr="004E355C">
        <w:rPr>
          <w:rFonts w:asciiTheme="minorHAnsi" w:hAnsiTheme="minorHAnsi" w:cstheme="minorHAnsi"/>
          <w:noProof/>
          <w:lang w:val="sq-AL"/>
        </w:rPr>
        <w:t xml:space="preserve"> miliardë lekë më pak se plani i periudhës. </w:t>
      </w:r>
    </w:p>
    <w:p w:rsidR="00F720EE" w:rsidRPr="004E355C" w:rsidRDefault="00F720EE" w:rsidP="00503465">
      <w:pPr>
        <w:pStyle w:val="ListParagraph"/>
        <w:numPr>
          <w:ilvl w:val="0"/>
          <w:numId w:val="25"/>
        </w:numPr>
        <w:tabs>
          <w:tab w:val="left" w:pos="2511"/>
          <w:tab w:val="center" w:pos="4680"/>
          <w:tab w:val="left" w:pos="9360"/>
        </w:tabs>
        <w:spacing w:line="276" w:lineRule="auto"/>
        <w:jc w:val="both"/>
        <w:rPr>
          <w:rFonts w:asciiTheme="minorHAnsi" w:hAnsiTheme="minorHAnsi" w:cstheme="minorHAnsi"/>
          <w:noProof/>
          <w:lang w:val="sq-AL"/>
        </w:rPr>
      </w:pPr>
      <w:r w:rsidRPr="004E355C">
        <w:rPr>
          <w:rFonts w:asciiTheme="minorHAnsi" w:hAnsiTheme="minorHAnsi" w:cstheme="minorHAnsi"/>
          <w:noProof/>
          <w:lang w:val="sq-AL"/>
        </w:rPr>
        <w:t xml:space="preserve">Të ardhurat nga “Tatimi mbi Fitimin”, janë realizuar në vlerën </w:t>
      </w:r>
      <w:r>
        <w:rPr>
          <w:rFonts w:asciiTheme="minorHAnsi" w:hAnsiTheme="minorHAnsi" w:cstheme="minorHAnsi"/>
          <w:noProof/>
          <w:lang w:val="sq-AL"/>
        </w:rPr>
        <w:t>11.4</w:t>
      </w:r>
      <w:r w:rsidRPr="004E355C">
        <w:rPr>
          <w:rFonts w:asciiTheme="minorHAnsi" w:hAnsiTheme="minorHAnsi" w:cstheme="minorHAnsi"/>
          <w:noProof/>
          <w:lang w:val="sq-AL"/>
        </w:rPr>
        <w:t xml:space="preserve"> miliardë lekë, </w:t>
      </w:r>
      <w:r>
        <w:rPr>
          <w:rFonts w:asciiTheme="minorHAnsi" w:hAnsiTheme="minorHAnsi" w:cstheme="minorHAnsi"/>
          <w:noProof/>
          <w:lang w:val="sq-AL"/>
        </w:rPr>
        <w:t>18.5</w:t>
      </w:r>
      <w:r w:rsidRPr="004E355C">
        <w:rPr>
          <w:rFonts w:asciiTheme="minorHAnsi" w:hAnsiTheme="minorHAnsi" w:cstheme="minorHAnsi"/>
          <w:noProof/>
          <w:lang w:val="sq-AL"/>
        </w:rPr>
        <w:t>% ose 2</w:t>
      </w:r>
      <w:r>
        <w:rPr>
          <w:rFonts w:asciiTheme="minorHAnsi" w:hAnsiTheme="minorHAnsi" w:cstheme="minorHAnsi"/>
          <w:noProof/>
          <w:lang w:val="sq-AL"/>
        </w:rPr>
        <w:t>.6</w:t>
      </w:r>
      <w:r w:rsidRPr="004E355C">
        <w:rPr>
          <w:rFonts w:asciiTheme="minorHAnsi" w:hAnsiTheme="minorHAnsi" w:cstheme="minorHAnsi"/>
          <w:noProof/>
          <w:lang w:val="sq-AL"/>
        </w:rPr>
        <w:t xml:space="preserve"> miliardë lekë më </w:t>
      </w:r>
      <w:r>
        <w:rPr>
          <w:rFonts w:asciiTheme="minorHAnsi" w:hAnsiTheme="minorHAnsi" w:cstheme="minorHAnsi"/>
          <w:noProof/>
          <w:lang w:val="sq-AL"/>
        </w:rPr>
        <w:t>pak</w:t>
      </w:r>
      <w:r w:rsidRPr="004E355C">
        <w:rPr>
          <w:rFonts w:asciiTheme="minorHAnsi" w:hAnsiTheme="minorHAnsi" w:cstheme="minorHAnsi"/>
          <w:noProof/>
          <w:lang w:val="sq-AL"/>
        </w:rPr>
        <w:t xml:space="preserve"> se plani i periudhës.</w:t>
      </w:r>
    </w:p>
    <w:p w:rsidR="00F720EE" w:rsidRPr="004E355C" w:rsidRDefault="00F720EE" w:rsidP="00503465">
      <w:pPr>
        <w:pStyle w:val="ListParagraph"/>
        <w:numPr>
          <w:ilvl w:val="0"/>
          <w:numId w:val="25"/>
        </w:numPr>
        <w:tabs>
          <w:tab w:val="left" w:pos="2511"/>
          <w:tab w:val="center" w:pos="4680"/>
          <w:tab w:val="left" w:pos="9360"/>
        </w:tabs>
        <w:spacing w:line="276" w:lineRule="auto"/>
        <w:jc w:val="both"/>
        <w:rPr>
          <w:rFonts w:asciiTheme="minorHAnsi" w:hAnsiTheme="minorHAnsi" w:cstheme="minorHAnsi"/>
          <w:noProof/>
          <w:lang w:val="sq-AL"/>
        </w:rPr>
      </w:pPr>
      <w:r w:rsidRPr="004E355C">
        <w:rPr>
          <w:rFonts w:asciiTheme="minorHAnsi" w:hAnsiTheme="minorHAnsi" w:cstheme="minorHAnsi"/>
          <w:noProof/>
          <w:lang w:val="sq-AL"/>
        </w:rPr>
        <w:t xml:space="preserve">Të ardhurat nga “Akciza”, janë realizuar në vlerën </w:t>
      </w:r>
      <w:r>
        <w:rPr>
          <w:rFonts w:asciiTheme="minorHAnsi" w:hAnsiTheme="minorHAnsi" w:cstheme="minorHAnsi"/>
          <w:noProof/>
          <w:lang w:val="sq-AL"/>
        </w:rPr>
        <w:t>15.8</w:t>
      </w:r>
      <w:r w:rsidRPr="004E355C">
        <w:rPr>
          <w:rFonts w:asciiTheme="minorHAnsi" w:hAnsiTheme="minorHAnsi" w:cstheme="minorHAnsi"/>
          <w:noProof/>
          <w:lang w:val="sq-AL"/>
        </w:rPr>
        <w:t xml:space="preserve"> miliardë lekë,</w:t>
      </w:r>
      <w:r>
        <w:rPr>
          <w:rFonts w:asciiTheme="minorHAnsi" w:hAnsiTheme="minorHAnsi" w:cstheme="minorHAnsi"/>
          <w:noProof/>
          <w:lang w:val="sq-AL"/>
        </w:rPr>
        <w:t xml:space="preserve"> 5.4</w:t>
      </w:r>
      <w:r w:rsidRPr="004E355C">
        <w:rPr>
          <w:rFonts w:asciiTheme="minorHAnsi" w:hAnsiTheme="minorHAnsi" w:cstheme="minorHAnsi"/>
          <w:noProof/>
          <w:lang w:val="sq-AL"/>
        </w:rPr>
        <w:t xml:space="preserve">% ose </w:t>
      </w:r>
      <w:r>
        <w:rPr>
          <w:rFonts w:asciiTheme="minorHAnsi" w:hAnsiTheme="minorHAnsi" w:cstheme="minorHAnsi"/>
          <w:noProof/>
          <w:lang w:val="sq-AL"/>
        </w:rPr>
        <w:t>905 milion</w:t>
      </w:r>
      <w:r w:rsidRPr="004E355C">
        <w:rPr>
          <w:rFonts w:asciiTheme="minorHAnsi" w:hAnsiTheme="minorHAnsi" w:cstheme="minorHAnsi"/>
          <w:noProof/>
          <w:lang w:val="sq-AL"/>
        </w:rPr>
        <w:t>ë lekë më pak se plani i periudhës.</w:t>
      </w:r>
    </w:p>
    <w:p w:rsidR="00F720EE" w:rsidRPr="00E37DCE" w:rsidRDefault="00F720EE" w:rsidP="00503465">
      <w:pPr>
        <w:pStyle w:val="ListParagraph"/>
        <w:numPr>
          <w:ilvl w:val="0"/>
          <w:numId w:val="25"/>
        </w:numPr>
        <w:tabs>
          <w:tab w:val="left" w:pos="2511"/>
          <w:tab w:val="center" w:pos="4680"/>
          <w:tab w:val="left" w:pos="9360"/>
        </w:tabs>
        <w:spacing w:line="276" w:lineRule="auto"/>
        <w:jc w:val="both"/>
        <w:rPr>
          <w:rFonts w:asciiTheme="minorHAnsi" w:hAnsiTheme="minorHAnsi" w:cstheme="minorHAnsi"/>
          <w:noProof/>
          <w:lang w:val="sq-AL"/>
        </w:rPr>
      </w:pPr>
      <w:r w:rsidRPr="00E37DCE">
        <w:rPr>
          <w:rFonts w:asciiTheme="minorHAnsi" w:hAnsiTheme="minorHAnsi" w:cstheme="minorHAnsi"/>
          <w:noProof/>
          <w:lang w:val="sq-AL"/>
        </w:rPr>
        <w:t xml:space="preserve">Të ardhurat nga “Tatimi mbi të Ardhurat Personale”, janë realizuar në vlerën 13.5 miliardë lekë, 4.3% ose </w:t>
      </w:r>
      <w:r>
        <w:rPr>
          <w:rFonts w:asciiTheme="minorHAnsi" w:hAnsiTheme="minorHAnsi" w:cstheme="minorHAnsi"/>
          <w:noProof/>
          <w:lang w:val="sq-AL"/>
        </w:rPr>
        <w:t>607</w:t>
      </w:r>
      <w:r w:rsidRPr="00E37DCE">
        <w:rPr>
          <w:rFonts w:asciiTheme="minorHAnsi" w:hAnsiTheme="minorHAnsi" w:cstheme="minorHAnsi"/>
          <w:noProof/>
          <w:lang w:val="sq-AL"/>
        </w:rPr>
        <w:t xml:space="preserve"> mili</w:t>
      </w:r>
      <w:r>
        <w:rPr>
          <w:rFonts w:asciiTheme="minorHAnsi" w:hAnsiTheme="minorHAnsi" w:cstheme="minorHAnsi"/>
          <w:noProof/>
          <w:lang w:val="sq-AL"/>
        </w:rPr>
        <w:t>on</w:t>
      </w:r>
      <w:r w:rsidRPr="00E37DCE">
        <w:rPr>
          <w:rFonts w:asciiTheme="minorHAnsi" w:hAnsiTheme="minorHAnsi" w:cstheme="minorHAnsi"/>
          <w:noProof/>
          <w:lang w:val="sq-AL"/>
        </w:rPr>
        <w:t>ë lekë më pak se plani i periudhës.</w:t>
      </w:r>
    </w:p>
    <w:p w:rsidR="00F720EE" w:rsidRPr="00582E3F" w:rsidRDefault="00F720EE" w:rsidP="00503465">
      <w:pPr>
        <w:pStyle w:val="ListParagraph"/>
        <w:numPr>
          <w:ilvl w:val="0"/>
          <w:numId w:val="25"/>
        </w:numPr>
        <w:tabs>
          <w:tab w:val="left" w:pos="2511"/>
          <w:tab w:val="center" w:pos="4680"/>
          <w:tab w:val="left" w:pos="9360"/>
        </w:tabs>
        <w:spacing w:line="276" w:lineRule="auto"/>
        <w:jc w:val="both"/>
        <w:rPr>
          <w:rFonts w:asciiTheme="minorHAnsi" w:hAnsiTheme="minorHAnsi" w:cstheme="minorHAnsi"/>
          <w:noProof/>
          <w:lang w:val="sq-AL"/>
        </w:rPr>
      </w:pPr>
      <w:r w:rsidRPr="00582E3F">
        <w:rPr>
          <w:rFonts w:asciiTheme="minorHAnsi" w:hAnsiTheme="minorHAnsi" w:cstheme="minorHAnsi"/>
          <w:noProof/>
          <w:lang w:val="sq-AL"/>
        </w:rPr>
        <w:t>Të ardhurat nga “Taksat Nacionale dhe të tjera” janë realizuar në vlerën 12.4 miliardë lekë, 14% ose 2 miliardë lekë më pak se plani i perudhës.</w:t>
      </w:r>
    </w:p>
    <w:p w:rsidR="00F720EE" w:rsidRPr="00582E3F" w:rsidRDefault="00F720EE" w:rsidP="00503465">
      <w:pPr>
        <w:pStyle w:val="ListParagraph"/>
        <w:numPr>
          <w:ilvl w:val="0"/>
          <w:numId w:val="25"/>
        </w:numPr>
        <w:tabs>
          <w:tab w:val="left" w:pos="2511"/>
          <w:tab w:val="center" w:pos="4680"/>
          <w:tab w:val="left" w:pos="9360"/>
        </w:tabs>
        <w:spacing w:line="276" w:lineRule="auto"/>
        <w:jc w:val="both"/>
        <w:rPr>
          <w:rFonts w:asciiTheme="minorHAnsi" w:hAnsiTheme="minorHAnsi" w:cstheme="minorHAnsi"/>
          <w:noProof/>
          <w:lang w:val="sq-AL"/>
        </w:rPr>
      </w:pPr>
      <w:r w:rsidRPr="00582E3F">
        <w:rPr>
          <w:rFonts w:asciiTheme="minorHAnsi" w:hAnsiTheme="minorHAnsi" w:cstheme="minorHAnsi"/>
          <w:noProof/>
          <w:lang w:val="sq-AL"/>
        </w:rPr>
        <w:t>Të ardhurat nga “Taksat Doganore” janë realizuar në vlerën 2.2 miliardë lekë, 11.1% ose 281 milionë lekë më pak se plani i periudhës.</w:t>
      </w:r>
    </w:p>
    <w:p w:rsidR="00F720EE" w:rsidRPr="00FB3B38" w:rsidRDefault="00F720EE" w:rsidP="00503465">
      <w:pPr>
        <w:pStyle w:val="ListParagraph"/>
        <w:numPr>
          <w:ilvl w:val="0"/>
          <w:numId w:val="25"/>
        </w:numPr>
        <w:tabs>
          <w:tab w:val="left" w:pos="2511"/>
          <w:tab w:val="center" w:pos="4680"/>
          <w:tab w:val="left" w:pos="9360"/>
        </w:tabs>
        <w:spacing w:line="276" w:lineRule="auto"/>
        <w:jc w:val="both"/>
        <w:rPr>
          <w:rFonts w:asciiTheme="minorHAnsi" w:hAnsiTheme="minorHAnsi" w:cstheme="minorHAnsi"/>
          <w:noProof/>
          <w:lang w:val="sq-AL"/>
        </w:rPr>
      </w:pPr>
      <w:r w:rsidRPr="00FB3B38">
        <w:rPr>
          <w:rFonts w:asciiTheme="minorHAnsi" w:hAnsiTheme="minorHAnsi" w:cstheme="minorHAnsi"/>
          <w:noProof/>
          <w:lang w:val="sq-AL"/>
        </w:rPr>
        <w:lastRenderedPageBreak/>
        <w:t>Të ardhurat nga “Kontributet e Sigurimeve Shoqërore dhe Shëndetësore” mbledhur nga DPT janë realizuar në vlerën 38.4 miliardë lekë, realizim në masën 93.8%, ose 2.5 miliard</w:t>
      </w:r>
      <w:r w:rsidRPr="00F720EE">
        <w:rPr>
          <w:rFonts w:asciiTheme="minorHAnsi" w:hAnsiTheme="minorHAnsi" w:cstheme="minorHAnsi"/>
          <w:noProof/>
          <w:lang w:val="sq-AL"/>
        </w:rPr>
        <w:t>ë</w:t>
      </w:r>
      <w:r w:rsidRPr="00FB3B38">
        <w:rPr>
          <w:rFonts w:asciiTheme="minorHAnsi" w:hAnsiTheme="minorHAnsi" w:cstheme="minorHAnsi"/>
          <w:noProof/>
          <w:lang w:val="sq-AL"/>
        </w:rPr>
        <w:t xml:space="preserve"> kundrejt planit të periudhës.</w:t>
      </w:r>
    </w:p>
    <w:p w:rsidR="00F720EE" w:rsidRPr="00FB3B38" w:rsidRDefault="00F720EE" w:rsidP="00F720EE">
      <w:pPr>
        <w:pStyle w:val="NormalWeb"/>
        <w:spacing w:before="0" w:beforeAutospacing="0" w:after="0" w:afterAutospacing="0" w:line="276" w:lineRule="auto"/>
        <w:jc w:val="both"/>
        <w:rPr>
          <w:rFonts w:asciiTheme="minorHAnsi" w:hAnsiTheme="minorHAnsi"/>
          <w:bCs/>
          <w:lang w:val="sq-AL"/>
        </w:rPr>
      </w:pPr>
      <w:r w:rsidRPr="00EA6BA6">
        <w:rPr>
          <w:rFonts w:asciiTheme="minorHAnsi" w:hAnsiTheme="minorHAnsi" w:cstheme="minorHAnsi"/>
          <w:bCs/>
          <w:lang w:val="sq-AL"/>
        </w:rPr>
        <w:t>Importi i taksuar arriti në vlerën 172.4 miliardë lekë, ndërsa eksportet total arritën në vlerën 102 miliardë lekë. Krahasuar me të njëtën periudhë të vitit të kaluar importi i taksuar është ulur me 30 miliardë lekë ose 14.5%, dhe eksporti total është ulur me 29 miliardë lekë ose 22</w:t>
      </w:r>
      <w:r w:rsidRPr="00FB3B38">
        <w:rPr>
          <w:rFonts w:asciiTheme="minorHAnsi" w:hAnsiTheme="minorHAnsi" w:cstheme="minorHAnsi"/>
          <w:bCs/>
          <w:lang w:val="sq-AL"/>
        </w:rPr>
        <w:t>.3%. Sipas orientimit gjeografik, vendet Europiane, veçanërisht Italia dhe Greqia mbeten partnerët kryesorë në shkëmbimet tregtare</w:t>
      </w:r>
      <w:r w:rsidRPr="00FB3B38">
        <w:rPr>
          <w:rFonts w:asciiTheme="minorHAnsi" w:hAnsiTheme="minorHAnsi"/>
          <w:bCs/>
          <w:lang w:val="sq-AL"/>
        </w:rPr>
        <w:t xml:space="preserve">. </w:t>
      </w:r>
    </w:p>
    <w:p w:rsidR="00F720EE" w:rsidRPr="002326C7" w:rsidRDefault="00F720EE" w:rsidP="00F720EE">
      <w:pPr>
        <w:pStyle w:val="NormalWeb"/>
        <w:spacing w:before="0" w:beforeAutospacing="0" w:after="0" w:afterAutospacing="0" w:line="276" w:lineRule="auto"/>
        <w:jc w:val="both"/>
        <w:rPr>
          <w:rFonts w:asciiTheme="minorHAnsi" w:hAnsiTheme="minorHAnsi"/>
          <w:sz w:val="8"/>
          <w:szCs w:val="8"/>
          <w:lang w:val="sq-AL"/>
        </w:rPr>
      </w:pPr>
    </w:p>
    <w:p w:rsidR="00F720EE" w:rsidRDefault="00F720EE" w:rsidP="00F720EE">
      <w:pPr>
        <w:pStyle w:val="Caption"/>
        <w:keepNext/>
        <w:jc w:val="both"/>
        <w:rPr>
          <w:rFonts w:asciiTheme="minorHAnsi" w:hAnsiTheme="minorHAnsi"/>
          <w:b w:val="0"/>
          <w:bCs w:val="0"/>
          <w:i/>
          <w:color w:val="auto"/>
          <w:sz w:val="24"/>
          <w:szCs w:val="24"/>
          <w:lang w:val="sq-AL"/>
        </w:rPr>
      </w:pPr>
      <w:bookmarkStart w:id="12" w:name="_Toc12448428"/>
      <w:bookmarkStart w:id="13" w:name="_Toc44404442"/>
      <w:r w:rsidRPr="004E355C">
        <w:rPr>
          <w:rFonts w:asciiTheme="minorHAnsi" w:hAnsiTheme="minorHAnsi"/>
          <w:b w:val="0"/>
          <w:bCs w:val="0"/>
          <w:i/>
          <w:color w:val="auto"/>
          <w:sz w:val="24"/>
          <w:szCs w:val="24"/>
          <w:lang w:val="sq-AL"/>
        </w:rPr>
        <w:t xml:space="preserve">Grafiku </w:t>
      </w:r>
      <w:r w:rsidRPr="004E355C">
        <w:rPr>
          <w:rFonts w:asciiTheme="minorHAnsi" w:hAnsiTheme="minorHAnsi"/>
          <w:b w:val="0"/>
          <w:bCs w:val="0"/>
          <w:i/>
          <w:color w:val="auto"/>
          <w:sz w:val="24"/>
          <w:szCs w:val="24"/>
          <w:lang w:val="sq-AL"/>
        </w:rPr>
        <w:fldChar w:fldCharType="begin"/>
      </w:r>
      <w:r w:rsidRPr="004E355C">
        <w:rPr>
          <w:rFonts w:asciiTheme="minorHAnsi" w:hAnsiTheme="minorHAnsi"/>
          <w:b w:val="0"/>
          <w:bCs w:val="0"/>
          <w:i/>
          <w:color w:val="auto"/>
          <w:sz w:val="24"/>
          <w:szCs w:val="24"/>
          <w:lang w:val="sq-AL"/>
        </w:rPr>
        <w:instrText xml:space="preserve"> SEQ Grafiku \* ARABIC </w:instrText>
      </w:r>
      <w:r w:rsidRPr="004E355C">
        <w:rPr>
          <w:rFonts w:asciiTheme="minorHAnsi" w:hAnsiTheme="minorHAnsi"/>
          <w:b w:val="0"/>
          <w:bCs w:val="0"/>
          <w:i/>
          <w:color w:val="auto"/>
          <w:sz w:val="24"/>
          <w:szCs w:val="24"/>
          <w:lang w:val="sq-AL"/>
        </w:rPr>
        <w:fldChar w:fldCharType="separate"/>
      </w:r>
      <w:r w:rsidR="00C342E2">
        <w:rPr>
          <w:rFonts w:asciiTheme="minorHAnsi" w:hAnsiTheme="minorHAnsi"/>
          <w:b w:val="0"/>
          <w:bCs w:val="0"/>
          <w:i/>
          <w:noProof/>
          <w:color w:val="auto"/>
          <w:sz w:val="24"/>
          <w:szCs w:val="24"/>
          <w:lang w:val="sq-AL"/>
        </w:rPr>
        <w:t>2</w:t>
      </w:r>
      <w:r w:rsidRPr="004E355C">
        <w:rPr>
          <w:rFonts w:asciiTheme="minorHAnsi" w:hAnsiTheme="minorHAnsi"/>
          <w:b w:val="0"/>
          <w:bCs w:val="0"/>
          <w:i/>
          <w:color w:val="auto"/>
          <w:sz w:val="24"/>
          <w:szCs w:val="24"/>
          <w:lang w:val="sq-AL"/>
        </w:rPr>
        <w:fldChar w:fldCharType="end"/>
      </w:r>
      <w:r w:rsidRPr="004E355C">
        <w:rPr>
          <w:rFonts w:asciiTheme="minorHAnsi" w:hAnsiTheme="minorHAnsi"/>
          <w:b w:val="0"/>
          <w:bCs w:val="0"/>
          <w:i/>
          <w:color w:val="auto"/>
          <w:sz w:val="24"/>
          <w:szCs w:val="24"/>
          <w:lang w:val="sq-AL"/>
        </w:rPr>
        <w:t>: Import i Taksuar dhe Eksport Total 20</w:t>
      </w:r>
      <w:r>
        <w:rPr>
          <w:rFonts w:asciiTheme="minorHAnsi" w:hAnsiTheme="minorHAnsi"/>
          <w:b w:val="0"/>
          <w:bCs w:val="0"/>
          <w:i/>
          <w:color w:val="auto"/>
          <w:sz w:val="24"/>
          <w:szCs w:val="24"/>
          <w:lang w:val="sq-AL"/>
        </w:rPr>
        <w:t>20</w:t>
      </w:r>
      <w:r w:rsidRPr="004E355C">
        <w:rPr>
          <w:rFonts w:asciiTheme="minorHAnsi" w:hAnsiTheme="minorHAnsi"/>
          <w:b w:val="0"/>
          <w:bCs w:val="0"/>
          <w:i/>
          <w:color w:val="auto"/>
          <w:sz w:val="24"/>
          <w:szCs w:val="24"/>
          <w:lang w:val="sq-AL"/>
        </w:rPr>
        <w:t>/20</w:t>
      </w:r>
      <w:r>
        <w:rPr>
          <w:rFonts w:asciiTheme="minorHAnsi" w:hAnsiTheme="minorHAnsi"/>
          <w:b w:val="0"/>
          <w:bCs w:val="0"/>
          <w:i/>
          <w:color w:val="auto"/>
          <w:sz w:val="24"/>
          <w:szCs w:val="24"/>
          <w:lang w:val="sq-AL"/>
        </w:rPr>
        <w:t>19</w:t>
      </w:r>
      <w:r w:rsidRPr="004E355C">
        <w:rPr>
          <w:rFonts w:asciiTheme="minorHAnsi" w:hAnsiTheme="minorHAnsi"/>
          <w:b w:val="0"/>
          <w:bCs w:val="0"/>
          <w:i/>
          <w:color w:val="auto"/>
          <w:sz w:val="24"/>
          <w:szCs w:val="24"/>
          <w:lang w:val="sq-AL"/>
        </w:rPr>
        <w:t>(në miliard</w:t>
      </w:r>
      <w:r>
        <w:rPr>
          <w:rFonts w:asciiTheme="minorHAnsi" w:hAnsiTheme="minorHAnsi"/>
          <w:b w:val="0"/>
          <w:bCs w:val="0"/>
          <w:i/>
          <w:color w:val="auto"/>
          <w:sz w:val="24"/>
          <w:szCs w:val="24"/>
          <w:lang w:val="sq-AL"/>
        </w:rPr>
        <w:t xml:space="preserve"> </w:t>
      </w:r>
      <w:r w:rsidRPr="004E355C">
        <w:rPr>
          <w:rFonts w:asciiTheme="minorHAnsi" w:hAnsiTheme="minorHAnsi"/>
          <w:b w:val="0"/>
          <w:bCs w:val="0"/>
          <w:i/>
          <w:color w:val="auto"/>
          <w:sz w:val="24"/>
          <w:szCs w:val="24"/>
          <w:lang w:val="sq-AL"/>
        </w:rPr>
        <w:t>lekë)</w:t>
      </w:r>
      <w:bookmarkEnd w:id="12"/>
      <w:bookmarkEnd w:id="13"/>
    </w:p>
    <w:p w:rsidR="00F720EE" w:rsidRPr="0054006E" w:rsidRDefault="00F720EE" w:rsidP="00F720EE">
      <w:pPr>
        <w:jc w:val="center"/>
        <w:rPr>
          <w:lang w:val="sq-AL"/>
        </w:rPr>
      </w:pPr>
      <w:r>
        <w:rPr>
          <w:noProof/>
        </w:rPr>
        <w:drawing>
          <wp:inline distT="0" distB="0" distL="0" distR="0" wp14:anchorId="14C26D62" wp14:editId="01EB066C">
            <wp:extent cx="6115050" cy="2301240"/>
            <wp:effectExtent l="0" t="0" r="0" b="3810"/>
            <wp:docPr id="320" name="Chart 320">
              <a:extLst xmlns:a="http://schemas.openxmlformats.org/drawingml/2006/main">
                <a:ext uri="{FF2B5EF4-FFF2-40B4-BE49-F238E27FC236}">
                  <a16:creationId xmlns:a16="http://schemas.microsoft.com/office/drawing/2014/main" xmlns:w16se="http://schemas.microsoft.com/office/word/2015/wordml/symex"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7A10E63F-9585-4221-B723-E233F9A21AFA}"/>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rsidR="00F720EE" w:rsidRPr="004E355C" w:rsidRDefault="00F720EE" w:rsidP="00F720EE">
      <w:pPr>
        <w:tabs>
          <w:tab w:val="left" w:pos="1440"/>
          <w:tab w:val="center" w:pos="4680"/>
          <w:tab w:val="left" w:pos="9360"/>
        </w:tabs>
        <w:spacing w:line="276" w:lineRule="auto"/>
        <w:jc w:val="both"/>
        <w:rPr>
          <w:rFonts w:asciiTheme="minorHAnsi" w:hAnsiTheme="minorHAnsi"/>
          <w:i/>
          <w:noProof/>
          <w:sz w:val="20"/>
          <w:szCs w:val="20"/>
          <w:lang w:val="sq-AL"/>
        </w:rPr>
      </w:pPr>
      <w:r w:rsidRPr="004E355C">
        <w:rPr>
          <w:rFonts w:asciiTheme="minorHAnsi" w:hAnsiTheme="minorHAnsi"/>
          <w:i/>
          <w:noProof/>
          <w:sz w:val="20"/>
          <w:szCs w:val="20"/>
          <w:lang w:val="sq-AL"/>
        </w:rPr>
        <w:t>Burimi: Ministria e Financave dhe Ekonomisë (20</w:t>
      </w:r>
      <w:r>
        <w:rPr>
          <w:rFonts w:asciiTheme="minorHAnsi" w:hAnsiTheme="minorHAnsi"/>
          <w:i/>
          <w:noProof/>
          <w:sz w:val="20"/>
          <w:szCs w:val="20"/>
          <w:lang w:val="sq-AL"/>
        </w:rPr>
        <w:t>20</w:t>
      </w:r>
      <w:r w:rsidRPr="004E355C">
        <w:rPr>
          <w:rFonts w:asciiTheme="minorHAnsi" w:hAnsiTheme="minorHAnsi"/>
          <w:i/>
          <w:noProof/>
          <w:sz w:val="20"/>
          <w:szCs w:val="20"/>
          <w:lang w:val="sq-AL"/>
        </w:rPr>
        <w:t>)</w:t>
      </w:r>
    </w:p>
    <w:p w:rsidR="00F720EE" w:rsidRPr="004E355C" w:rsidRDefault="00F720EE" w:rsidP="00F720EE">
      <w:pPr>
        <w:tabs>
          <w:tab w:val="left" w:pos="2511"/>
          <w:tab w:val="left" w:pos="4500"/>
          <w:tab w:val="left" w:pos="4590"/>
          <w:tab w:val="center" w:pos="4680"/>
          <w:tab w:val="left" w:pos="4770"/>
          <w:tab w:val="left" w:pos="4860"/>
        </w:tabs>
        <w:spacing w:before="240" w:line="276" w:lineRule="auto"/>
        <w:jc w:val="both"/>
        <w:rPr>
          <w:rFonts w:asciiTheme="minorHAnsi" w:hAnsiTheme="minorHAnsi"/>
          <w:lang w:val="sq-AL"/>
        </w:rPr>
      </w:pPr>
      <w:r w:rsidRPr="004E355C">
        <w:rPr>
          <w:rFonts w:asciiTheme="minorHAnsi" w:hAnsiTheme="minorHAnsi"/>
          <w:b/>
          <w:bCs/>
          <w:lang w:val="sq-AL"/>
        </w:rPr>
        <w:t>Të Ardhurat Doganore</w:t>
      </w:r>
      <w:r w:rsidRPr="004E355C">
        <w:rPr>
          <w:rFonts w:asciiTheme="minorHAnsi" w:hAnsiTheme="minorHAnsi"/>
          <w:bCs/>
          <w:lang w:val="sq-AL"/>
        </w:rPr>
        <w:t xml:space="preserve"> – </w:t>
      </w:r>
      <w:r w:rsidRPr="004E355C">
        <w:rPr>
          <w:rFonts w:asciiTheme="minorHAnsi" w:hAnsiTheme="minorHAnsi" w:cstheme="minorHAnsi"/>
        </w:rPr>
        <w:t>Të ardhurat e mbledhura nga administrata doganore për 5 mujorin e vitit 20</w:t>
      </w:r>
      <w:r>
        <w:rPr>
          <w:rFonts w:asciiTheme="minorHAnsi" w:hAnsiTheme="minorHAnsi" w:cstheme="minorHAnsi"/>
        </w:rPr>
        <w:t>20</w:t>
      </w:r>
      <w:r w:rsidRPr="004E355C">
        <w:rPr>
          <w:rFonts w:asciiTheme="minorHAnsi" w:hAnsiTheme="minorHAnsi" w:cstheme="minorHAnsi"/>
        </w:rPr>
        <w:t xml:space="preserve"> janë realizuar në vlerën </w:t>
      </w:r>
      <w:r>
        <w:rPr>
          <w:rFonts w:asciiTheme="minorHAnsi" w:hAnsiTheme="minorHAnsi" w:cstheme="minorHAnsi"/>
        </w:rPr>
        <w:t>54.9</w:t>
      </w:r>
      <w:r w:rsidRPr="004E355C">
        <w:rPr>
          <w:rFonts w:asciiTheme="minorHAnsi" w:hAnsiTheme="minorHAnsi" w:cstheme="minorHAnsi"/>
        </w:rPr>
        <w:t xml:space="preserve"> miliardë lekë,</w:t>
      </w:r>
      <w:r w:rsidRPr="004E355C">
        <w:rPr>
          <w:rFonts w:asciiTheme="minorHAnsi" w:hAnsiTheme="minorHAnsi" w:cstheme="minorHAnsi"/>
          <w:lang w:val="it-IT"/>
        </w:rPr>
        <w:t xml:space="preserve"> </w:t>
      </w:r>
      <w:r>
        <w:rPr>
          <w:rFonts w:asciiTheme="minorHAnsi" w:hAnsiTheme="minorHAnsi" w:cstheme="minorHAnsi"/>
          <w:lang w:val="it-IT"/>
        </w:rPr>
        <w:t>12</w:t>
      </w:r>
      <w:r w:rsidRPr="004E355C">
        <w:rPr>
          <w:rFonts w:asciiTheme="minorHAnsi" w:hAnsiTheme="minorHAnsi" w:cstheme="minorHAnsi"/>
          <w:lang w:val="it-IT"/>
        </w:rPr>
        <w:t>.</w:t>
      </w:r>
      <w:r>
        <w:rPr>
          <w:rFonts w:asciiTheme="minorHAnsi" w:hAnsiTheme="minorHAnsi" w:cstheme="minorHAnsi"/>
          <w:lang w:val="it-IT"/>
        </w:rPr>
        <w:t>5</w:t>
      </w:r>
      <w:r w:rsidRPr="004E355C">
        <w:rPr>
          <w:rFonts w:asciiTheme="minorHAnsi" w:hAnsiTheme="minorHAnsi" w:cstheme="minorHAnsi"/>
          <w:lang w:val="it-IT"/>
        </w:rPr>
        <w:t xml:space="preserve">% ose </w:t>
      </w:r>
      <w:r>
        <w:rPr>
          <w:rFonts w:asciiTheme="minorHAnsi" w:hAnsiTheme="minorHAnsi" w:cstheme="minorHAnsi"/>
          <w:lang w:val="it-IT"/>
        </w:rPr>
        <w:t>7.9</w:t>
      </w:r>
      <w:r w:rsidRPr="004E355C">
        <w:rPr>
          <w:rFonts w:asciiTheme="minorHAnsi" w:hAnsiTheme="minorHAnsi" w:cstheme="minorHAnsi"/>
          <w:lang w:val="it-IT"/>
        </w:rPr>
        <w:t xml:space="preserve"> mili</w:t>
      </w:r>
      <w:r>
        <w:rPr>
          <w:rFonts w:asciiTheme="minorHAnsi" w:hAnsiTheme="minorHAnsi" w:cstheme="minorHAnsi"/>
          <w:lang w:val="it-IT"/>
        </w:rPr>
        <w:t>ard</w:t>
      </w:r>
      <w:r w:rsidRPr="004E355C">
        <w:rPr>
          <w:rFonts w:asciiTheme="minorHAnsi" w:hAnsiTheme="minorHAnsi" w:cstheme="minorHAnsi"/>
          <w:lang w:val="it-IT"/>
        </w:rPr>
        <w:t xml:space="preserve">ë lekë më </w:t>
      </w:r>
      <w:r>
        <w:rPr>
          <w:rFonts w:asciiTheme="minorHAnsi" w:hAnsiTheme="minorHAnsi" w:cstheme="minorHAnsi"/>
          <w:lang w:val="it-IT"/>
        </w:rPr>
        <w:t>pak</w:t>
      </w:r>
      <w:r w:rsidRPr="004E355C">
        <w:rPr>
          <w:rFonts w:asciiTheme="minorHAnsi" w:hAnsiTheme="minorHAnsi" w:cstheme="minorHAnsi"/>
          <w:lang w:val="it-IT"/>
        </w:rPr>
        <w:t xml:space="preserve"> se 5 mujori i vitit 201</w:t>
      </w:r>
      <w:r>
        <w:rPr>
          <w:rFonts w:asciiTheme="minorHAnsi" w:hAnsiTheme="minorHAnsi" w:cstheme="minorHAnsi"/>
          <w:lang w:val="it-IT"/>
        </w:rPr>
        <w:t>9</w:t>
      </w:r>
      <w:r w:rsidRPr="004E355C">
        <w:rPr>
          <w:rFonts w:asciiTheme="minorHAnsi" w:hAnsiTheme="minorHAnsi" w:cstheme="minorHAnsi"/>
          <w:lang w:val="it-IT"/>
        </w:rPr>
        <w:t xml:space="preserve">, dhe </w:t>
      </w:r>
      <w:r>
        <w:rPr>
          <w:rFonts w:asciiTheme="minorHAnsi" w:hAnsiTheme="minorHAnsi" w:cstheme="minorHAnsi"/>
          <w:lang w:val="it-IT"/>
        </w:rPr>
        <w:t>6.2</w:t>
      </w:r>
      <w:r w:rsidRPr="004E355C">
        <w:rPr>
          <w:rFonts w:asciiTheme="minorHAnsi" w:hAnsiTheme="minorHAnsi" w:cstheme="minorHAnsi"/>
          <w:lang w:val="it-IT"/>
        </w:rPr>
        <w:t xml:space="preserve">% ose </w:t>
      </w:r>
      <w:r>
        <w:rPr>
          <w:rFonts w:asciiTheme="minorHAnsi" w:hAnsiTheme="minorHAnsi" w:cstheme="minorHAnsi"/>
          <w:lang w:val="it-IT"/>
        </w:rPr>
        <w:t>3.6</w:t>
      </w:r>
      <w:r w:rsidRPr="004E355C">
        <w:rPr>
          <w:rFonts w:asciiTheme="minorHAnsi" w:hAnsiTheme="minorHAnsi" w:cstheme="minorHAnsi"/>
          <w:lang w:val="it-IT"/>
        </w:rPr>
        <w:t xml:space="preserve"> mili</w:t>
      </w:r>
      <w:r>
        <w:rPr>
          <w:rFonts w:asciiTheme="minorHAnsi" w:hAnsiTheme="minorHAnsi" w:cstheme="minorHAnsi"/>
          <w:lang w:val="it-IT"/>
        </w:rPr>
        <w:t>ard</w:t>
      </w:r>
      <w:r w:rsidRPr="004E355C">
        <w:rPr>
          <w:rFonts w:asciiTheme="minorHAnsi" w:hAnsiTheme="minorHAnsi" w:cstheme="minorHAnsi"/>
          <w:lang w:val="it-IT"/>
        </w:rPr>
        <w:t>ë lekë më pak se plani.</w:t>
      </w:r>
      <w:r w:rsidRPr="004E355C">
        <w:rPr>
          <w:rFonts w:asciiTheme="minorHAnsi" w:eastAsiaTheme="minorEastAsia" w:hAnsiTheme="minorHAnsi" w:cstheme="minorHAnsi"/>
          <w:color w:val="000000" w:themeColor="text1"/>
          <w:kern w:val="24"/>
          <w:lang w:val="it-IT"/>
        </w:rPr>
        <w:t xml:space="preserve"> </w:t>
      </w:r>
    </w:p>
    <w:p w:rsidR="00F720EE" w:rsidRPr="004E355C" w:rsidRDefault="00F720EE" w:rsidP="00F720EE">
      <w:pPr>
        <w:tabs>
          <w:tab w:val="left" w:pos="1260"/>
          <w:tab w:val="center" w:pos="4680"/>
          <w:tab w:val="left" w:pos="9360"/>
        </w:tabs>
        <w:spacing w:line="276" w:lineRule="auto"/>
        <w:jc w:val="both"/>
        <w:rPr>
          <w:rFonts w:asciiTheme="minorHAnsi" w:eastAsia="SimSun" w:hAnsiTheme="minorHAnsi"/>
          <w:i/>
          <w:sz w:val="8"/>
          <w:szCs w:val="8"/>
          <w:lang w:val="sq-AL"/>
        </w:rPr>
      </w:pPr>
    </w:p>
    <w:p w:rsidR="00F720EE" w:rsidRDefault="00F720EE" w:rsidP="00F720EE">
      <w:pPr>
        <w:pStyle w:val="Caption"/>
        <w:keepNext/>
        <w:jc w:val="both"/>
        <w:rPr>
          <w:rFonts w:asciiTheme="minorHAnsi" w:hAnsiTheme="minorHAnsi"/>
          <w:b w:val="0"/>
          <w:bCs w:val="0"/>
          <w:i/>
          <w:color w:val="auto"/>
          <w:sz w:val="24"/>
          <w:szCs w:val="24"/>
          <w:lang w:val="sq-AL"/>
        </w:rPr>
      </w:pPr>
      <w:bookmarkStart w:id="14" w:name="_Toc12448429"/>
      <w:bookmarkStart w:id="15" w:name="_Toc44404443"/>
      <w:r>
        <w:rPr>
          <w:noProof/>
        </w:rPr>
        <w:drawing>
          <wp:anchor distT="0" distB="0" distL="114300" distR="114300" simplePos="0" relativeHeight="251708416" behindDoc="0" locked="0" layoutInCell="1" allowOverlap="1" wp14:anchorId="30620B17" wp14:editId="3C50517E">
            <wp:simplePos x="0" y="0"/>
            <wp:positionH relativeFrom="column">
              <wp:posOffset>3810</wp:posOffset>
            </wp:positionH>
            <wp:positionV relativeFrom="paragraph">
              <wp:posOffset>314960</wp:posOffset>
            </wp:positionV>
            <wp:extent cx="2943225" cy="2232660"/>
            <wp:effectExtent l="0" t="0" r="9525" b="15240"/>
            <wp:wrapSquare wrapText="bothSides"/>
            <wp:docPr id="322" name="Chart 322">
              <a:extLst xmlns:a="http://schemas.openxmlformats.org/drawingml/2006/main">
                <a:ext uri="{FF2B5EF4-FFF2-40B4-BE49-F238E27FC236}">
                  <a16:creationId xmlns:a16="http://schemas.microsoft.com/office/drawing/2014/main" xmlns:w16se="http://schemas.microsoft.com/office/word/2015/wordml/symex"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928F6D70-CB68-443E-A8B3-56E10DE8FAFD}"/>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14:sizeRelV relativeFrom="margin">
              <wp14:pctHeight>0</wp14:pctHeight>
            </wp14:sizeRelV>
          </wp:anchor>
        </w:drawing>
      </w:r>
      <w:r w:rsidRPr="004E355C">
        <w:rPr>
          <w:rFonts w:asciiTheme="minorHAnsi" w:hAnsiTheme="minorHAnsi"/>
          <w:b w:val="0"/>
          <w:bCs w:val="0"/>
          <w:i/>
          <w:color w:val="auto"/>
          <w:sz w:val="24"/>
          <w:szCs w:val="24"/>
          <w:lang w:val="sq-AL"/>
        </w:rPr>
        <w:t xml:space="preserve">Grafiku </w:t>
      </w:r>
      <w:r w:rsidRPr="004E355C">
        <w:rPr>
          <w:rFonts w:asciiTheme="minorHAnsi" w:hAnsiTheme="minorHAnsi"/>
          <w:b w:val="0"/>
          <w:bCs w:val="0"/>
          <w:i/>
          <w:color w:val="auto"/>
          <w:sz w:val="24"/>
          <w:szCs w:val="24"/>
          <w:lang w:val="sq-AL"/>
        </w:rPr>
        <w:fldChar w:fldCharType="begin"/>
      </w:r>
      <w:r w:rsidRPr="004E355C">
        <w:rPr>
          <w:rFonts w:asciiTheme="minorHAnsi" w:hAnsiTheme="minorHAnsi"/>
          <w:b w:val="0"/>
          <w:bCs w:val="0"/>
          <w:i/>
          <w:color w:val="auto"/>
          <w:sz w:val="24"/>
          <w:szCs w:val="24"/>
          <w:lang w:val="sq-AL"/>
        </w:rPr>
        <w:instrText xml:space="preserve"> SEQ Grafiku \* ARABIC </w:instrText>
      </w:r>
      <w:r w:rsidRPr="004E355C">
        <w:rPr>
          <w:rFonts w:asciiTheme="minorHAnsi" w:hAnsiTheme="minorHAnsi"/>
          <w:b w:val="0"/>
          <w:bCs w:val="0"/>
          <w:i/>
          <w:color w:val="auto"/>
          <w:sz w:val="24"/>
          <w:szCs w:val="24"/>
          <w:lang w:val="sq-AL"/>
        </w:rPr>
        <w:fldChar w:fldCharType="separate"/>
      </w:r>
      <w:r w:rsidR="00C342E2">
        <w:rPr>
          <w:rFonts w:asciiTheme="minorHAnsi" w:hAnsiTheme="minorHAnsi"/>
          <w:b w:val="0"/>
          <w:bCs w:val="0"/>
          <w:i/>
          <w:noProof/>
          <w:color w:val="auto"/>
          <w:sz w:val="24"/>
          <w:szCs w:val="24"/>
          <w:lang w:val="sq-AL"/>
        </w:rPr>
        <w:t>3</w:t>
      </w:r>
      <w:r w:rsidRPr="004E355C">
        <w:rPr>
          <w:rFonts w:asciiTheme="minorHAnsi" w:hAnsiTheme="minorHAnsi"/>
          <w:b w:val="0"/>
          <w:bCs w:val="0"/>
          <w:i/>
          <w:color w:val="auto"/>
          <w:sz w:val="24"/>
          <w:szCs w:val="24"/>
          <w:lang w:val="sq-AL"/>
        </w:rPr>
        <w:fldChar w:fldCharType="end"/>
      </w:r>
      <w:r w:rsidRPr="004E355C">
        <w:rPr>
          <w:rFonts w:asciiTheme="minorHAnsi" w:hAnsiTheme="minorHAnsi"/>
          <w:b w:val="0"/>
          <w:bCs w:val="0"/>
          <w:i/>
          <w:color w:val="auto"/>
          <w:sz w:val="24"/>
          <w:szCs w:val="24"/>
          <w:lang w:val="sq-AL"/>
        </w:rPr>
        <w:t>: Të ardhurat Doganore për Janar- Maj 20</w:t>
      </w:r>
      <w:r>
        <w:rPr>
          <w:rFonts w:asciiTheme="minorHAnsi" w:hAnsiTheme="minorHAnsi"/>
          <w:b w:val="0"/>
          <w:bCs w:val="0"/>
          <w:i/>
          <w:color w:val="auto"/>
          <w:sz w:val="24"/>
          <w:szCs w:val="24"/>
          <w:lang w:val="sq-AL"/>
        </w:rPr>
        <w:t>20</w:t>
      </w:r>
      <w:r w:rsidRPr="004E355C">
        <w:rPr>
          <w:rFonts w:asciiTheme="minorHAnsi" w:hAnsiTheme="minorHAnsi"/>
          <w:b w:val="0"/>
          <w:bCs w:val="0"/>
          <w:i/>
          <w:color w:val="auto"/>
          <w:sz w:val="24"/>
          <w:szCs w:val="24"/>
          <w:lang w:val="sq-AL"/>
        </w:rPr>
        <w:t>, mujore dhe progresive (në milion lekë)</w:t>
      </w:r>
      <w:bookmarkEnd w:id="14"/>
      <w:bookmarkEnd w:id="15"/>
      <w:r w:rsidRPr="00AF2548">
        <w:rPr>
          <w:noProof/>
        </w:rPr>
        <w:t xml:space="preserve"> </w:t>
      </w:r>
      <w:r>
        <w:rPr>
          <w:noProof/>
        </w:rPr>
        <w:t xml:space="preserve">                   </w:t>
      </w:r>
    </w:p>
    <w:p w:rsidR="00F720EE" w:rsidRPr="00CE45D4" w:rsidRDefault="00F720EE" w:rsidP="00F720EE">
      <w:pPr>
        <w:rPr>
          <w:lang w:val="sq-AL"/>
        </w:rPr>
      </w:pPr>
      <w:r>
        <w:rPr>
          <w:noProof/>
        </w:rPr>
        <w:drawing>
          <wp:inline distT="0" distB="0" distL="0" distR="0" wp14:anchorId="70531AF9" wp14:editId="3F3EB83F">
            <wp:extent cx="2867025" cy="2232660"/>
            <wp:effectExtent l="0" t="0" r="9525" b="15240"/>
            <wp:docPr id="321" name="Chart 321">
              <a:extLst xmlns:a="http://schemas.openxmlformats.org/drawingml/2006/main">
                <a:ext uri="{FF2B5EF4-FFF2-40B4-BE49-F238E27FC236}">
                  <a16:creationId xmlns:a16="http://schemas.microsoft.com/office/drawing/2014/main" xmlns:w16se="http://schemas.microsoft.com/office/word/2015/wordml/symex"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49E24131-DFDF-4DFD-B3C1-AEAFC9FB5F3B}"/>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r>
        <w:rPr>
          <w:lang w:val="sq-AL"/>
        </w:rPr>
        <w:br w:type="textWrapping" w:clear="all"/>
      </w:r>
      <w:r w:rsidRPr="004E355C">
        <w:rPr>
          <w:rFonts w:asciiTheme="minorHAnsi" w:eastAsia="SimSun" w:hAnsiTheme="minorHAnsi"/>
          <w:lang w:val="sq-AL"/>
        </w:rPr>
        <w:t xml:space="preserve"> </w:t>
      </w:r>
      <w:r w:rsidRPr="004E355C">
        <w:rPr>
          <w:rFonts w:asciiTheme="minorHAnsi" w:hAnsiTheme="minorHAnsi"/>
          <w:i/>
          <w:noProof/>
          <w:sz w:val="20"/>
          <w:szCs w:val="20"/>
          <w:lang w:val="sq-AL"/>
        </w:rPr>
        <w:t xml:space="preserve">    Burimi: Ministria e Financave dhe Ekonomisë (20</w:t>
      </w:r>
      <w:r>
        <w:rPr>
          <w:rFonts w:asciiTheme="minorHAnsi" w:hAnsiTheme="minorHAnsi"/>
          <w:i/>
          <w:noProof/>
          <w:sz w:val="20"/>
          <w:szCs w:val="20"/>
          <w:lang w:val="sq-AL"/>
        </w:rPr>
        <w:t>20</w:t>
      </w:r>
      <w:r w:rsidRPr="004E355C">
        <w:rPr>
          <w:rFonts w:asciiTheme="minorHAnsi" w:hAnsiTheme="minorHAnsi"/>
          <w:i/>
          <w:noProof/>
          <w:sz w:val="20"/>
          <w:szCs w:val="20"/>
          <w:lang w:val="sq-AL"/>
        </w:rPr>
        <w:t>)</w:t>
      </w:r>
    </w:p>
    <w:p w:rsidR="00F720EE" w:rsidRPr="001D4995" w:rsidRDefault="00F720EE" w:rsidP="00F720EE">
      <w:pPr>
        <w:tabs>
          <w:tab w:val="left" w:pos="2511"/>
          <w:tab w:val="center" w:pos="4680"/>
        </w:tabs>
        <w:spacing w:before="240" w:line="276" w:lineRule="auto"/>
        <w:jc w:val="both"/>
        <w:rPr>
          <w:rFonts w:asciiTheme="minorHAnsi" w:hAnsiTheme="minorHAnsi"/>
          <w:color w:val="FF0000"/>
          <w:lang w:val="sq-AL"/>
        </w:rPr>
      </w:pPr>
      <w:r w:rsidRPr="00872F14">
        <w:rPr>
          <w:rFonts w:asciiTheme="minorHAnsi" w:hAnsiTheme="minorHAnsi" w:cstheme="minorHAnsi"/>
          <w:lang w:val="sq-AL"/>
        </w:rPr>
        <w:t>Kontribuesit kryesor me efekt pozitiv në të ardhurat doganore janë importi i miellit dhe i grurit, dhjamra dhe vajra shtazore dhe vegjetale,  sheqeri, duhan importi, fruta perime  etj</w:t>
      </w:r>
      <w:r w:rsidRPr="001D4995">
        <w:rPr>
          <w:rFonts w:asciiTheme="minorHAnsi" w:hAnsiTheme="minorHAnsi"/>
          <w:color w:val="FF0000"/>
          <w:lang w:val="sq-AL"/>
        </w:rPr>
        <w:t xml:space="preserve">. </w:t>
      </w:r>
    </w:p>
    <w:p w:rsidR="00F720EE" w:rsidRPr="004E355C" w:rsidRDefault="00F720EE" w:rsidP="00F720EE">
      <w:pPr>
        <w:tabs>
          <w:tab w:val="left" w:pos="2511"/>
          <w:tab w:val="center" w:pos="4680"/>
        </w:tabs>
        <w:spacing w:line="276" w:lineRule="auto"/>
        <w:jc w:val="both"/>
        <w:rPr>
          <w:rFonts w:asciiTheme="minorHAnsi" w:hAnsiTheme="minorHAnsi"/>
          <w:sz w:val="16"/>
          <w:lang w:val="sq-AL"/>
        </w:rPr>
      </w:pPr>
    </w:p>
    <w:p w:rsidR="00F720EE" w:rsidRPr="004E355C" w:rsidRDefault="00F720EE" w:rsidP="00F720EE">
      <w:pPr>
        <w:pStyle w:val="Caption"/>
        <w:keepNext/>
        <w:jc w:val="both"/>
        <w:rPr>
          <w:rFonts w:asciiTheme="minorHAnsi" w:hAnsiTheme="minorHAnsi"/>
          <w:b w:val="0"/>
          <w:bCs w:val="0"/>
          <w:i/>
          <w:color w:val="auto"/>
          <w:sz w:val="24"/>
          <w:szCs w:val="24"/>
          <w:lang w:val="sq-AL"/>
        </w:rPr>
      </w:pPr>
      <w:bookmarkStart w:id="16" w:name="_Toc12448430"/>
      <w:bookmarkStart w:id="17" w:name="_Toc44404444"/>
      <w:r w:rsidRPr="004E355C">
        <w:rPr>
          <w:rFonts w:asciiTheme="minorHAnsi" w:hAnsiTheme="minorHAnsi"/>
          <w:b w:val="0"/>
          <w:bCs w:val="0"/>
          <w:i/>
          <w:color w:val="auto"/>
          <w:sz w:val="24"/>
          <w:szCs w:val="24"/>
          <w:lang w:val="sq-AL"/>
        </w:rPr>
        <w:lastRenderedPageBreak/>
        <w:t xml:space="preserve">Grafiku </w:t>
      </w:r>
      <w:r w:rsidRPr="004E355C">
        <w:rPr>
          <w:rFonts w:asciiTheme="minorHAnsi" w:hAnsiTheme="minorHAnsi"/>
          <w:b w:val="0"/>
          <w:bCs w:val="0"/>
          <w:i/>
          <w:color w:val="auto"/>
          <w:sz w:val="24"/>
          <w:szCs w:val="24"/>
          <w:lang w:val="sq-AL"/>
        </w:rPr>
        <w:fldChar w:fldCharType="begin"/>
      </w:r>
      <w:r w:rsidRPr="004E355C">
        <w:rPr>
          <w:rFonts w:asciiTheme="minorHAnsi" w:hAnsiTheme="minorHAnsi"/>
          <w:b w:val="0"/>
          <w:bCs w:val="0"/>
          <w:i/>
          <w:color w:val="auto"/>
          <w:sz w:val="24"/>
          <w:szCs w:val="24"/>
          <w:lang w:val="sq-AL"/>
        </w:rPr>
        <w:instrText xml:space="preserve"> SEQ Grafiku \* ARABIC </w:instrText>
      </w:r>
      <w:r w:rsidRPr="004E355C">
        <w:rPr>
          <w:rFonts w:asciiTheme="minorHAnsi" w:hAnsiTheme="minorHAnsi"/>
          <w:b w:val="0"/>
          <w:bCs w:val="0"/>
          <w:i/>
          <w:color w:val="auto"/>
          <w:sz w:val="24"/>
          <w:szCs w:val="24"/>
          <w:lang w:val="sq-AL"/>
        </w:rPr>
        <w:fldChar w:fldCharType="separate"/>
      </w:r>
      <w:r w:rsidR="00C342E2">
        <w:rPr>
          <w:rFonts w:asciiTheme="minorHAnsi" w:hAnsiTheme="minorHAnsi"/>
          <w:b w:val="0"/>
          <w:bCs w:val="0"/>
          <w:i/>
          <w:noProof/>
          <w:color w:val="auto"/>
          <w:sz w:val="24"/>
          <w:szCs w:val="24"/>
          <w:lang w:val="sq-AL"/>
        </w:rPr>
        <w:t>4</w:t>
      </w:r>
      <w:r w:rsidRPr="004E355C">
        <w:rPr>
          <w:rFonts w:asciiTheme="minorHAnsi" w:hAnsiTheme="minorHAnsi"/>
          <w:b w:val="0"/>
          <w:bCs w:val="0"/>
          <w:i/>
          <w:color w:val="auto"/>
          <w:sz w:val="24"/>
          <w:szCs w:val="24"/>
          <w:lang w:val="sq-AL"/>
        </w:rPr>
        <w:fldChar w:fldCharType="end"/>
      </w:r>
      <w:r w:rsidRPr="004E355C">
        <w:rPr>
          <w:rFonts w:asciiTheme="minorHAnsi" w:hAnsiTheme="minorHAnsi"/>
          <w:b w:val="0"/>
          <w:bCs w:val="0"/>
          <w:i/>
          <w:color w:val="auto"/>
          <w:sz w:val="24"/>
          <w:szCs w:val="24"/>
          <w:lang w:val="sq-AL"/>
        </w:rPr>
        <w:t>: Kontribuesit kryesor në të ardhurat doganore Janar- Maj 20</w:t>
      </w:r>
      <w:r>
        <w:rPr>
          <w:rFonts w:asciiTheme="minorHAnsi" w:hAnsiTheme="minorHAnsi"/>
          <w:b w:val="0"/>
          <w:bCs w:val="0"/>
          <w:i/>
          <w:color w:val="auto"/>
          <w:sz w:val="24"/>
          <w:szCs w:val="24"/>
          <w:lang w:val="sq-AL"/>
        </w:rPr>
        <w:t>20</w:t>
      </w:r>
      <w:r w:rsidRPr="004E355C">
        <w:rPr>
          <w:rFonts w:asciiTheme="minorHAnsi" w:hAnsiTheme="minorHAnsi"/>
          <w:b w:val="0"/>
          <w:bCs w:val="0"/>
          <w:i/>
          <w:color w:val="auto"/>
          <w:sz w:val="24"/>
          <w:szCs w:val="24"/>
          <w:lang w:val="sq-AL"/>
        </w:rPr>
        <w:t>/20</w:t>
      </w:r>
      <w:r>
        <w:rPr>
          <w:rFonts w:asciiTheme="minorHAnsi" w:hAnsiTheme="minorHAnsi"/>
          <w:b w:val="0"/>
          <w:bCs w:val="0"/>
          <w:i/>
          <w:color w:val="auto"/>
          <w:sz w:val="24"/>
          <w:szCs w:val="24"/>
          <w:lang w:val="sq-AL"/>
        </w:rPr>
        <w:t>19</w:t>
      </w:r>
      <w:r w:rsidRPr="004E355C">
        <w:rPr>
          <w:rFonts w:asciiTheme="minorHAnsi" w:hAnsiTheme="minorHAnsi"/>
          <w:b w:val="0"/>
          <w:bCs w:val="0"/>
          <w:i/>
          <w:color w:val="auto"/>
          <w:sz w:val="24"/>
          <w:szCs w:val="24"/>
          <w:lang w:val="sq-AL"/>
        </w:rPr>
        <w:t xml:space="preserve"> (në milion lekë)</w:t>
      </w:r>
      <w:bookmarkEnd w:id="16"/>
      <w:bookmarkEnd w:id="17"/>
    </w:p>
    <w:p w:rsidR="00F720EE" w:rsidRPr="004E355C" w:rsidRDefault="00F720EE" w:rsidP="00F720EE">
      <w:pPr>
        <w:tabs>
          <w:tab w:val="left" w:pos="1260"/>
          <w:tab w:val="center" w:pos="4680"/>
          <w:tab w:val="left" w:pos="9360"/>
        </w:tabs>
        <w:spacing w:line="276" w:lineRule="auto"/>
        <w:jc w:val="center"/>
        <w:rPr>
          <w:rFonts w:asciiTheme="minorHAnsi" w:eastAsia="SimSun" w:hAnsiTheme="minorHAnsi"/>
          <w:lang w:val="sq-AL"/>
        </w:rPr>
      </w:pPr>
      <w:r w:rsidRPr="00FB3B38">
        <w:rPr>
          <w:rFonts w:asciiTheme="minorHAnsi" w:eastAsia="SimSun" w:hAnsiTheme="minorHAnsi"/>
          <w:noProof/>
        </w:rPr>
        <w:drawing>
          <wp:inline distT="0" distB="0" distL="0" distR="0" wp14:anchorId="642F110A" wp14:editId="7CADA9C2">
            <wp:extent cx="6115050" cy="2124075"/>
            <wp:effectExtent l="0" t="0" r="0" b="0"/>
            <wp:docPr id="13" name="Chart 13"/>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rsidR="00F720EE" w:rsidRPr="004E355C" w:rsidRDefault="00F720EE" w:rsidP="00F720EE">
      <w:pPr>
        <w:tabs>
          <w:tab w:val="left" w:pos="2511"/>
          <w:tab w:val="center" w:pos="4680"/>
          <w:tab w:val="left" w:pos="9360"/>
        </w:tabs>
        <w:spacing w:line="276" w:lineRule="auto"/>
        <w:jc w:val="both"/>
        <w:rPr>
          <w:rStyle w:val="Strong"/>
          <w:rFonts w:asciiTheme="minorHAnsi" w:hAnsiTheme="minorHAnsi"/>
          <w:b w:val="0"/>
          <w:bCs w:val="0"/>
          <w:i/>
          <w:noProof/>
          <w:sz w:val="20"/>
          <w:szCs w:val="20"/>
          <w:lang w:val="sq-AL"/>
        </w:rPr>
      </w:pPr>
      <w:r w:rsidRPr="004E355C">
        <w:rPr>
          <w:rFonts w:asciiTheme="minorHAnsi" w:hAnsiTheme="minorHAnsi"/>
          <w:i/>
          <w:noProof/>
          <w:sz w:val="20"/>
          <w:szCs w:val="20"/>
          <w:lang w:val="sq-AL"/>
        </w:rPr>
        <w:t xml:space="preserve">    Burimi: Ministria e Financave dhe Ekonomisë (20</w:t>
      </w:r>
      <w:r>
        <w:rPr>
          <w:rFonts w:asciiTheme="minorHAnsi" w:hAnsiTheme="minorHAnsi"/>
          <w:i/>
          <w:noProof/>
          <w:sz w:val="20"/>
          <w:szCs w:val="20"/>
          <w:lang w:val="sq-AL"/>
        </w:rPr>
        <w:t>20</w:t>
      </w:r>
      <w:r w:rsidRPr="004E355C">
        <w:rPr>
          <w:rFonts w:asciiTheme="minorHAnsi" w:hAnsiTheme="minorHAnsi"/>
          <w:i/>
          <w:noProof/>
          <w:sz w:val="20"/>
          <w:szCs w:val="20"/>
          <w:lang w:val="sq-AL"/>
        </w:rPr>
        <w:t>)</w:t>
      </w:r>
    </w:p>
    <w:p w:rsidR="00F720EE" w:rsidRPr="00B9447D" w:rsidRDefault="00F720EE" w:rsidP="00F720EE">
      <w:pPr>
        <w:pStyle w:val="NormalWeb"/>
        <w:spacing w:before="240" w:beforeAutospacing="0" w:after="0" w:afterAutospacing="0" w:line="276" w:lineRule="auto"/>
        <w:jc w:val="both"/>
        <w:rPr>
          <w:rFonts w:asciiTheme="minorHAnsi" w:hAnsiTheme="minorHAnsi" w:cstheme="minorHAnsi"/>
          <w:lang w:val="it-IT"/>
        </w:rPr>
      </w:pPr>
      <w:r w:rsidRPr="004E355C">
        <w:rPr>
          <w:rStyle w:val="Strong"/>
          <w:rFonts w:asciiTheme="minorHAnsi" w:eastAsia="Calibri" w:hAnsiTheme="minorHAnsi" w:cstheme="minorHAnsi"/>
          <w:b w:val="0"/>
          <w:i/>
          <w:lang w:val="it-IT"/>
        </w:rPr>
        <w:t>Të ardhurat nga taksa doganore</w:t>
      </w:r>
      <w:r w:rsidRPr="004E355C">
        <w:rPr>
          <w:rFonts w:asciiTheme="minorHAnsi" w:hAnsiTheme="minorHAnsi" w:cstheme="minorHAnsi"/>
          <w:lang w:val="it-IT"/>
        </w:rPr>
        <w:t xml:space="preserve"> janë realizuar në vlerën 2.</w:t>
      </w:r>
      <w:r>
        <w:rPr>
          <w:rFonts w:asciiTheme="minorHAnsi" w:hAnsiTheme="minorHAnsi" w:cstheme="minorHAnsi"/>
          <w:lang w:val="it-IT"/>
        </w:rPr>
        <w:t>2</w:t>
      </w:r>
      <w:r w:rsidRPr="004E355C">
        <w:rPr>
          <w:rFonts w:asciiTheme="minorHAnsi" w:hAnsiTheme="minorHAnsi" w:cstheme="minorHAnsi"/>
          <w:lang w:val="it-IT"/>
        </w:rPr>
        <w:t xml:space="preserve"> miliardë lekë, </w:t>
      </w:r>
      <w:r>
        <w:rPr>
          <w:rFonts w:asciiTheme="minorHAnsi" w:hAnsiTheme="minorHAnsi" w:cstheme="minorHAnsi"/>
          <w:lang w:val="it-IT"/>
        </w:rPr>
        <w:t>12</w:t>
      </w:r>
      <w:r w:rsidRPr="004E355C">
        <w:rPr>
          <w:rFonts w:asciiTheme="minorHAnsi" w:hAnsiTheme="minorHAnsi" w:cstheme="minorHAnsi"/>
          <w:lang w:val="it-IT"/>
        </w:rPr>
        <w:t xml:space="preserve">.2% ose </w:t>
      </w:r>
      <w:r>
        <w:rPr>
          <w:rFonts w:asciiTheme="minorHAnsi" w:hAnsiTheme="minorHAnsi" w:cstheme="minorHAnsi"/>
          <w:lang w:val="it-IT"/>
        </w:rPr>
        <w:t>311</w:t>
      </w:r>
      <w:r w:rsidRPr="004E355C">
        <w:rPr>
          <w:rFonts w:asciiTheme="minorHAnsi" w:hAnsiTheme="minorHAnsi" w:cstheme="minorHAnsi"/>
          <w:lang w:val="it-IT"/>
        </w:rPr>
        <w:t xml:space="preserve"> milionë lekë më </w:t>
      </w:r>
      <w:r>
        <w:rPr>
          <w:rFonts w:asciiTheme="minorHAnsi" w:hAnsiTheme="minorHAnsi" w:cstheme="minorHAnsi"/>
          <w:lang w:val="it-IT"/>
        </w:rPr>
        <w:t>pak</w:t>
      </w:r>
      <w:r w:rsidRPr="004E355C">
        <w:rPr>
          <w:rFonts w:asciiTheme="minorHAnsi" w:hAnsiTheme="minorHAnsi" w:cstheme="minorHAnsi"/>
          <w:lang w:val="it-IT"/>
        </w:rPr>
        <w:t xml:space="preserve"> se 5 mujori i vitit 201</w:t>
      </w:r>
      <w:r>
        <w:rPr>
          <w:rFonts w:asciiTheme="minorHAnsi" w:hAnsiTheme="minorHAnsi" w:cstheme="minorHAnsi"/>
          <w:lang w:val="it-IT"/>
        </w:rPr>
        <w:t>9</w:t>
      </w:r>
      <w:r w:rsidRPr="004E355C">
        <w:rPr>
          <w:rFonts w:asciiTheme="minorHAnsi" w:hAnsiTheme="minorHAnsi" w:cstheme="minorHAnsi"/>
          <w:lang w:val="it-IT"/>
        </w:rPr>
        <w:t xml:space="preserve">, dhe </w:t>
      </w:r>
      <w:r>
        <w:rPr>
          <w:rFonts w:asciiTheme="minorHAnsi" w:hAnsiTheme="minorHAnsi" w:cstheme="minorHAnsi"/>
          <w:lang w:val="it-IT"/>
        </w:rPr>
        <w:t>11.1</w:t>
      </w:r>
      <w:r w:rsidRPr="004E355C">
        <w:rPr>
          <w:rFonts w:asciiTheme="minorHAnsi" w:hAnsiTheme="minorHAnsi" w:cstheme="minorHAnsi"/>
          <w:lang w:val="it-IT"/>
        </w:rPr>
        <w:t>% ose 2</w:t>
      </w:r>
      <w:r>
        <w:rPr>
          <w:rFonts w:asciiTheme="minorHAnsi" w:hAnsiTheme="minorHAnsi" w:cstheme="minorHAnsi"/>
          <w:lang w:val="it-IT"/>
        </w:rPr>
        <w:t>81</w:t>
      </w:r>
      <w:r w:rsidRPr="004E355C">
        <w:rPr>
          <w:rFonts w:asciiTheme="minorHAnsi" w:hAnsiTheme="minorHAnsi" w:cstheme="minorHAnsi"/>
          <w:lang w:val="it-IT"/>
        </w:rPr>
        <w:t xml:space="preserve"> milionë lekë më pak se plani.</w:t>
      </w:r>
      <w:r w:rsidRPr="004E355C">
        <w:rPr>
          <w:rFonts w:asciiTheme="minorHAnsi" w:eastAsiaTheme="minorEastAsia" w:hAnsiTheme="minorHAnsi" w:cstheme="minorHAnsi"/>
          <w:color w:val="000000" w:themeColor="text1"/>
          <w:kern w:val="24"/>
          <w:lang w:val="it-IT"/>
        </w:rPr>
        <w:t xml:space="preserve"> </w:t>
      </w:r>
      <w:r w:rsidRPr="00B9447D">
        <w:rPr>
          <w:rFonts w:asciiTheme="minorHAnsi" w:hAnsiTheme="minorHAnsi" w:cstheme="minorHAnsi"/>
          <w:lang w:val="it-IT"/>
        </w:rPr>
        <w:t>Importi i taksuar është ulur me 14.5% krahasuar me periudhën Janar – Maj 2019.</w:t>
      </w:r>
    </w:p>
    <w:p w:rsidR="00F720EE" w:rsidRPr="00872F14" w:rsidRDefault="00F720EE" w:rsidP="00F720EE">
      <w:pPr>
        <w:pStyle w:val="NormalWeb"/>
        <w:spacing w:before="240" w:beforeAutospacing="0" w:after="0" w:afterAutospacing="0" w:line="276" w:lineRule="auto"/>
        <w:jc w:val="both"/>
        <w:rPr>
          <w:rFonts w:asciiTheme="minorHAnsi" w:hAnsiTheme="minorHAnsi"/>
          <w:lang w:val="sq-AL"/>
        </w:rPr>
      </w:pPr>
      <w:r w:rsidRPr="004E355C">
        <w:rPr>
          <w:rFonts w:asciiTheme="minorHAnsi" w:hAnsiTheme="minorHAnsi" w:cstheme="minorHAnsi"/>
          <w:i/>
        </w:rPr>
        <w:t>Të ardhurat nga akciza</w:t>
      </w:r>
      <w:r w:rsidRPr="004E355C">
        <w:rPr>
          <w:rFonts w:asciiTheme="minorHAnsi" w:hAnsiTheme="minorHAnsi" w:cstheme="minorHAnsi"/>
        </w:rPr>
        <w:t xml:space="preserve"> janë realizuar në vlerën 1</w:t>
      </w:r>
      <w:r>
        <w:rPr>
          <w:rFonts w:asciiTheme="minorHAnsi" w:hAnsiTheme="minorHAnsi" w:cstheme="minorHAnsi"/>
        </w:rPr>
        <w:t>5.8</w:t>
      </w:r>
      <w:r w:rsidRPr="004E355C">
        <w:rPr>
          <w:rFonts w:asciiTheme="minorHAnsi" w:hAnsiTheme="minorHAnsi" w:cstheme="minorHAnsi"/>
        </w:rPr>
        <w:t xml:space="preserve"> miliardë lekë, </w:t>
      </w:r>
      <w:r>
        <w:rPr>
          <w:rFonts w:asciiTheme="minorHAnsi" w:hAnsiTheme="minorHAnsi" w:cstheme="minorHAnsi"/>
        </w:rPr>
        <w:t>6.9</w:t>
      </w:r>
      <w:r w:rsidRPr="004E355C">
        <w:rPr>
          <w:rFonts w:asciiTheme="minorHAnsi" w:hAnsiTheme="minorHAnsi" w:cstheme="minorHAnsi"/>
        </w:rPr>
        <w:t xml:space="preserve">% ose </w:t>
      </w:r>
      <w:r>
        <w:rPr>
          <w:rFonts w:asciiTheme="minorHAnsi" w:hAnsiTheme="minorHAnsi" w:cstheme="minorHAnsi"/>
        </w:rPr>
        <w:t>1.2 miliard</w:t>
      </w:r>
      <w:r w:rsidRPr="004E355C">
        <w:rPr>
          <w:rFonts w:asciiTheme="minorHAnsi" w:hAnsiTheme="minorHAnsi" w:cstheme="minorHAnsi"/>
        </w:rPr>
        <w:t xml:space="preserve">ë lekë më </w:t>
      </w:r>
      <w:r>
        <w:rPr>
          <w:rFonts w:asciiTheme="minorHAnsi" w:hAnsiTheme="minorHAnsi" w:cstheme="minorHAnsi"/>
        </w:rPr>
        <w:t>pak</w:t>
      </w:r>
      <w:r w:rsidRPr="004E355C">
        <w:rPr>
          <w:rFonts w:asciiTheme="minorHAnsi" w:hAnsiTheme="minorHAnsi" w:cstheme="minorHAnsi"/>
        </w:rPr>
        <w:t xml:space="preserve"> se 5 mujori i vitit 201</w:t>
      </w:r>
      <w:r>
        <w:rPr>
          <w:rFonts w:asciiTheme="minorHAnsi" w:hAnsiTheme="minorHAnsi" w:cstheme="minorHAnsi"/>
        </w:rPr>
        <w:t>9</w:t>
      </w:r>
      <w:r w:rsidRPr="004E355C">
        <w:rPr>
          <w:rFonts w:asciiTheme="minorHAnsi" w:hAnsiTheme="minorHAnsi" w:cstheme="minorHAnsi"/>
        </w:rPr>
        <w:t xml:space="preserve">, dhe </w:t>
      </w:r>
      <w:r>
        <w:rPr>
          <w:rFonts w:asciiTheme="minorHAnsi" w:hAnsiTheme="minorHAnsi" w:cstheme="minorHAnsi"/>
        </w:rPr>
        <w:t>5.4</w:t>
      </w:r>
      <w:r w:rsidRPr="004E355C">
        <w:rPr>
          <w:rFonts w:asciiTheme="minorHAnsi" w:hAnsiTheme="minorHAnsi" w:cstheme="minorHAnsi"/>
        </w:rPr>
        <w:t>% ose 9</w:t>
      </w:r>
      <w:r>
        <w:rPr>
          <w:rFonts w:asciiTheme="minorHAnsi" w:hAnsiTheme="minorHAnsi" w:cstheme="minorHAnsi"/>
        </w:rPr>
        <w:t>00</w:t>
      </w:r>
      <w:r w:rsidRPr="004E355C">
        <w:rPr>
          <w:rFonts w:asciiTheme="minorHAnsi" w:hAnsiTheme="minorHAnsi" w:cstheme="minorHAnsi"/>
        </w:rPr>
        <w:t xml:space="preserve"> milionë lekë më pak se plani.</w:t>
      </w:r>
      <w:r w:rsidR="00A1366C">
        <w:rPr>
          <w:rFonts w:asciiTheme="minorHAnsi" w:hAnsiTheme="minorHAnsi" w:cstheme="minorHAnsi"/>
        </w:rPr>
        <w:t xml:space="preserve"> </w:t>
      </w:r>
      <w:r w:rsidRPr="00872F14">
        <w:rPr>
          <w:rFonts w:asciiTheme="minorHAnsi" w:hAnsiTheme="minorHAnsi" w:cstheme="minorHAnsi"/>
        </w:rPr>
        <w:t>Ndikim kryesor ka</w:t>
      </w:r>
      <w:r w:rsidR="00A1366C">
        <w:rPr>
          <w:rFonts w:asciiTheme="minorHAnsi" w:hAnsiTheme="minorHAnsi" w:cstheme="minorHAnsi"/>
        </w:rPr>
        <w:t xml:space="preserve"> </w:t>
      </w:r>
      <w:r w:rsidRPr="00872F14">
        <w:rPr>
          <w:rFonts w:asciiTheme="minorHAnsi" w:hAnsiTheme="minorHAnsi" w:cstheme="minorHAnsi"/>
        </w:rPr>
        <w:t xml:space="preserve">pasur </w:t>
      </w:r>
      <w:r w:rsidRPr="00872F14">
        <w:rPr>
          <w:rFonts w:asciiTheme="minorHAnsi" w:hAnsiTheme="minorHAnsi" w:cstheme="minorHAnsi"/>
          <w:lang w:val="it-IT"/>
        </w:rPr>
        <w:t>importi i duhanit që rezultoi me një rritje prej 7</w:t>
      </w:r>
      <w:r w:rsidR="00A1366C">
        <w:rPr>
          <w:rFonts w:asciiTheme="minorHAnsi" w:hAnsiTheme="minorHAnsi" w:cstheme="minorHAnsi"/>
          <w:lang w:val="it-IT"/>
        </w:rPr>
        <w:t xml:space="preserve"> </w:t>
      </w:r>
      <w:r w:rsidRPr="00872F14">
        <w:rPr>
          <w:rFonts w:asciiTheme="minorHAnsi" w:hAnsiTheme="minorHAnsi" w:cstheme="minorHAnsi"/>
          <w:lang w:val="it-IT"/>
        </w:rPr>
        <w:t xml:space="preserve">ton ose +26.2% krahasuar me 5 mujorin e vitit 2019. Ndërkohë është rritur deklarimi i prodhimit vendas të duhanit me rreth </w:t>
      </w:r>
      <w:r>
        <w:rPr>
          <w:rFonts w:asciiTheme="minorHAnsi" w:hAnsiTheme="minorHAnsi" w:cstheme="minorHAnsi"/>
          <w:lang w:val="it-IT"/>
        </w:rPr>
        <w:t>14</w:t>
      </w:r>
      <w:r w:rsidRPr="00872F14">
        <w:rPr>
          <w:rFonts w:asciiTheme="minorHAnsi" w:hAnsiTheme="minorHAnsi" w:cstheme="minorHAnsi"/>
          <w:lang w:val="it-IT"/>
        </w:rPr>
        <w:t xml:space="preserve"> </w:t>
      </w:r>
      <w:r w:rsidRPr="00FB3B38">
        <w:rPr>
          <w:rFonts w:asciiTheme="minorHAnsi" w:hAnsiTheme="minorHAnsi" w:cstheme="minorHAnsi"/>
          <w:lang w:val="it-IT"/>
        </w:rPr>
        <w:t>ton nga 10 ton t</w:t>
      </w:r>
      <w:r w:rsidRPr="00872F14">
        <w:rPr>
          <w:rFonts w:asciiTheme="minorHAnsi" w:hAnsiTheme="minorHAnsi" w:cstheme="minorHAnsi"/>
          <w:lang w:val="it-IT"/>
        </w:rPr>
        <w:t>ë deklaruara në periudhën Janar-Maj 2019</w:t>
      </w:r>
      <w:r w:rsidRPr="00872F14">
        <w:rPr>
          <w:rFonts w:asciiTheme="minorHAnsi" w:hAnsiTheme="minorHAnsi"/>
          <w:lang w:val="sq-AL"/>
        </w:rPr>
        <w:t>.</w:t>
      </w:r>
    </w:p>
    <w:p w:rsidR="00F720EE" w:rsidRDefault="00F720EE" w:rsidP="00F720EE">
      <w:pPr>
        <w:pStyle w:val="Caption"/>
        <w:keepNext/>
        <w:spacing w:before="240"/>
        <w:jc w:val="both"/>
        <w:rPr>
          <w:rFonts w:asciiTheme="minorHAnsi" w:hAnsiTheme="minorHAnsi"/>
          <w:b w:val="0"/>
          <w:bCs w:val="0"/>
          <w:i/>
          <w:color w:val="auto"/>
          <w:sz w:val="24"/>
          <w:szCs w:val="24"/>
          <w:lang w:val="sq-AL"/>
        </w:rPr>
      </w:pPr>
      <w:bookmarkStart w:id="18" w:name="_Toc12449188"/>
      <w:bookmarkStart w:id="19" w:name="_Toc44404403"/>
      <w:r w:rsidRPr="004E355C">
        <w:rPr>
          <w:rFonts w:asciiTheme="minorHAnsi" w:hAnsiTheme="minorHAnsi"/>
          <w:b w:val="0"/>
          <w:bCs w:val="0"/>
          <w:i/>
          <w:color w:val="auto"/>
          <w:sz w:val="24"/>
          <w:szCs w:val="24"/>
          <w:lang w:val="sq-AL"/>
        </w:rPr>
        <w:t xml:space="preserve">Tabela </w:t>
      </w:r>
      <w:r w:rsidRPr="004E355C">
        <w:rPr>
          <w:rFonts w:asciiTheme="minorHAnsi" w:hAnsiTheme="minorHAnsi"/>
          <w:b w:val="0"/>
          <w:bCs w:val="0"/>
          <w:i/>
          <w:color w:val="auto"/>
          <w:sz w:val="24"/>
          <w:szCs w:val="24"/>
          <w:lang w:val="sq-AL"/>
        </w:rPr>
        <w:fldChar w:fldCharType="begin"/>
      </w:r>
      <w:r w:rsidRPr="004E355C">
        <w:rPr>
          <w:rFonts w:asciiTheme="minorHAnsi" w:hAnsiTheme="minorHAnsi"/>
          <w:b w:val="0"/>
          <w:bCs w:val="0"/>
          <w:i/>
          <w:color w:val="auto"/>
          <w:sz w:val="24"/>
          <w:szCs w:val="24"/>
          <w:lang w:val="sq-AL"/>
        </w:rPr>
        <w:instrText xml:space="preserve"> SEQ Tabela \* ARABIC </w:instrText>
      </w:r>
      <w:r w:rsidRPr="004E355C">
        <w:rPr>
          <w:rFonts w:asciiTheme="minorHAnsi" w:hAnsiTheme="minorHAnsi"/>
          <w:b w:val="0"/>
          <w:bCs w:val="0"/>
          <w:i/>
          <w:color w:val="auto"/>
          <w:sz w:val="24"/>
          <w:szCs w:val="24"/>
          <w:lang w:val="sq-AL"/>
        </w:rPr>
        <w:fldChar w:fldCharType="separate"/>
      </w:r>
      <w:r w:rsidR="00C342E2">
        <w:rPr>
          <w:rFonts w:asciiTheme="minorHAnsi" w:hAnsiTheme="minorHAnsi"/>
          <w:b w:val="0"/>
          <w:bCs w:val="0"/>
          <w:i/>
          <w:noProof/>
          <w:color w:val="auto"/>
          <w:sz w:val="24"/>
          <w:szCs w:val="24"/>
          <w:lang w:val="sq-AL"/>
        </w:rPr>
        <w:t>2</w:t>
      </w:r>
      <w:r w:rsidRPr="004E355C">
        <w:rPr>
          <w:rFonts w:asciiTheme="minorHAnsi" w:hAnsiTheme="minorHAnsi"/>
          <w:b w:val="0"/>
          <w:bCs w:val="0"/>
          <w:i/>
          <w:color w:val="auto"/>
          <w:sz w:val="24"/>
          <w:szCs w:val="24"/>
          <w:lang w:val="sq-AL"/>
        </w:rPr>
        <w:fldChar w:fldCharType="end"/>
      </w:r>
      <w:r w:rsidRPr="004E355C">
        <w:rPr>
          <w:rFonts w:asciiTheme="minorHAnsi" w:hAnsiTheme="minorHAnsi"/>
          <w:b w:val="0"/>
          <w:bCs w:val="0"/>
          <w:i/>
          <w:color w:val="auto"/>
          <w:sz w:val="24"/>
          <w:szCs w:val="24"/>
          <w:lang w:val="sq-AL"/>
        </w:rPr>
        <w:t>: Të dhëna mbi sasitë e mallrave kryesorë të akcizës</w:t>
      </w:r>
      <w:bookmarkEnd w:id="18"/>
      <w:bookmarkEnd w:id="19"/>
      <w:r w:rsidRPr="004E355C">
        <w:rPr>
          <w:rFonts w:asciiTheme="minorHAnsi" w:hAnsiTheme="minorHAnsi"/>
          <w:b w:val="0"/>
          <w:bCs w:val="0"/>
          <w:i/>
          <w:color w:val="auto"/>
          <w:sz w:val="24"/>
          <w:szCs w:val="24"/>
          <w:lang w:val="sq-AL"/>
        </w:rPr>
        <w:t xml:space="preserve"> </w:t>
      </w:r>
    </w:p>
    <w:tbl>
      <w:tblPr>
        <w:tblW w:w="9889" w:type="dxa"/>
        <w:jc w:val="center"/>
        <w:tblLook w:val="04A0" w:firstRow="1" w:lastRow="0" w:firstColumn="1" w:lastColumn="0" w:noHBand="0" w:noVBand="1"/>
      </w:tblPr>
      <w:tblGrid>
        <w:gridCol w:w="3623"/>
        <w:gridCol w:w="1086"/>
        <w:gridCol w:w="1341"/>
        <w:gridCol w:w="1340"/>
        <w:gridCol w:w="1449"/>
        <w:gridCol w:w="1050"/>
      </w:tblGrid>
      <w:tr w:rsidR="00F720EE" w:rsidTr="00F720EE">
        <w:trPr>
          <w:trHeight w:val="256"/>
          <w:jc w:val="center"/>
        </w:trPr>
        <w:tc>
          <w:tcPr>
            <w:tcW w:w="3623" w:type="dxa"/>
            <w:tcBorders>
              <w:top w:val="single" w:sz="4" w:space="0" w:color="BDD7EE"/>
              <w:left w:val="single" w:sz="4" w:space="0" w:color="BDD7EE"/>
              <w:bottom w:val="nil"/>
              <w:right w:val="nil"/>
            </w:tcBorders>
            <w:shd w:val="clear" w:color="000000" w:fill="BDD7EE"/>
            <w:noWrap/>
            <w:vAlign w:val="bottom"/>
            <w:hideMark/>
          </w:tcPr>
          <w:p w:rsidR="00F720EE" w:rsidRDefault="00F720EE" w:rsidP="00E94F2B">
            <w:pPr>
              <w:rPr>
                <w:rFonts w:ascii="Calibri" w:hAnsi="Calibri" w:cs="Calibri"/>
                <w:color w:val="000000"/>
                <w:sz w:val="22"/>
                <w:szCs w:val="22"/>
              </w:rPr>
            </w:pPr>
            <w:r>
              <w:rPr>
                <w:rFonts w:ascii="Calibri" w:hAnsi="Calibri" w:cs="Calibri"/>
                <w:color w:val="000000"/>
                <w:sz w:val="22"/>
                <w:szCs w:val="22"/>
              </w:rPr>
              <w:t> </w:t>
            </w:r>
          </w:p>
        </w:tc>
        <w:tc>
          <w:tcPr>
            <w:tcW w:w="1086" w:type="dxa"/>
            <w:tcBorders>
              <w:top w:val="single" w:sz="4" w:space="0" w:color="BDD7EE"/>
              <w:left w:val="nil"/>
              <w:bottom w:val="nil"/>
              <w:right w:val="nil"/>
            </w:tcBorders>
            <w:shd w:val="clear" w:color="000000" w:fill="BDD7EE"/>
            <w:noWrap/>
            <w:vAlign w:val="center"/>
            <w:hideMark/>
          </w:tcPr>
          <w:p w:rsidR="00F720EE" w:rsidRDefault="00F720EE" w:rsidP="00E94F2B">
            <w:pPr>
              <w:rPr>
                <w:rFonts w:ascii="Calibri" w:hAnsi="Calibri" w:cs="Calibri"/>
                <w:color w:val="000000"/>
                <w:sz w:val="22"/>
                <w:szCs w:val="22"/>
              </w:rPr>
            </w:pPr>
            <w:r>
              <w:rPr>
                <w:rFonts w:ascii="Calibri" w:hAnsi="Calibri" w:cs="Calibri"/>
                <w:color w:val="000000"/>
                <w:sz w:val="22"/>
                <w:szCs w:val="22"/>
              </w:rPr>
              <w:t> </w:t>
            </w:r>
          </w:p>
        </w:tc>
        <w:tc>
          <w:tcPr>
            <w:tcW w:w="5180" w:type="dxa"/>
            <w:gridSpan w:val="4"/>
            <w:tcBorders>
              <w:top w:val="single" w:sz="4" w:space="0" w:color="BDD7EE"/>
              <w:left w:val="nil"/>
              <w:bottom w:val="nil"/>
              <w:right w:val="single" w:sz="4" w:space="0" w:color="BDD7EE"/>
            </w:tcBorders>
            <w:shd w:val="clear" w:color="000000" w:fill="BDD7EE"/>
            <w:noWrap/>
            <w:vAlign w:val="bottom"/>
            <w:hideMark/>
          </w:tcPr>
          <w:p w:rsidR="00F720EE" w:rsidRDefault="00F720EE" w:rsidP="00E94F2B">
            <w:pPr>
              <w:jc w:val="center"/>
              <w:rPr>
                <w:rFonts w:ascii="Calibri" w:hAnsi="Calibri" w:cs="Calibri"/>
                <w:color w:val="000000"/>
                <w:sz w:val="22"/>
                <w:szCs w:val="22"/>
              </w:rPr>
            </w:pPr>
            <w:r>
              <w:rPr>
                <w:rFonts w:ascii="Calibri" w:hAnsi="Calibri" w:cs="Calibri"/>
                <w:color w:val="000000"/>
                <w:sz w:val="22"/>
                <w:szCs w:val="22"/>
              </w:rPr>
              <w:t>Sasia</w:t>
            </w:r>
          </w:p>
        </w:tc>
      </w:tr>
      <w:tr w:rsidR="00F720EE" w:rsidTr="00F720EE">
        <w:trPr>
          <w:trHeight w:val="256"/>
          <w:jc w:val="center"/>
        </w:trPr>
        <w:tc>
          <w:tcPr>
            <w:tcW w:w="3623" w:type="dxa"/>
            <w:tcBorders>
              <w:top w:val="nil"/>
              <w:left w:val="single" w:sz="4" w:space="0" w:color="BDD7EE"/>
              <w:bottom w:val="single" w:sz="4" w:space="0" w:color="BDD7EE"/>
              <w:right w:val="nil"/>
            </w:tcBorders>
            <w:shd w:val="clear" w:color="000000" w:fill="BDD7EE"/>
            <w:noWrap/>
            <w:vAlign w:val="bottom"/>
            <w:hideMark/>
          </w:tcPr>
          <w:p w:rsidR="00F720EE" w:rsidRDefault="00F720EE" w:rsidP="00E94F2B">
            <w:pPr>
              <w:rPr>
                <w:rFonts w:ascii="Calibri" w:hAnsi="Calibri" w:cs="Calibri"/>
                <w:color w:val="000000"/>
                <w:sz w:val="22"/>
                <w:szCs w:val="22"/>
              </w:rPr>
            </w:pPr>
            <w:r>
              <w:rPr>
                <w:rFonts w:ascii="Calibri" w:hAnsi="Calibri" w:cs="Calibri"/>
                <w:color w:val="000000"/>
                <w:sz w:val="22"/>
                <w:szCs w:val="22"/>
              </w:rPr>
              <w:t>Mallrat kryesorë të akcizës</w:t>
            </w:r>
          </w:p>
        </w:tc>
        <w:tc>
          <w:tcPr>
            <w:tcW w:w="1086" w:type="dxa"/>
            <w:tcBorders>
              <w:top w:val="nil"/>
              <w:left w:val="nil"/>
              <w:bottom w:val="single" w:sz="4" w:space="0" w:color="BDD7EE"/>
              <w:right w:val="nil"/>
            </w:tcBorders>
            <w:shd w:val="clear" w:color="000000" w:fill="BDD7EE"/>
            <w:noWrap/>
            <w:vAlign w:val="center"/>
            <w:hideMark/>
          </w:tcPr>
          <w:p w:rsidR="00F720EE" w:rsidRDefault="00F720EE" w:rsidP="00E94F2B">
            <w:pPr>
              <w:jc w:val="center"/>
              <w:rPr>
                <w:rFonts w:ascii="Calibri" w:hAnsi="Calibri" w:cs="Calibri"/>
                <w:color w:val="000000"/>
                <w:sz w:val="22"/>
                <w:szCs w:val="22"/>
              </w:rPr>
            </w:pPr>
            <w:r>
              <w:rPr>
                <w:rFonts w:ascii="Calibri" w:hAnsi="Calibri" w:cs="Calibri"/>
                <w:color w:val="000000"/>
                <w:sz w:val="22"/>
                <w:szCs w:val="22"/>
              </w:rPr>
              <w:t>Njesia</w:t>
            </w:r>
          </w:p>
        </w:tc>
        <w:tc>
          <w:tcPr>
            <w:tcW w:w="1341" w:type="dxa"/>
            <w:tcBorders>
              <w:top w:val="nil"/>
              <w:left w:val="nil"/>
              <w:bottom w:val="single" w:sz="4" w:space="0" w:color="BDD7EE"/>
              <w:right w:val="nil"/>
            </w:tcBorders>
            <w:shd w:val="clear" w:color="000000" w:fill="BDD7EE"/>
            <w:noWrap/>
            <w:vAlign w:val="center"/>
            <w:hideMark/>
          </w:tcPr>
          <w:p w:rsidR="00F720EE" w:rsidRDefault="00F720EE" w:rsidP="00E94F2B">
            <w:pPr>
              <w:jc w:val="center"/>
              <w:rPr>
                <w:rFonts w:ascii="Calibri" w:hAnsi="Calibri" w:cs="Calibri"/>
                <w:color w:val="000000"/>
                <w:sz w:val="22"/>
                <w:szCs w:val="22"/>
              </w:rPr>
            </w:pPr>
            <w:r>
              <w:rPr>
                <w:rFonts w:ascii="Calibri" w:hAnsi="Calibri" w:cs="Calibri"/>
                <w:color w:val="000000"/>
                <w:sz w:val="22"/>
                <w:szCs w:val="22"/>
              </w:rPr>
              <w:t>5M 2019</w:t>
            </w:r>
          </w:p>
        </w:tc>
        <w:tc>
          <w:tcPr>
            <w:tcW w:w="1340" w:type="dxa"/>
            <w:tcBorders>
              <w:top w:val="nil"/>
              <w:left w:val="nil"/>
              <w:bottom w:val="single" w:sz="4" w:space="0" w:color="BDD7EE"/>
              <w:right w:val="nil"/>
            </w:tcBorders>
            <w:shd w:val="clear" w:color="000000" w:fill="BDD7EE"/>
            <w:noWrap/>
            <w:vAlign w:val="bottom"/>
            <w:hideMark/>
          </w:tcPr>
          <w:p w:rsidR="00F720EE" w:rsidRDefault="00F720EE" w:rsidP="00E94F2B">
            <w:pPr>
              <w:jc w:val="center"/>
              <w:rPr>
                <w:rFonts w:ascii="Calibri" w:hAnsi="Calibri" w:cs="Calibri"/>
                <w:color w:val="000000"/>
                <w:sz w:val="22"/>
                <w:szCs w:val="22"/>
              </w:rPr>
            </w:pPr>
            <w:r>
              <w:rPr>
                <w:rFonts w:ascii="Calibri" w:hAnsi="Calibri" w:cs="Calibri"/>
                <w:color w:val="000000"/>
                <w:sz w:val="22"/>
                <w:szCs w:val="22"/>
              </w:rPr>
              <w:t>5M 2020</w:t>
            </w:r>
          </w:p>
        </w:tc>
        <w:tc>
          <w:tcPr>
            <w:tcW w:w="1449" w:type="dxa"/>
            <w:tcBorders>
              <w:top w:val="nil"/>
              <w:left w:val="nil"/>
              <w:bottom w:val="single" w:sz="4" w:space="0" w:color="BDD7EE"/>
              <w:right w:val="nil"/>
            </w:tcBorders>
            <w:shd w:val="clear" w:color="000000" w:fill="BDD7EE"/>
            <w:noWrap/>
            <w:vAlign w:val="bottom"/>
            <w:hideMark/>
          </w:tcPr>
          <w:p w:rsidR="00F720EE" w:rsidRDefault="00F720EE" w:rsidP="00E94F2B">
            <w:pPr>
              <w:jc w:val="center"/>
              <w:rPr>
                <w:rFonts w:ascii="Calibri" w:hAnsi="Calibri" w:cs="Calibri"/>
                <w:color w:val="000000"/>
                <w:sz w:val="22"/>
                <w:szCs w:val="22"/>
              </w:rPr>
            </w:pPr>
            <w:r>
              <w:rPr>
                <w:rFonts w:ascii="Calibri" w:hAnsi="Calibri" w:cs="Calibri"/>
                <w:color w:val="000000"/>
                <w:sz w:val="22"/>
                <w:szCs w:val="22"/>
              </w:rPr>
              <w:t>Diferenca</w:t>
            </w:r>
          </w:p>
        </w:tc>
        <w:tc>
          <w:tcPr>
            <w:tcW w:w="1047" w:type="dxa"/>
            <w:tcBorders>
              <w:top w:val="nil"/>
              <w:left w:val="nil"/>
              <w:bottom w:val="single" w:sz="4" w:space="0" w:color="BDD7EE"/>
              <w:right w:val="single" w:sz="4" w:space="0" w:color="BDD7EE"/>
            </w:tcBorders>
            <w:shd w:val="clear" w:color="000000" w:fill="BDD7EE"/>
            <w:noWrap/>
            <w:vAlign w:val="bottom"/>
            <w:hideMark/>
          </w:tcPr>
          <w:p w:rsidR="00F720EE" w:rsidRDefault="00F720EE" w:rsidP="00E94F2B">
            <w:pPr>
              <w:jc w:val="center"/>
              <w:rPr>
                <w:rFonts w:ascii="Calibri" w:hAnsi="Calibri" w:cs="Calibri"/>
                <w:color w:val="000000"/>
                <w:sz w:val="22"/>
                <w:szCs w:val="22"/>
              </w:rPr>
            </w:pPr>
            <w:r>
              <w:rPr>
                <w:rFonts w:ascii="Calibri" w:hAnsi="Calibri" w:cs="Calibri"/>
                <w:color w:val="000000"/>
                <w:sz w:val="22"/>
                <w:szCs w:val="22"/>
              </w:rPr>
              <w:t>%</w:t>
            </w:r>
          </w:p>
        </w:tc>
      </w:tr>
      <w:tr w:rsidR="00F720EE" w:rsidTr="00F720EE">
        <w:trPr>
          <w:trHeight w:val="256"/>
          <w:jc w:val="center"/>
        </w:trPr>
        <w:tc>
          <w:tcPr>
            <w:tcW w:w="3623" w:type="dxa"/>
            <w:tcBorders>
              <w:top w:val="nil"/>
              <w:left w:val="single" w:sz="4" w:space="0" w:color="BDD7EE"/>
              <w:bottom w:val="single" w:sz="4" w:space="0" w:color="BDD7EE"/>
              <w:right w:val="nil"/>
            </w:tcBorders>
            <w:shd w:val="clear" w:color="auto" w:fill="auto"/>
            <w:noWrap/>
            <w:vAlign w:val="bottom"/>
            <w:hideMark/>
          </w:tcPr>
          <w:p w:rsidR="00F720EE" w:rsidRDefault="00F720EE" w:rsidP="00E94F2B">
            <w:pPr>
              <w:rPr>
                <w:rFonts w:ascii="Calibri" w:hAnsi="Calibri" w:cs="Calibri"/>
                <w:color w:val="000000"/>
                <w:sz w:val="22"/>
                <w:szCs w:val="22"/>
              </w:rPr>
            </w:pPr>
            <w:r>
              <w:rPr>
                <w:rFonts w:ascii="Calibri" w:hAnsi="Calibri" w:cs="Calibri"/>
                <w:color w:val="000000"/>
                <w:sz w:val="22"/>
                <w:szCs w:val="22"/>
              </w:rPr>
              <w:t>Detergjentë parfumeri</w:t>
            </w:r>
          </w:p>
        </w:tc>
        <w:tc>
          <w:tcPr>
            <w:tcW w:w="1086" w:type="dxa"/>
            <w:tcBorders>
              <w:top w:val="nil"/>
              <w:left w:val="nil"/>
              <w:bottom w:val="single" w:sz="4" w:space="0" w:color="BDD7EE"/>
              <w:right w:val="nil"/>
            </w:tcBorders>
            <w:shd w:val="clear" w:color="auto" w:fill="auto"/>
            <w:noWrap/>
            <w:vAlign w:val="bottom"/>
            <w:hideMark/>
          </w:tcPr>
          <w:p w:rsidR="00F720EE" w:rsidRDefault="00F720EE" w:rsidP="00E94F2B">
            <w:pPr>
              <w:jc w:val="center"/>
              <w:rPr>
                <w:rFonts w:ascii="Calibri" w:hAnsi="Calibri" w:cs="Calibri"/>
                <w:color w:val="000000"/>
                <w:sz w:val="22"/>
                <w:szCs w:val="22"/>
              </w:rPr>
            </w:pPr>
            <w:r>
              <w:rPr>
                <w:rFonts w:ascii="Calibri" w:hAnsi="Calibri" w:cs="Calibri"/>
                <w:color w:val="000000"/>
                <w:sz w:val="22"/>
                <w:szCs w:val="22"/>
              </w:rPr>
              <w:t>Ton</w:t>
            </w:r>
          </w:p>
        </w:tc>
        <w:tc>
          <w:tcPr>
            <w:tcW w:w="1341" w:type="dxa"/>
            <w:tcBorders>
              <w:top w:val="nil"/>
              <w:left w:val="nil"/>
              <w:bottom w:val="single" w:sz="4" w:space="0" w:color="BDD7EE"/>
              <w:right w:val="nil"/>
            </w:tcBorders>
            <w:shd w:val="clear" w:color="auto" w:fill="auto"/>
            <w:noWrap/>
            <w:vAlign w:val="bottom"/>
            <w:hideMark/>
          </w:tcPr>
          <w:p w:rsidR="00F720EE" w:rsidRDefault="00F720EE" w:rsidP="00E94F2B">
            <w:pPr>
              <w:jc w:val="right"/>
              <w:rPr>
                <w:rFonts w:ascii="Calibri" w:hAnsi="Calibri" w:cs="Calibri"/>
                <w:color w:val="000000"/>
                <w:sz w:val="22"/>
                <w:szCs w:val="22"/>
              </w:rPr>
            </w:pPr>
            <w:r>
              <w:rPr>
                <w:rFonts w:ascii="Calibri" w:hAnsi="Calibri" w:cs="Calibri"/>
                <w:color w:val="000000"/>
                <w:sz w:val="22"/>
                <w:szCs w:val="22"/>
              </w:rPr>
              <w:t>24,838</w:t>
            </w:r>
          </w:p>
        </w:tc>
        <w:tc>
          <w:tcPr>
            <w:tcW w:w="1340" w:type="dxa"/>
            <w:tcBorders>
              <w:top w:val="nil"/>
              <w:left w:val="nil"/>
              <w:bottom w:val="single" w:sz="4" w:space="0" w:color="BDD7EE"/>
              <w:right w:val="nil"/>
            </w:tcBorders>
            <w:shd w:val="clear" w:color="auto" w:fill="auto"/>
            <w:noWrap/>
            <w:vAlign w:val="bottom"/>
            <w:hideMark/>
          </w:tcPr>
          <w:p w:rsidR="00F720EE" w:rsidRDefault="00F720EE" w:rsidP="00E94F2B">
            <w:pPr>
              <w:jc w:val="right"/>
              <w:rPr>
                <w:rFonts w:ascii="Calibri" w:hAnsi="Calibri" w:cs="Calibri"/>
                <w:color w:val="000000"/>
                <w:sz w:val="22"/>
                <w:szCs w:val="22"/>
              </w:rPr>
            </w:pPr>
            <w:r>
              <w:rPr>
                <w:rFonts w:ascii="Calibri" w:hAnsi="Calibri" w:cs="Calibri"/>
                <w:color w:val="000000"/>
                <w:sz w:val="22"/>
                <w:szCs w:val="22"/>
              </w:rPr>
              <w:t>27,199</w:t>
            </w:r>
          </w:p>
        </w:tc>
        <w:tc>
          <w:tcPr>
            <w:tcW w:w="1449" w:type="dxa"/>
            <w:tcBorders>
              <w:top w:val="nil"/>
              <w:left w:val="nil"/>
              <w:bottom w:val="single" w:sz="4" w:space="0" w:color="BDD7EE"/>
              <w:right w:val="nil"/>
            </w:tcBorders>
            <w:shd w:val="clear" w:color="auto" w:fill="auto"/>
            <w:noWrap/>
            <w:vAlign w:val="bottom"/>
            <w:hideMark/>
          </w:tcPr>
          <w:p w:rsidR="00F720EE" w:rsidRDefault="00F720EE" w:rsidP="00E94F2B">
            <w:pPr>
              <w:jc w:val="right"/>
              <w:rPr>
                <w:rFonts w:ascii="Calibri" w:hAnsi="Calibri" w:cs="Calibri"/>
                <w:color w:val="000000"/>
                <w:sz w:val="22"/>
                <w:szCs w:val="22"/>
              </w:rPr>
            </w:pPr>
            <w:r>
              <w:rPr>
                <w:rFonts w:ascii="Calibri" w:hAnsi="Calibri" w:cs="Calibri"/>
                <w:color w:val="000000"/>
                <w:sz w:val="22"/>
                <w:szCs w:val="22"/>
              </w:rPr>
              <w:t xml:space="preserve">2,361 </w:t>
            </w:r>
          </w:p>
        </w:tc>
        <w:tc>
          <w:tcPr>
            <w:tcW w:w="1047" w:type="dxa"/>
            <w:tcBorders>
              <w:top w:val="nil"/>
              <w:left w:val="nil"/>
              <w:bottom w:val="single" w:sz="4" w:space="0" w:color="BDD7EE"/>
              <w:right w:val="single" w:sz="4" w:space="0" w:color="BDD7EE"/>
            </w:tcBorders>
            <w:shd w:val="clear" w:color="auto" w:fill="auto"/>
            <w:noWrap/>
            <w:vAlign w:val="bottom"/>
            <w:hideMark/>
          </w:tcPr>
          <w:p w:rsidR="00F720EE" w:rsidRDefault="00F720EE" w:rsidP="00E94F2B">
            <w:pPr>
              <w:jc w:val="right"/>
              <w:rPr>
                <w:rFonts w:ascii="Calibri" w:hAnsi="Calibri" w:cs="Calibri"/>
                <w:color w:val="000000"/>
                <w:sz w:val="22"/>
                <w:szCs w:val="22"/>
              </w:rPr>
            </w:pPr>
            <w:r>
              <w:rPr>
                <w:rFonts w:ascii="Calibri" w:hAnsi="Calibri" w:cs="Calibri"/>
                <w:color w:val="000000"/>
                <w:sz w:val="22"/>
                <w:szCs w:val="22"/>
              </w:rPr>
              <w:t>9.5%</w:t>
            </w:r>
          </w:p>
        </w:tc>
      </w:tr>
      <w:tr w:rsidR="00F720EE" w:rsidTr="00F720EE">
        <w:trPr>
          <w:trHeight w:val="256"/>
          <w:jc w:val="center"/>
        </w:trPr>
        <w:tc>
          <w:tcPr>
            <w:tcW w:w="3623" w:type="dxa"/>
            <w:tcBorders>
              <w:top w:val="nil"/>
              <w:left w:val="single" w:sz="4" w:space="0" w:color="BDD7EE"/>
              <w:bottom w:val="nil"/>
              <w:right w:val="nil"/>
            </w:tcBorders>
            <w:shd w:val="clear" w:color="auto" w:fill="auto"/>
            <w:noWrap/>
            <w:vAlign w:val="bottom"/>
            <w:hideMark/>
          </w:tcPr>
          <w:p w:rsidR="00F720EE" w:rsidRDefault="00F720EE" w:rsidP="00E94F2B">
            <w:pPr>
              <w:rPr>
                <w:rFonts w:ascii="Calibri" w:hAnsi="Calibri" w:cs="Calibri"/>
                <w:color w:val="000000"/>
                <w:sz w:val="22"/>
                <w:szCs w:val="22"/>
              </w:rPr>
            </w:pPr>
            <w:r>
              <w:rPr>
                <w:rFonts w:ascii="Calibri" w:hAnsi="Calibri" w:cs="Calibri"/>
                <w:color w:val="000000"/>
                <w:sz w:val="22"/>
                <w:szCs w:val="22"/>
              </w:rPr>
              <w:t>Karburante import</w:t>
            </w:r>
          </w:p>
        </w:tc>
        <w:tc>
          <w:tcPr>
            <w:tcW w:w="1086" w:type="dxa"/>
            <w:tcBorders>
              <w:top w:val="nil"/>
              <w:left w:val="nil"/>
              <w:bottom w:val="single" w:sz="4" w:space="0" w:color="BDD7EE"/>
              <w:right w:val="nil"/>
            </w:tcBorders>
            <w:shd w:val="clear" w:color="auto" w:fill="auto"/>
            <w:noWrap/>
            <w:vAlign w:val="bottom"/>
            <w:hideMark/>
          </w:tcPr>
          <w:p w:rsidR="00F720EE" w:rsidRDefault="00F720EE" w:rsidP="00E94F2B">
            <w:pPr>
              <w:jc w:val="center"/>
              <w:rPr>
                <w:rFonts w:ascii="Calibri" w:hAnsi="Calibri" w:cs="Calibri"/>
                <w:color w:val="000000"/>
                <w:sz w:val="22"/>
                <w:szCs w:val="22"/>
              </w:rPr>
            </w:pPr>
            <w:r>
              <w:rPr>
                <w:rFonts w:ascii="Calibri" w:hAnsi="Calibri" w:cs="Calibri"/>
                <w:color w:val="000000"/>
                <w:sz w:val="22"/>
                <w:szCs w:val="22"/>
              </w:rPr>
              <w:t>Ton</w:t>
            </w:r>
          </w:p>
        </w:tc>
        <w:tc>
          <w:tcPr>
            <w:tcW w:w="1341" w:type="dxa"/>
            <w:tcBorders>
              <w:top w:val="nil"/>
              <w:left w:val="nil"/>
              <w:bottom w:val="nil"/>
              <w:right w:val="nil"/>
            </w:tcBorders>
            <w:shd w:val="clear" w:color="auto" w:fill="auto"/>
            <w:noWrap/>
            <w:vAlign w:val="bottom"/>
            <w:hideMark/>
          </w:tcPr>
          <w:p w:rsidR="00F720EE" w:rsidRDefault="00F720EE" w:rsidP="00E94F2B">
            <w:pPr>
              <w:jc w:val="right"/>
              <w:rPr>
                <w:rFonts w:ascii="Calibri" w:hAnsi="Calibri" w:cs="Calibri"/>
                <w:color w:val="000000"/>
                <w:sz w:val="22"/>
                <w:szCs w:val="22"/>
              </w:rPr>
            </w:pPr>
            <w:r>
              <w:rPr>
                <w:rFonts w:ascii="Calibri" w:hAnsi="Calibri" w:cs="Calibri"/>
                <w:color w:val="000000"/>
                <w:sz w:val="22"/>
                <w:szCs w:val="22"/>
              </w:rPr>
              <w:t>189,323</w:t>
            </w:r>
          </w:p>
        </w:tc>
        <w:tc>
          <w:tcPr>
            <w:tcW w:w="1340" w:type="dxa"/>
            <w:tcBorders>
              <w:top w:val="nil"/>
              <w:left w:val="nil"/>
              <w:bottom w:val="nil"/>
              <w:right w:val="nil"/>
            </w:tcBorders>
            <w:shd w:val="clear" w:color="auto" w:fill="auto"/>
            <w:noWrap/>
            <w:vAlign w:val="bottom"/>
            <w:hideMark/>
          </w:tcPr>
          <w:p w:rsidR="00F720EE" w:rsidRDefault="00F720EE" w:rsidP="00E94F2B">
            <w:pPr>
              <w:jc w:val="right"/>
              <w:rPr>
                <w:rFonts w:ascii="Calibri" w:hAnsi="Calibri" w:cs="Calibri"/>
                <w:color w:val="000000"/>
                <w:sz w:val="22"/>
                <w:szCs w:val="22"/>
              </w:rPr>
            </w:pPr>
            <w:r>
              <w:rPr>
                <w:rFonts w:ascii="Calibri" w:hAnsi="Calibri" w:cs="Calibri"/>
                <w:color w:val="000000"/>
                <w:sz w:val="22"/>
                <w:szCs w:val="22"/>
              </w:rPr>
              <w:t>190,797</w:t>
            </w:r>
          </w:p>
        </w:tc>
        <w:tc>
          <w:tcPr>
            <w:tcW w:w="1449" w:type="dxa"/>
            <w:tcBorders>
              <w:top w:val="nil"/>
              <w:left w:val="nil"/>
              <w:bottom w:val="nil"/>
              <w:right w:val="nil"/>
            </w:tcBorders>
            <w:shd w:val="clear" w:color="auto" w:fill="auto"/>
            <w:noWrap/>
            <w:vAlign w:val="bottom"/>
            <w:hideMark/>
          </w:tcPr>
          <w:p w:rsidR="00F720EE" w:rsidRDefault="00F720EE" w:rsidP="00E94F2B">
            <w:pPr>
              <w:jc w:val="right"/>
              <w:rPr>
                <w:rFonts w:ascii="Calibri" w:hAnsi="Calibri" w:cs="Calibri"/>
                <w:color w:val="000000"/>
                <w:sz w:val="22"/>
                <w:szCs w:val="22"/>
              </w:rPr>
            </w:pPr>
            <w:r>
              <w:rPr>
                <w:rFonts w:ascii="Calibri" w:hAnsi="Calibri" w:cs="Calibri"/>
                <w:color w:val="000000"/>
                <w:sz w:val="22"/>
                <w:szCs w:val="22"/>
              </w:rPr>
              <w:t xml:space="preserve">1,474 </w:t>
            </w:r>
          </w:p>
        </w:tc>
        <w:tc>
          <w:tcPr>
            <w:tcW w:w="1047" w:type="dxa"/>
            <w:tcBorders>
              <w:top w:val="nil"/>
              <w:left w:val="nil"/>
              <w:bottom w:val="nil"/>
              <w:right w:val="single" w:sz="4" w:space="0" w:color="BDD7EE"/>
            </w:tcBorders>
            <w:shd w:val="clear" w:color="auto" w:fill="auto"/>
            <w:noWrap/>
            <w:vAlign w:val="bottom"/>
            <w:hideMark/>
          </w:tcPr>
          <w:p w:rsidR="00F720EE" w:rsidRDefault="00F720EE" w:rsidP="00E94F2B">
            <w:pPr>
              <w:jc w:val="right"/>
              <w:rPr>
                <w:rFonts w:ascii="Calibri" w:hAnsi="Calibri" w:cs="Calibri"/>
                <w:color w:val="000000"/>
                <w:sz w:val="22"/>
                <w:szCs w:val="22"/>
              </w:rPr>
            </w:pPr>
            <w:r>
              <w:rPr>
                <w:rFonts w:ascii="Calibri" w:hAnsi="Calibri" w:cs="Calibri"/>
                <w:color w:val="000000"/>
                <w:sz w:val="22"/>
                <w:szCs w:val="22"/>
              </w:rPr>
              <w:t>0.8%</w:t>
            </w:r>
          </w:p>
        </w:tc>
      </w:tr>
      <w:tr w:rsidR="00F720EE" w:rsidTr="00F720EE">
        <w:trPr>
          <w:trHeight w:val="256"/>
          <w:jc w:val="center"/>
        </w:trPr>
        <w:tc>
          <w:tcPr>
            <w:tcW w:w="3623" w:type="dxa"/>
            <w:tcBorders>
              <w:top w:val="single" w:sz="4" w:space="0" w:color="BDD7EE"/>
              <w:left w:val="single" w:sz="4" w:space="0" w:color="BDD7EE"/>
              <w:bottom w:val="single" w:sz="4" w:space="0" w:color="BDD7EE"/>
              <w:right w:val="nil"/>
            </w:tcBorders>
            <w:shd w:val="clear" w:color="auto" w:fill="auto"/>
            <w:noWrap/>
            <w:vAlign w:val="bottom"/>
            <w:hideMark/>
          </w:tcPr>
          <w:p w:rsidR="00F720EE" w:rsidRDefault="00F720EE" w:rsidP="00E94F2B">
            <w:pPr>
              <w:rPr>
                <w:rFonts w:ascii="Calibri" w:hAnsi="Calibri" w:cs="Calibri"/>
                <w:color w:val="000000"/>
                <w:sz w:val="22"/>
                <w:szCs w:val="22"/>
              </w:rPr>
            </w:pPr>
            <w:r>
              <w:rPr>
                <w:rFonts w:ascii="Calibri" w:hAnsi="Calibri" w:cs="Calibri"/>
                <w:color w:val="000000"/>
                <w:sz w:val="22"/>
                <w:szCs w:val="22"/>
              </w:rPr>
              <w:t>Gaz I lëngët</w:t>
            </w:r>
          </w:p>
        </w:tc>
        <w:tc>
          <w:tcPr>
            <w:tcW w:w="1086" w:type="dxa"/>
            <w:tcBorders>
              <w:top w:val="nil"/>
              <w:left w:val="nil"/>
              <w:bottom w:val="single" w:sz="4" w:space="0" w:color="BDD7EE"/>
              <w:right w:val="nil"/>
            </w:tcBorders>
            <w:shd w:val="clear" w:color="auto" w:fill="auto"/>
            <w:noWrap/>
            <w:vAlign w:val="bottom"/>
            <w:hideMark/>
          </w:tcPr>
          <w:p w:rsidR="00F720EE" w:rsidRDefault="00F720EE" w:rsidP="00E94F2B">
            <w:pPr>
              <w:jc w:val="center"/>
              <w:rPr>
                <w:rFonts w:ascii="Calibri" w:hAnsi="Calibri" w:cs="Calibri"/>
                <w:color w:val="000000"/>
                <w:sz w:val="22"/>
                <w:szCs w:val="22"/>
              </w:rPr>
            </w:pPr>
            <w:r>
              <w:rPr>
                <w:rFonts w:ascii="Calibri" w:hAnsi="Calibri" w:cs="Calibri"/>
                <w:color w:val="000000"/>
                <w:sz w:val="22"/>
                <w:szCs w:val="22"/>
              </w:rPr>
              <w:t>Ton</w:t>
            </w:r>
          </w:p>
        </w:tc>
        <w:tc>
          <w:tcPr>
            <w:tcW w:w="1341" w:type="dxa"/>
            <w:tcBorders>
              <w:top w:val="single" w:sz="4" w:space="0" w:color="BDD7EE"/>
              <w:left w:val="nil"/>
              <w:bottom w:val="single" w:sz="4" w:space="0" w:color="BDD7EE"/>
              <w:right w:val="nil"/>
            </w:tcBorders>
            <w:shd w:val="clear" w:color="auto" w:fill="auto"/>
            <w:noWrap/>
            <w:vAlign w:val="bottom"/>
            <w:hideMark/>
          </w:tcPr>
          <w:p w:rsidR="00F720EE" w:rsidRDefault="00F720EE" w:rsidP="00E94F2B">
            <w:pPr>
              <w:jc w:val="right"/>
              <w:rPr>
                <w:rFonts w:ascii="Calibri" w:hAnsi="Calibri" w:cs="Calibri"/>
                <w:color w:val="000000"/>
                <w:sz w:val="22"/>
                <w:szCs w:val="22"/>
              </w:rPr>
            </w:pPr>
            <w:r>
              <w:rPr>
                <w:rFonts w:ascii="Calibri" w:hAnsi="Calibri" w:cs="Calibri"/>
                <w:color w:val="000000"/>
                <w:sz w:val="22"/>
                <w:szCs w:val="22"/>
              </w:rPr>
              <w:t>53,168</w:t>
            </w:r>
          </w:p>
        </w:tc>
        <w:tc>
          <w:tcPr>
            <w:tcW w:w="1340" w:type="dxa"/>
            <w:tcBorders>
              <w:top w:val="single" w:sz="4" w:space="0" w:color="BDD7EE"/>
              <w:left w:val="nil"/>
              <w:bottom w:val="single" w:sz="4" w:space="0" w:color="BDD7EE"/>
              <w:right w:val="nil"/>
            </w:tcBorders>
            <w:shd w:val="clear" w:color="auto" w:fill="auto"/>
            <w:noWrap/>
            <w:vAlign w:val="bottom"/>
            <w:hideMark/>
          </w:tcPr>
          <w:p w:rsidR="00F720EE" w:rsidRDefault="00F720EE" w:rsidP="00E94F2B">
            <w:pPr>
              <w:jc w:val="right"/>
              <w:rPr>
                <w:rFonts w:ascii="Calibri" w:hAnsi="Calibri" w:cs="Calibri"/>
                <w:color w:val="000000"/>
                <w:sz w:val="22"/>
                <w:szCs w:val="22"/>
              </w:rPr>
            </w:pPr>
            <w:r>
              <w:rPr>
                <w:rFonts w:ascii="Calibri" w:hAnsi="Calibri" w:cs="Calibri"/>
                <w:color w:val="000000"/>
                <w:sz w:val="22"/>
                <w:szCs w:val="22"/>
              </w:rPr>
              <w:t>53,475</w:t>
            </w:r>
          </w:p>
        </w:tc>
        <w:tc>
          <w:tcPr>
            <w:tcW w:w="1449" w:type="dxa"/>
            <w:tcBorders>
              <w:top w:val="single" w:sz="4" w:space="0" w:color="BDD7EE"/>
              <w:left w:val="nil"/>
              <w:bottom w:val="single" w:sz="4" w:space="0" w:color="BDD7EE"/>
              <w:right w:val="nil"/>
            </w:tcBorders>
            <w:shd w:val="clear" w:color="auto" w:fill="auto"/>
            <w:noWrap/>
            <w:vAlign w:val="bottom"/>
            <w:hideMark/>
          </w:tcPr>
          <w:p w:rsidR="00F720EE" w:rsidRDefault="00F720EE" w:rsidP="00E94F2B">
            <w:pPr>
              <w:jc w:val="right"/>
              <w:rPr>
                <w:rFonts w:ascii="Calibri" w:hAnsi="Calibri" w:cs="Calibri"/>
                <w:color w:val="000000"/>
                <w:sz w:val="22"/>
                <w:szCs w:val="22"/>
              </w:rPr>
            </w:pPr>
            <w:r>
              <w:rPr>
                <w:rFonts w:ascii="Calibri" w:hAnsi="Calibri" w:cs="Calibri"/>
                <w:color w:val="000000"/>
                <w:sz w:val="22"/>
                <w:szCs w:val="22"/>
              </w:rPr>
              <w:t xml:space="preserve">307 </w:t>
            </w:r>
          </w:p>
        </w:tc>
        <w:tc>
          <w:tcPr>
            <w:tcW w:w="1047" w:type="dxa"/>
            <w:tcBorders>
              <w:top w:val="single" w:sz="4" w:space="0" w:color="BDD7EE"/>
              <w:left w:val="nil"/>
              <w:bottom w:val="single" w:sz="4" w:space="0" w:color="BDD7EE"/>
              <w:right w:val="single" w:sz="4" w:space="0" w:color="BDD7EE"/>
            </w:tcBorders>
            <w:shd w:val="clear" w:color="auto" w:fill="auto"/>
            <w:noWrap/>
            <w:vAlign w:val="bottom"/>
            <w:hideMark/>
          </w:tcPr>
          <w:p w:rsidR="00F720EE" w:rsidRDefault="00F720EE" w:rsidP="00E94F2B">
            <w:pPr>
              <w:jc w:val="right"/>
              <w:rPr>
                <w:rFonts w:ascii="Calibri" w:hAnsi="Calibri" w:cs="Calibri"/>
                <w:color w:val="000000"/>
                <w:sz w:val="22"/>
                <w:szCs w:val="22"/>
              </w:rPr>
            </w:pPr>
            <w:r>
              <w:rPr>
                <w:rFonts w:ascii="Calibri" w:hAnsi="Calibri" w:cs="Calibri"/>
                <w:color w:val="000000"/>
                <w:sz w:val="22"/>
                <w:szCs w:val="22"/>
              </w:rPr>
              <w:t>0.6%</w:t>
            </w:r>
          </w:p>
        </w:tc>
      </w:tr>
      <w:tr w:rsidR="00F720EE" w:rsidTr="00F720EE">
        <w:trPr>
          <w:trHeight w:val="256"/>
          <w:jc w:val="center"/>
        </w:trPr>
        <w:tc>
          <w:tcPr>
            <w:tcW w:w="3623" w:type="dxa"/>
            <w:tcBorders>
              <w:top w:val="nil"/>
              <w:left w:val="single" w:sz="4" w:space="0" w:color="BDD7EE"/>
              <w:bottom w:val="nil"/>
              <w:right w:val="nil"/>
            </w:tcBorders>
            <w:shd w:val="clear" w:color="auto" w:fill="auto"/>
            <w:noWrap/>
            <w:vAlign w:val="bottom"/>
            <w:hideMark/>
          </w:tcPr>
          <w:p w:rsidR="00F720EE" w:rsidRDefault="00F720EE" w:rsidP="00E94F2B">
            <w:pPr>
              <w:rPr>
                <w:rFonts w:ascii="Calibri" w:hAnsi="Calibri" w:cs="Calibri"/>
                <w:color w:val="000000"/>
                <w:sz w:val="22"/>
                <w:szCs w:val="22"/>
              </w:rPr>
            </w:pPr>
            <w:r>
              <w:rPr>
                <w:rFonts w:ascii="Calibri" w:hAnsi="Calibri" w:cs="Calibri"/>
                <w:color w:val="000000"/>
                <w:sz w:val="22"/>
                <w:szCs w:val="22"/>
              </w:rPr>
              <w:t>Duhan importi</w:t>
            </w:r>
          </w:p>
        </w:tc>
        <w:tc>
          <w:tcPr>
            <w:tcW w:w="1086" w:type="dxa"/>
            <w:tcBorders>
              <w:top w:val="nil"/>
              <w:left w:val="nil"/>
              <w:bottom w:val="single" w:sz="4" w:space="0" w:color="BDD7EE"/>
              <w:right w:val="nil"/>
            </w:tcBorders>
            <w:shd w:val="clear" w:color="auto" w:fill="auto"/>
            <w:noWrap/>
            <w:vAlign w:val="bottom"/>
            <w:hideMark/>
          </w:tcPr>
          <w:p w:rsidR="00F720EE" w:rsidRDefault="00F720EE" w:rsidP="00E94F2B">
            <w:pPr>
              <w:jc w:val="center"/>
              <w:rPr>
                <w:rFonts w:ascii="Calibri" w:hAnsi="Calibri" w:cs="Calibri"/>
                <w:color w:val="000000"/>
                <w:sz w:val="22"/>
                <w:szCs w:val="22"/>
              </w:rPr>
            </w:pPr>
            <w:r>
              <w:rPr>
                <w:rFonts w:ascii="Calibri" w:hAnsi="Calibri" w:cs="Calibri"/>
                <w:color w:val="000000"/>
                <w:sz w:val="22"/>
                <w:szCs w:val="22"/>
              </w:rPr>
              <w:t>Ton</w:t>
            </w:r>
          </w:p>
        </w:tc>
        <w:tc>
          <w:tcPr>
            <w:tcW w:w="1341" w:type="dxa"/>
            <w:tcBorders>
              <w:top w:val="nil"/>
              <w:left w:val="nil"/>
              <w:bottom w:val="nil"/>
              <w:right w:val="nil"/>
            </w:tcBorders>
            <w:shd w:val="clear" w:color="auto" w:fill="auto"/>
            <w:noWrap/>
            <w:vAlign w:val="bottom"/>
            <w:hideMark/>
          </w:tcPr>
          <w:p w:rsidR="00F720EE" w:rsidRDefault="00F720EE" w:rsidP="00E94F2B">
            <w:pPr>
              <w:jc w:val="right"/>
              <w:rPr>
                <w:rFonts w:ascii="Calibri" w:hAnsi="Calibri" w:cs="Calibri"/>
                <w:color w:val="000000"/>
                <w:sz w:val="22"/>
                <w:szCs w:val="22"/>
              </w:rPr>
            </w:pPr>
            <w:r>
              <w:rPr>
                <w:rFonts w:ascii="Calibri" w:hAnsi="Calibri" w:cs="Calibri"/>
                <w:color w:val="000000"/>
                <w:sz w:val="22"/>
                <w:szCs w:val="22"/>
              </w:rPr>
              <w:t>28</w:t>
            </w:r>
          </w:p>
        </w:tc>
        <w:tc>
          <w:tcPr>
            <w:tcW w:w="1340" w:type="dxa"/>
            <w:tcBorders>
              <w:top w:val="nil"/>
              <w:left w:val="nil"/>
              <w:bottom w:val="nil"/>
              <w:right w:val="nil"/>
            </w:tcBorders>
            <w:shd w:val="clear" w:color="auto" w:fill="auto"/>
            <w:noWrap/>
            <w:vAlign w:val="bottom"/>
            <w:hideMark/>
          </w:tcPr>
          <w:p w:rsidR="00F720EE" w:rsidRDefault="00F720EE" w:rsidP="00E94F2B">
            <w:pPr>
              <w:jc w:val="right"/>
              <w:rPr>
                <w:rFonts w:ascii="Calibri" w:hAnsi="Calibri" w:cs="Calibri"/>
                <w:color w:val="000000"/>
                <w:sz w:val="22"/>
                <w:szCs w:val="22"/>
              </w:rPr>
            </w:pPr>
            <w:r>
              <w:rPr>
                <w:rFonts w:ascii="Calibri" w:hAnsi="Calibri" w:cs="Calibri"/>
                <w:color w:val="000000"/>
                <w:sz w:val="22"/>
                <w:szCs w:val="22"/>
              </w:rPr>
              <w:t>36</w:t>
            </w:r>
          </w:p>
        </w:tc>
        <w:tc>
          <w:tcPr>
            <w:tcW w:w="1449" w:type="dxa"/>
            <w:tcBorders>
              <w:top w:val="nil"/>
              <w:left w:val="nil"/>
              <w:bottom w:val="nil"/>
              <w:right w:val="nil"/>
            </w:tcBorders>
            <w:shd w:val="clear" w:color="auto" w:fill="auto"/>
            <w:noWrap/>
            <w:vAlign w:val="bottom"/>
            <w:hideMark/>
          </w:tcPr>
          <w:p w:rsidR="00F720EE" w:rsidRDefault="00F720EE" w:rsidP="00E94F2B">
            <w:pPr>
              <w:jc w:val="right"/>
              <w:rPr>
                <w:rFonts w:ascii="Calibri" w:hAnsi="Calibri" w:cs="Calibri"/>
                <w:color w:val="000000"/>
                <w:sz w:val="22"/>
                <w:szCs w:val="22"/>
              </w:rPr>
            </w:pPr>
            <w:r>
              <w:rPr>
                <w:rFonts w:ascii="Calibri" w:hAnsi="Calibri" w:cs="Calibri"/>
                <w:color w:val="000000"/>
                <w:sz w:val="22"/>
                <w:szCs w:val="22"/>
              </w:rPr>
              <w:t xml:space="preserve">8 </w:t>
            </w:r>
          </w:p>
        </w:tc>
        <w:tc>
          <w:tcPr>
            <w:tcW w:w="1047" w:type="dxa"/>
            <w:tcBorders>
              <w:top w:val="nil"/>
              <w:left w:val="nil"/>
              <w:bottom w:val="nil"/>
              <w:right w:val="single" w:sz="4" w:space="0" w:color="BDD7EE"/>
            </w:tcBorders>
            <w:shd w:val="clear" w:color="auto" w:fill="auto"/>
            <w:noWrap/>
            <w:vAlign w:val="bottom"/>
            <w:hideMark/>
          </w:tcPr>
          <w:p w:rsidR="00F720EE" w:rsidRDefault="00F720EE" w:rsidP="00E94F2B">
            <w:pPr>
              <w:jc w:val="right"/>
              <w:rPr>
                <w:rFonts w:ascii="Calibri" w:hAnsi="Calibri" w:cs="Calibri"/>
                <w:color w:val="000000"/>
                <w:sz w:val="22"/>
                <w:szCs w:val="22"/>
              </w:rPr>
            </w:pPr>
            <w:r>
              <w:rPr>
                <w:rFonts w:ascii="Calibri" w:hAnsi="Calibri" w:cs="Calibri"/>
                <w:color w:val="000000"/>
                <w:sz w:val="22"/>
                <w:szCs w:val="22"/>
              </w:rPr>
              <w:t>28.6%</w:t>
            </w:r>
          </w:p>
        </w:tc>
      </w:tr>
      <w:tr w:rsidR="00F720EE" w:rsidTr="00F720EE">
        <w:trPr>
          <w:trHeight w:val="256"/>
          <w:jc w:val="center"/>
        </w:trPr>
        <w:tc>
          <w:tcPr>
            <w:tcW w:w="3623" w:type="dxa"/>
            <w:tcBorders>
              <w:top w:val="single" w:sz="4" w:space="0" w:color="BDD7EE"/>
              <w:left w:val="single" w:sz="4" w:space="0" w:color="BDD7EE"/>
              <w:bottom w:val="single" w:sz="4" w:space="0" w:color="BDD7EE"/>
              <w:right w:val="nil"/>
            </w:tcBorders>
            <w:shd w:val="clear" w:color="auto" w:fill="auto"/>
            <w:noWrap/>
            <w:vAlign w:val="bottom"/>
            <w:hideMark/>
          </w:tcPr>
          <w:p w:rsidR="00F720EE" w:rsidRDefault="00F720EE" w:rsidP="00E94F2B">
            <w:pPr>
              <w:rPr>
                <w:rFonts w:ascii="Calibri" w:hAnsi="Calibri" w:cs="Calibri"/>
                <w:color w:val="000000"/>
                <w:sz w:val="22"/>
                <w:szCs w:val="22"/>
              </w:rPr>
            </w:pPr>
            <w:r>
              <w:rPr>
                <w:rFonts w:ascii="Calibri" w:hAnsi="Calibri" w:cs="Calibri"/>
                <w:color w:val="000000"/>
                <w:sz w:val="22"/>
                <w:szCs w:val="22"/>
              </w:rPr>
              <w:t>Duhan prodhim vendi</w:t>
            </w:r>
          </w:p>
        </w:tc>
        <w:tc>
          <w:tcPr>
            <w:tcW w:w="1086" w:type="dxa"/>
            <w:tcBorders>
              <w:top w:val="nil"/>
              <w:left w:val="nil"/>
              <w:bottom w:val="single" w:sz="4" w:space="0" w:color="BDD7EE"/>
              <w:right w:val="nil"/>
            </w:tcBorders>
            <w:shd w:val="clear" w:color="auto" w:fill="auto"/>
            <w:noWrap/>
            <w:vAlign w:val="bottom"/>
            <w:hideMark/>
          </w:tcPr>
          <w:p w:rsidR="00F720EE" w:rsidRDefault="00F720EE" w:rsidP="00E94F2B">
            <w:pPr>
              <w:jc w:val="center"/>
              <w:rPr>
                <w:rFonts w:ascii="Calibri" w:hAnsi="Calibri" w:cs="Calibri"/>
                <w:color w:val="000000"/>
                <w:sz w:val="22"/>
                <w:szCs w:val="22"/>
              </w:rPr>
            </w:pPr>
            <w:r>
              <w:rPr>
                <w:rFonts w:ascii="Calibri" w:hAnsi="Calibri" w:cs="Calibri"/>
                <w:color w:val="000000"/>
                <w:sz w:val="22"/>
                <w:szCs w:val="22"/>
              </w:rPr>
              <w:t>Ton</w:t>
            </w:r>
          </w:p>
        </w:tc>
        <w:tc>
          <w:tcPr>
            <w:tcW w:w="1341" w:type="dxa"/>
            <w:tcBorders>
              <w:top w:val="single" w:sz="4" w:space="0" w:color="BDD7EE"/>
              <w:left w:val="nil"/>
              <w:bottom w:val="single" w:sz="4" w:space="0" w:color="BDD7EE"/>
              <w:right w:val="nil"/>
            </w:tcBorders>
            <w:shd w:val="clear" w:color="auto" w:fill="auto"/>
            <w:noWrap/>
            <w:vAlign w:val="bottom"/>
            <w:hideMark/>
          </w:tcPr>
          <w:p w:rsidR="00F720EE" w:rsidRDefault="00F720EE" w:rsidP="00E94F2B">
            <w:pPr>
              <w:jc w:val="right"/>
              <w:rPr>
                <w:rFonts w:ascii="Calibri" w:hAnsi="Calibri" w:cs="Calibri"/>
                <w:color w:val="000000"/>
                <w:sz w:val="22"/>
                <w:szCs w:val="22"/>
              </w:rPr>
            </w:pPr>
            <w:r>
              <w:rPr>
                <w:rFonts w:ascii="Calibri" w:hAnsi="Calibri" w:cs="Calibri"/>
                <w:color w:val="000000"/>
                <w:sz w:val="22"/>
                <w:szCs w:val="22"/>
              </w:rPr>
              <w:t>10</w:t>
            </w:r>
          </w:p>
        </w:tc>
        <w:tc>
          <w:tcPr>
            <w:tcW w:w="1340" w:type="dxa"/>
            <w:tcBorders>
              <w:top w:val="single" w:sz="4" w:space="0" w:color="BDD7EE"/>
              <w:left w:val="nil"/>
              <w:bottom w:val="single" w:sz="4" w:space="0" w:color="BDD7EE"/>
              <w:right w:val="nil"/>
            </w:tcBorders>
            <w:shd w:val="clear" w:color="auto" w:fill="auto"/>
            <w:noWrap/>
            <w:vAlign w:val="bottom"/>
            <w:hideMark/>
          </w:tcPr>
          <w:p w:rsidR="00F720EE" w:rsidRDefault="00F720EE" w:rsidP="00E94F2B">
            <w:pPr>
              <w:jc w:val="right"/>
              <w:rPr>
                <w:rFonts w:ascii="Calibri" w:hAnsi="Calibri" w:cs="Calibri"/>
                <w:color w:val="000000"/>
                <w:sz w:val="22"/>
                <w:szCs w:val="22"/>
              </w:rPr>
            </w:pPr>
            <w:r>
              <w:rPr>
                <w:rFonts w:ascii="Calibri" w:hAnsi="Calibri" w:cs="Calibri"/>
                <w:color w:val="000000"/>
                <w:sz w:val="22"/>
                <w:szCs w:val="22"/>
              </w:rPr>
              <w:t>14</w:t>
            </w:r>
          </w:p>
        </w:tc>
        <w:tc>
          <w:tcPr>
            <w:tcW w:w="1449" w:type="dxa"/>
            <w:tcBorders>
              <w:top w:val="single" w:sz="4" w:space="0" w:color="BDD7EE"/>
              <w:left w:val="nil"/>
              <w:bottom w:val="single" w:sz="4" w:space="0" w:color="BDD7EE"/>
              <w:right w:val="nil"/>
            </w:tcBorders>
            <w:shd w:val="clear" w:color="auto" w:fill="auto"/>
            <w:noWrap/>
            <w:vAlign w:val="bottom"/>
            <w:hideMark/>
          </w:tcPr>
          <w:p w:rsidR="00F720EE" w:rsidRDefault="00F720EE" w:rsidP="00E94F2B">
            <w:pPr>
              <w:jc w:val="right"/>
              <w:rPr>
                <w:rFonts w:ascii="Calibri" w:hAnsi="Calibri" w:cs="Calibri"/>
                <w:color w:val="000000"/>
                <w:sz w:val="22"/>
                <w:szCs w:val="22"/>
              </w:rPr>
            </w:pPr>
            <w:r>
              <w:rPr>
                <w:rFonts w:ascii="Calibri" w:hAnsi="Calibri" w:cs="Calibri"/>
                <w:color w:val="000000"/>
                <w:sz w:val="22"/>
                <w:szCs w:val="22"/>
              </w:rPr>
              <w:t xml:space="preserve">4 </w:t>
            </w:r>
          </w:p>
        </w:tc>
        <w:tc>
          <w:tcPr>
            <w:tcW w:w="1047" w:type="dxa"/>
            <w:tcBorders>
              <w:top w:val="single" w:sz="4" w:space="0" w:color="BDD7EE"/>
              <w:left w:val="nil"/>
              <w:bottom w:val="single" w:sz="4" w:space="0" w:color="BDD7EE"/>
              <w:right w:val="single" w:sz="4" w:space="0" w:color="BDD7EE"/>
            </w:tcBorders>
            <w:shd w:val="clear" w:color="auto" w:fill="auto"/>
            <w:noWrap/>
            <w:vAlign w:val="bottom"/>
            <w:hideMark/>
          </w:tcPr>
          <w:p w:rsidR="00F720EE" w:rsidRDefault="00F720EE" w:rsidP="00E94F2B">
            <w:pPr>
              <w:jc w:val="right"/>
              <w:rPr>
                <w:rFonts w:ascii="Calibri" w:hAnsi="Calibri" w:cs="Calibri"/>
                <w:color w:val="000000"/>
                <w:sz w:val="22"/>
                <w:szCs w:val="22"/>
              </w:rPr>
            </w:pPr>
            <w:r>
              <w:rPr>
                <w:rFonts w:ascii="Calibri" w:hAnsi="Calibri" w:cs="Calibri"/>
                <w:color w:val="000000"/>
                <w:sz w:val="22"/>
                <w:szCs w:val="22"/>
              </w:rPr>
              <w:t>40.0%</w:t>
            </w:r>
          </w:p>
        </w:tc>
      </w:tr>
      <w:tr w:rsidR="00F720EE" w:rsidTr="00F720EE">
        <w:trPr>
          <w:trHeight w:val="256"/>
          <w:jc w:val="center"/>
        </w:trPr>
        <w:tc>
          <w:tcPr>
            <w:tcW w:w="3623" w:type="dxa"/>
            <w:tcBorders>
              <w:top w:val="nil"/>
              <w:left w:val="single" w:sz="4" w:space="0" w:color="BDD7EE"/>
              <w:bottom w:val="nil"/>
              <w:right w:val="nil"/>
            </w:tcBorders>
            <w:shd w:val="clear" w:color="auto" w:fill="auto"/>
            <w:noWrap/>
            <w:vAlign w:val="bottom"/>
            <w:hideMark/>
          </w:tcPr>
          <w:p w:rsidR="00F720EE" w:rsidRDefault="00F720EE" w:rsidP="00E94F2B">
            <w:pPr>
              <w:rPr>
                <w:rFonts w:ascii="Calibri" w:hAnsi="Calibri" w:cs="Calibri"/>
                <w:color w:val="000000"/>
                <w:sz w:val="22"/>
                <w:szCs w:val="22"/>
              </w:rPr>
            </w:pPr>
            <w:r>
              <w:rPr>
                <w:rFonts w:ascii="Calibri" w:hAnsi="Calibri" w:cs="Calibri"/>
                <w:color w:val="000000"/>
                <w:sz w:val="22"/>
                <w:szCs w:val="22"/>
              </w:rPr>
              <w:t>Kafe</w:t>
            </w:r>
          </w:p>
        </w:tc>
        <w:tc>
          <w:tcPr>
            <w:tcW w:w="1086" w:type="dxa"/>
            <w:tcBorders>
              <w:top w:val="nil"/>
              <w:left w:val="nil"/>
              <w:bottom w:val="single" w:sz="4" w:space="0" w:color="BDD7EE"/>
              <w:right w:val="nil"/>
            </w:tcBorders>
            <w:shd w:val="clear" w:color="auto" w:fill="auto"/>
            <w:noWrap/>
            <w:vAlign w:val="bottom"/>
            <w:hideMark/>
          </w:tcPr>
          <w:p w:rsidR="00F720EE" w:rsidRDefault="00F720EE" w:rsidP="00E94F2B">
            <w:pPr>
              <w:jc w:val="center"/>
              <w:rPr>
                <w:rFonts w:ascii="Calibri" w:hAnsi="Calibri" w:cs="Calibri"/>
                <w:color w:val="000000"/>
                <w:sz w:val="22"/>
                <w:szCs w:val="22"/>
              </w:rPr>
            </w:pPr>
            <w:r>
              <w:rPr>
                <w:rFonts w:ascii="Calibri" w:hAnsi="Calibri" w:cs="Calibri"/>
                <w:color w:val="000000"/>
                <w:sz w:val="22"/>
                <w:szCs w:val="22"/>
              </w:rPr>
              <w:t>Ton</w:t>
            </w:r>
          </w:p>
        </w:tc>
        <w:tc>
          <w:tcPr>
            <w:tcW w:w="1341" w:type="dxa"/>
            <w:tcBorders>
              <w:top w:val="nil"/>
              <w:left w:val="nil"/>
              <w:bottom w:val="nil"/>
              <w:right w:val="nil"/>
            </w:tcBorders>
            <w:shd w:val="clear" w:color="auto" w:fill="auto"/>
            <w:noWrap/>
            <w:vAlign w:val="bottom"/>
            <w:hideMark/>
          </w:tcPr>
          <w:p w:rsidR="00F720EE" w:rsidRDefault="00F720EE" w:rsidP="00E94F2B">
            <w:pPr>
              <w:jc w:val="right"/>
              <w:rPr>
                <w:rFonts w:ascii="Calibri" w:hAnsi="Calibri" w:cs="Calibri"/>
                <w:color w:val="000000"/>
                <w:sz w:val="22"/>
                <w:szCs w:val="22"/>
              </w:rPr>
            </w:pPr>
            <w:r>
              <w:rPr>
                <w:rFonts w:ascii="Calibri" w:hAnsi="Calibri" w:cs="Calibri"/>
                <w:color w:val="000000"/>
                <w:sz w:val="22"/>
                <w:szCs w:val="22"/>
              </w:rPr>
              <w:t>3,313</w:t>
            </w:r>
          </w:p>
        </w:tc>
        <w:tc>
          <w:tcPr>
            <w:tcW w:w="1340" w:type="dxa"/>
            <w:tcBorders>
              <w:top w:val="nil"/>
              <w:left w:val="nil"/>
              <w:bottom w:val="nil"/>
              <w:right w:val="nil"/>
            </w:tcBorders>
            <w:shd w:val="clear" w:color="auto" w:fill="auto"/>
            <w:noWrap/>
            <w:vAlign w:val="bottom"/>
            <w:hideMark/>
          </w:tcPr>
          <w:p w:rsidR="00F720EE" w:rsidRDefault="00F720EE" w:rsidP="00E94F2B">
            <w:pPr>
              <w:jc w:val="right"/>
              <w:rPr>
                <w:rFonts w:ascii="Calibri" w:hAnsi="Calibri" w:cs="Calibri"/>
                <w:color w:val="000000"/>
                <w:sz w:val="22"/>
                <w:szCs w:val="22"/>
              </w:rPr>
            </w:pPr>
            <w:r>
              <w:rPr>
                <w:rFonts w:ascii="Calibri" w:hAnsi="Calibri" w:cs="Calibri"/>
                <w:color w:val="000000"/>
                <w:sz w:val="22"/>
                <w:szCs w:val="22"/>
              </w:rPr>
              <w:t>3,302</w:t>
            </w:r>
          </w:p>
        </w:tc>
        <w:tc>
          <w:tcPr>
            <w:tcW w:w="1449" w:type="dxa"/>
            <w:tcBorders>
              <w:top w:val="nil"/>
              <w:left w:val="nil"/>
              <w:bottom w:val="nil"/>
              <w:right w:val="nil"/>
            </w:tcBorders>
            <w:shd w:val="clear" w:color="auto" w:fill="auto"/>
            <w:noWrap/>
            <w:vAlign w:val="bottom"/>
            <w:hideMark/>
          </w:tcPr>
          <w:p w:rsidR="00F720EE" w:rsidRDefault="00F720EE" w:rsidP="00E94F2B">
            <w:pPr>
              <w:jc w:val="right"/>
              <w:rPr>
                <w:rFonts w:ascii="Calibri" w:hAnsi="Calibri" w:cs="Calibri"/>
                <w:color w:val="000000"/>
                <w:sz w:val="22"/>
                <w:szCs w:val="22"/>
              </w:rPr>
            </w:pPr>
            <w:r>
              <w:rPr>
                <w:rFonts w:ascii="Calibri" w:hAnsi="Calibri" w:cs="Calibri"/>
                <w:color w:val="000000"/>
                <w:sz w:val="22"/>
                <w:szCs w:val="22"/>
              </w:rPr>
              <w:t>(11)</w:t>
            </w:r>
          </w:p>
        </w:tc>
        <w:tc>
          <w:tcPr>
            <w:tcW w:w="1047" w:type="dxa"/>
            <w:tcBorders>
              <w:top w:val="nil"/>
              <w:left w:val="nil"/>
              <w:bottom w:val="nil"/>
              <w:right w:val="single" w:sz="4" w:space="0" w:color="BDD7EE"/>
            </w:tcBorders>
            <w:shd w:val="clear" w:color="auto" w:fill="auto"/>
            <w:noWrap/>
            <w:vAlign w:val="bottom"/>
            <w:hideMark/>
          </w:tcPr>
          <w:p w:rsidR="00F720EE" w:rsidRDefault="00F720EE" w:rsidP="00E94F2B">
            <w:pPr>
              <w:jc w:val="right"/>
              <w:rPr>
                <w:rFonts w:ascii="Calibri" w:hAnsi="Calibri" w:cs="Calibri"/>
                <w:color w:val="000000"/>
                <w:sz w:val="22"/>
                <w:szCs w:val="22"/>
              </w:rPr>
            </w:pPr>
            <w:r>
              <w:rPr>
                <w:rFonts w:ascii="Calibri" w:hAnsi="Calibri" w:cs="Calibri"/>
                <w:color w:val="000000"/>
                <w:sz w:val="22"/>
                <w:szCs w:val="22"/>
              </w:rPr>
              <w:t>-0.3%</w:t>
            </w:r>
          </w:p>
        </w:tc>
      </w:tr>
      <w:tr w:rsidR="00F720EE" w:rsidTr="00F720EE">
        <w:trPr>
          <w:trHeight w:val="256"/>
          <w:jc w:val="center"/>
        </w:trPr>
        <w:tc>
          <w:tcPr>
            <w:tcW w:w="3623" w:type="dxa"/>
            <w:tcBorders>
              <w:top w:val="single" w:sz="4" w:space="0" w:color="BDD7EE"/>
              <w:left w:val="single" w:sz="4" w:space="0" w:color="BDD7EE"/>
              <w:bottom w:val="single" w:sz="4" w:space="0" w:color="BDD7EE"/>
              <w:right w:val="nil"/>
            </w:tcBorders>
            <w:shd w:val="clear" w:color="auto" w:fill="auto"/>
            <w:noWrap/>
            <w:vAlign w:val="bottom"/>
            <w:hideMark/>
          </w:tcPr>
          <w:p w:rsidR="00F720EE" w:rsidRDefault="00F720EE" w:rsidP="00E94F2B">
            <w:pPr>
              <w:rPr>
                <w:rFonts w:ascii="Calibri" w:hAnsi="Calibri" w:cs="Calibri"/>
                <w:color w:val="000000"/>
                <w:sz w:val="22"/>
                <w:szCs w:val="22"/>
              </w:rPr>
            </w:pPr>
            <w:r>
              <w:rPr>
                <w:rFonts w:ascii="Calibri" w:hAnsi="Calibri" w:cs="Calibri"/>
                <w:color w:val="000000"/>
                <w:sz w:val="22"/>
                <w:szCs w:val="22"/>
              </w:rPr>
              <w:t>Cigare</w:t>
            </w:r>
          </w:p>
        </w:tc>
        <w:tc>
          <w:tcPr>
            <w:tcW w:w="1086" w:type="dxa"/>
            <w:tcBorders>
              <w:top w:val="nil"/>
              <w:left w:val="nil"/>
              <w:bottom w:val="single" w:sz="4" w:space="0" w:color="BDD7EE"/>
              <w:right w:val="nil"/>
            </w:tcBorders>
            <w:shd w:val="clear" w:color="auto" w:fill="auto"/>
            <w:noWrap/>
            <w:vAlign w:val="bottom"/>
            <w:hideMark/>
          </w:tcPr>
          <w:p w:rsidR="00F720EE" w:rsidRDefault="00F720EE" w:rsidP="00E94F2B">
            <w:pPr>
              <w:jc w:val="center"/>
              <w:rPr>
                <w:rFonts w:ascii="Calibri" w:hAnsi="Calibri" w:cs="Calibri"/>
                <w:color w:val="000000"/>
                <w:sz w:val="22"/>
                <w:szCs w:val="22"/>
              </w:rPr>
            </w:pPr>
            <w:r>
              <w:rPr>
                <w:rFonts w:ascii="Calibri" w:hAnsi="Calibri" w:cs="Calibri"/>
                <w:color w:val="000000"/>
                <w:sz w:val="22"/>
                <w:szCs w:val="22"/>
              </w:rPr>
              <w:t>Ton</w:t>
            </w:r>
          </w:p>
        </w:tc>
        <w:tc>
          <w:tcPr>
            <w:tcW w:w="1341" w:type="dxa"/>
            <w:tcBorders>
              <w:top w:val="single" w:sz="4" w:space="0" w:color="BDD7EE"/>
              <w:left w:val="nil"/>
              <w:bottom w:val="single" w:sz="4" w:space="0" w:color="BDD7EE"/>
              <w:right w:val="nil"/>
            </w:tcBorders>
            <w:shd w:val="clear" w:color="auto" w:fill="auto"/>
            <w:noWrap/>
            <w:vAlign w:val="bottom"/>
            <w:hideMark/>
          </w:tcPr>
          <w:p w:rsidR="00F720EE" w:rsidRDefault="00F720EE" w:rsidP="00E94F2B">
            <w:pPr>
              <w:jc w:val="right"/>
              <w:rPr>
                <w:rFonts w:ascii="Calibri" w:hAnsi="Calibri" w:cs="Calibri"/>
                <w:color w:val="000000"/>
                <w:sz w:val="22"/>
                <w:szCs w:val="22"/>
              </w:rPr>
            </w:pPr>
            <w:r>
              <w:rPr>
                <w:rFonts w:ascii="Calibri" w:hAnsi="Calibri" w:cs="Calibri"/>
                <w:color w:val="000000"/>
                <w:sz w:val="22"/>
                <w:szCs w:val="22"/>
              </w:rPr>
              <w:t>1,099</w:t>
            </w:r>
          </w:p>
        </w:tc>
        <w:tc>
          <w:tcPr>
            <w:tcW w:w="1340" w:type="dxa"/>
            <w:tcBorders>
              <w:top w:val="single" w:sz="4" w:space="0" w:color="BDD7EE"/>
              <w:left w:val="nil"/>
              <w:bottom w:val="single" w:sz="4" w:space="0" w:color="BDD7EE"/>
              <w:right w:val="nil"/>
            </w:tcBorders>
            <w:shd w:val="clear" w:color="auto" w:fill="auto"/>
            <w:noWrap/>
            <w:vAlign w:val="bottom"/>
            <w:hideMark/>
          </w:tcPr>
          <w:p w:rsidR="00F720EE" w:rsidRDefault="00F720EE" w:rsidP="00E94F2B">
            <w:pPr>
              <w:jc w:val="right"/>
              <w:rPr>
                <w:rFonts w:ascii="Calibri" w:hAnsi="Calibri" w:cs="Calibri"/>
                <w:color w:val="000000"/>
                <w:sz w:val="22"/>
                <w:szCs w:val="22"/>
              </w:rPr>
            </w:pPr>
            <w:r>
              <w:rPr>
                <w:rFonts w:ascii="Calibri" w:hAnsi="Calibri" w:cs="Calibri"/>
                <w:color w:val="000000"/>
                <w:sz w:val="22"/>
                <w:szCs w:val="22"/>
              </w:rPr>
              <w:t>1,038</w:t>
            </w:r>
          </w:p>
        </w:tc>
        <w:tc>
          <w:tcPr>
            <w:tcW w:w="1449" w:type="dxa"/>
            <w:tcBorders>
              <w:top w:val="single" w:sz="4" w:space="0" w:color="BDD7EE"/>
              <w:left w:val="nil"/>
              <w:bottom w:val="single" w:sz="4" w:space="0" w:color="BDD7EE"/>
              <w:right w:val="nil"/>
            </w:tcBorders>
            <w:shd w:val="clear" w:color="auto" w:fill="auto"/>
            <w:noWrap/>
            <w:vAlign w:val="bottom"/>
            <w:hideMark/>
          </w:tcPr>
          <w:p w:rsidR="00F720EE" w:rsidRDefault="00F720EE" w:rsidP="00E94F2B">
            <w:pPr>
              <w:jc w:val="right"/>
              <w:rPr>
                <w:rFonts w:ascii="Calibri" w:hAnsi="Calibri" w:cs="Calibri"/>
                <w:color w:val="000000"/>
                <w:sz w:val="22"/>
                <w:szCs w:val="22"/>
              </w:rPr>
            </w:pPr>
            <w:r>
              <w:rPr>
                <w:rFonts w:ascii="Calibri" w:hAnsi="Calibri" w:cs="Calibri"/>
                <w:color w:val="000000"/>
                <w:sz w:val="22"/>
                <w:szCs w:val="22"/>
              </w:rPr>
              <w:t>(61)</w:t>
            </w:r>
          </w:p>
        </w:tc>
        <w:tc>
          <w:tcPr>
            <w:tcW w:w="1047" w:type="dxa"/>
            <w:tcBorders>
              <w:top w:val="single" w:sz="4" w:space="0" w:color="BDD7EE"/>
              <w:left w:val="nil"/>
              <w:bottom w:val="single" w:sz="4" w:space="0" w:color="BDD7EE"/>
              <w:right w:val="single" w:sz="4" w:space="0" w:color="BDD7EE"/>
            </w:tcBorders>
            <w:shd w:val="clear" w:color="auto" w:fill="auto"/>
            <w:noWrap/>
            <w:vAlign w:val="bottom"/>
            <w:hideMark/>
          </w:tcPr>
          <w:p w:rsidR="00F720EE" w:rsidRDefault="00F720EE" w:rsidP="00E94F2B">
            <w:pPr>
              <w:jc w:val="right"/>
              <w:rPr>
                <w:rFonts w:ascii="Calibri" w:hAnsi="Calibri" w:cs="Calibri"/>
                <w:color w:val="000000"/>
                <w:sz w:val="22"/>
                <w:szCs w:val="22"/>
              </w:rPr>
            </w:pPr>
            <w:r>
              <w:rPr>
                <w:rFonts w:ascii="Calibri" w:hAnsi="Calibri" w:cs="Calibri"/>
                <w:color w:val="000000"/>
                <w:sz w:val="22"/>
                <w:szCs w:val="22"/>
              </w:rPr>
              <w:t>-5.6%</w:t>
            </w:r>
          </w:p>
        </w:tc>
      </w:tr>
      <w:tr w:rsidR="00F720EE" w:rsidTr="00F720EE">
        <w:trPr>
          <w:trHeight w:val="256"/>
          <w:jc w:val="center"/>
        </w:trPr>
        <w:tc>
          <w:tcPr>
            <w:tcW w:w="3623" w:type="dxa"/>
            <w:tcBorders>
              <w:top w:val="nil"/>
              <w:left w:val="single" w:sz="4" w:space="0" w:color="BDD7EE"/>
              <w:bottom w:val="nil"/>
              <w:right w:val="nil"/>
            </w:tcBorders>
            <w:shd w:val="clear" w:color="auto" w:fill="auto"/>
            <w:noWrap/>
            <w:vAlign w:val="bottom"/>
            <w:hideMark/>
          </w:tcPr>
          <w:p w:rsidR="00F720EE" w:rsidRDefault="00F720EE" w:rsidP="00E94F2B">
            <w:pPr>
              <w:rPr>
                <w:rFonts w:ascii="Calibri" w:hAnsi="Calibri" w:cs="Calibri"/>
                <w:color w:val="000000"/>
                <w:sz w:val="22"/>
                <w:szCs w:val="22"/>
              </w:rPr>
            </w:pPr>
            <w:r>
              <w:rPr>
                <w:rFonts w:ascii="Calibri" w:hAnsi="Calibri" w:cs="Calibri"/>
                <w:color w:val="000000"/>
                <w:sz w:val="22"/>
                <w:szCs w:val="22"/>
              </w:rPr>
              <w:t>Pije alkolike import</w:t>
            </w:r>
          </w:p>
        </w:tc>
        <w:tc>
          <w:tcPr>
            <w:tcW w:w="1086" w:type="dxa"/>
            <w:tcBorders>
              <w:top w:val="nil"/>
              <w:left w:val="nil"/>
              <w:bottom w:val="nil"/>
              <w:right w:val="nil"/>
            </w:tcBorders>
            <w:shd w:val="clear" w:color="auto" w:fill="auto"/>
            <w:noWrap/>
            <w:vAlign w:val="bottom"/>
            <w:hideMark/>
          </w:tcPr>
          <w:p w:rsidR="00F720EE" w:rsidRDefault="00F720EE" w:rsidP="00E94F2B">
            <w:pPr>
              <w:jc w:val="center"/>
              <w:rPr>
                <w:rFonts w:ascii="Calibri" w:hAnsi="Calibri" w:cs="Calibri"/>
                <w:color w:val="000000"/>
                <w:sz w:val="22"/>
                <w:szCs w:val="22"/>
              </w:rPr>
            </w:pPr>
            <w:r>
              <w:rPr>
                <w:rFonts w:ascii="Calibri" w:hAnsi="Calibri" w:cs="Calibri"/>
                <w:color w:val="000000"/>
                <w:sz w:val="22"/>
                <w:szCs w:val="22"/>
              </w:rPr>
              <w:t>mijë litra</w:t>
            </w:r>
          </w:p>
        </w:tc>
        <w:tc>
          <w:tcPr>
            <w:tcW w:w="1341" w:type="dxa"/>
            <w:tcBorders>
              <w:top w:val="nil"/>
              <w:left w:val="nil"/>
              <w:bottom w:val="nil"/>
              <w:right w:val="nil"/>
            </w:tcBorders>
            <w:shd w:val="clear" w:color="auto" w:fill="auto"/>
            <w:noWrap/>
            <w:vAlign w:val="bottom"/>
            <w:hideMark/>
          </w:tcPr>
          <w:p w:rsidR="00F720EE" w:rsidRDefault="00F720EE" w:rsidP="00E94F2B">
            <w:pPr>
              <w:jc w:val="right"/>
              <w:rPr>
                <w:rFonts w:ascii="Calibri" w:hAnsi="Calibri" w:cs="Calibri"/>
                <w:color w:val="000000"/>
                <w:sz w:val="22"/>
                <w:szCs w:val="22"/>
              </w:rPr>
            </w:pPr>
            <w:r>
              <w:rPr>
                <w:rFonts w:ascii="Calibri" w:hAnsi="Calibri" w:cs="Calibri"/>
                <w:color w:val="000000"/>
                <w:sz w:val="22"/>
                <w:szCs w:val="22"/>
              </w:rPr>
              <w:t>407</w:t>
            </w:r>
          </w:p>
        </w:tc>
        <w:tc>
          <w:tcPr>
            <w:tcW w:w="1340" w:type="dxa"/>
            <w:tcBorders>
              <w:top w:val="nil"/>
              <w:left w:val="nil"/>
              <w:bottom w:val="nil"/>
              <w:right w:val="nil"/>
            </w:tcBorders>
            <w:shd w:val="clear" w:color="auto" w:fill="auto"/>
            <w:noWrap/>
            <w:vAlign w:val="bottom"/>
            <w:hideMark/>
          </w:tcPr>
          <w:p w:rsidR="00F720EE" w:rsidRDefault="00F720EE" w:rsidP="00E94F2B">
            <w:pPr>
              <w:jc w:val="right"/>
              <w:rPr>
                <w:rFonts w:ascii="Calibri" w:hAnsi="Calibri" w:cs="Calibri"/>
                <w:color w:val="000000"/>
                <w:sz w:val="22"/>
                <w:szCs w:val="22"/>
              </w:rPr>
            </w:pPr>
            <w:r>
              <w:rPr>
                <w:rFonts w:ascii="Calibri" w:hAnsi="Calibri" w:cs="Calibri"/>
                <w:color w:val="000000"/>
                <w:sz w:val="22"/>
                <w:szCs w:val="22"/>
              </w:rPr>
              <w:t>312</w:t>
            </w:r>
          </w:p>
        </w:tc>
        <w:tc>
          <w:tcPr>
            <w:tcW w:w="1449" w:type="dxa"/>
            <w:tcBorders>
              <w:top w:val="nil"/>
              <w:left w:val="nil"/>
              <w:bottom w:val="nil"/>
              <w:right w:val="nil"/>
            </w:tcBorders>
            <w:shd w:val="clear" w:color="auto" w:fill="auto"/>
            <w:noWrap/>
            <w:vAlign w:val="bottom"/>
            <w:hideMark/>
          </w:tcPr>
          <w:p w:rsidR="00F720EE" w:rsidRDefault="00F720EE" w:rsidP="00E94F2B">
            <w:pPr>
              <w:jc w:val="right"/>
              <w:rPr>
                <w:rFonts w:ascii="Calibri" w:hAnsi="Calibri" w:cs="Calibri"/>
                <w:color w:val="000000"/>
                <w:sz w:val="22"/>
                <w:szCs w:val="22"/>
              </w:rPr>
            </w:pPr>
            <w:r>
              <w:rPr>
                <w:rFonts w:ascii="Calibri" w:hAnsi="Calibri" w:cs="Calibri"/>
                <w:color w:val="000000"/>
                <w:sz w:val="22"/>
                <w:szCs w:val="22"/>
              </w:rPr>
              <w:t>(95)</w:t>
            </w:r>
          </w:p>
        </w:tc>
        <w:tc>
          <w:tcPr>
            <w:tcW w:w="1047" w:type="dxa"/>
            <w:tcBorders>
              <w:top w:val="nil"/>
              <w:left w:val="nil"/>
              <w:bottom w:val="nil"/>
              <w:right w:val="single" w:sz="4" w:space="0" w:color="BDD7EE"/>
            </w:tcBorders>
            <w:shd w:val="clear" w:color="auto" w:fill="auto"/>
            <w:noWrap/>
            <w:vAlign w:val="bottom"/>
            <w:hideMark/>
          </w:tcPr>
          <w:p w:rsidR="00F720EE" w:rsidRDefault="00F720EE" w:rsidP="00E94F2B">
            <w:pPr>
              <w:jc w:val="right"/>
              <w:rPr>
                <w:rFonts w:ascii="Calibri" w:hAnsi="Calibri" w:cs="Calibri"/>
                <w:color w:val="000000"/>
                <w:sz w:val="22"/>
                <w:szCs w:val="22"/>
              </w:rPr>
            </w:pPr>
            <w:r>
              <w:rPr>
                <w:rFonts w:ascii="Calibri" w:hAnsi="Calibri" w:cs="Calibri"/>
                <w:color w:val="000000"/>
                <w:sz w:val="22"/>
                <w:szCs w:val="22"/>
              </w:rPr>
              <w:t>-23.3%</w:t>
            </w:r>
          </w:p>
        </w:tc>
      </w:tr>
      <w:tr w:rsidR="00F720EE" w:rsidTr="00F720EE">
        <w:trPr>
          <w:trHeight w:val="256"/>
          <w:jc w:val="center"/>
        </w:trPr>
        <w:tc>
          <w:tcPr>
            <w:tcW w:w="3623" w:type="dxa"/>
            <w:tcBorders>
              <w:top w:val="single" w:sz="4" w:space="0" w:color="BDD7EE"/>
              <w:left w:val="single" w:sz="4" w:space="0" w:color="BDD7EE"/>
              <w:bottom w:val="single" w:sz="4" w:space="0" w:color="BDD7EE"/>
              <w:right w:val="nil"/>
            </w:tcBorders>
            <w:shd w:val="clear" w:color="auto" w:fill="auto"/>
            <w:noWrap/>
            <w:vAlign w:val="bottom"/>
            <w:hideMark/>
          </w:tcPr>
          <w:p w:rsidR="00F720EE" w:rsidRDefault="00F720EE" w:rsidP="00E94F2B">
            <w:pPr>
              <w:rPr>
                <w:rFonts w:ascii="Calibri" w:hAnsi="Calibri" w:cs="Calibri"/>
                <w:color w:val="000000"/>
                <w:sz w:val="22"/>
                <w:szCs w:val="22"/>
              </w:rPr>
            </w:pPr>
            <w:r>
              <w:rPr>
                <w:rFonts w:ascii="Calibri" w:hAnsi="Calibri" w:cs="Calibri"/>
                <w:color w:val="000000"/>
                <w:sz w:val="22"/>
                <w:szCs w:val="22"/>
              </w:rPr>
              <w:t>Pije alkolike Prodhim Vendi</w:t>
            </w:r>
          </w:p>
        </w:tc>
        <w:tc>
          <w:tcPr>
            <w:tcW w:w="1086" w:type="dxa"/>
            <w:tcBorders>
              <w:top w:val="single" w:sz="4" w:space="0" w:color="BDD7EE"/>
              <w:left w:val="nil"/>
              <w:bottom w:val="single" w:sz="4" w:space="0" w:color="BDD7EE"/>
              <w:right w:val="nil"/>
            </w:tcBorders>
            <w:shd w:val="clear" w:color="auto" w:fill="auto"/>
            <w:noWrap/>
            <w:vAlign w:val="bottom"/>
            <w:hideMark/>
          </w:tcPr>
          <w:p w:rsidR="00F720EE" w:rsidRDefault="00F720EE" w:rsidP="00E94F2B">
            <w:pPr>
              <w:jc w:val="center"/>
              <w:rPr>
                <w:rFonts w:ascii="Calibri" w:hAnsi="Calibri" w:cs="Calibri"/>
                <w:color w:val="000000"/>
                <w:sz w:val="22"/>
                <w:szCs w:val="22"/>
              </w:rPr>
            </w:pPr>
            <w:r>
              <w:rPr>
                <w:rFonts w:ascii="Calibri" w:hAnsi="Calibri" w:cs="Calibri"/>
                <w:color w:val="000000"/>
                <w:sz w:val="22"/>
                <w:szCs w:val="22"/>
              </w:rPr>
              <w:t>Ton</w:t>
            </w:r>
          </w:p>
        </w:tc>
        <w:tc>
          <w:tcPr>
            <w:tcW w:w="1341" w:type="dxa"/>
            <w:tcBorders>
              <w:top w:val="single" w:sz="4" w:space="0" w:color="BDD7EE"/>
              <w:left w:val="nil"/>
              <w:bottom w:val="single" w:sz="4" w:space="0" w:color="BDD7EE"/>
              <w:right w:val="nil"/>
            </w:tcBorders>
            <w:shd w:val="clear" w:color="auto" w:fill="auto"/>
            <w:noWrap/>
            <w:vAlign w:val="bottom"/>
            <w:hideMark/>
          </w:tcPr>
          <w:p w:rsidR="00F720EE" w:rsidRDefault="00F720EE" w:rsidP="00E94F2B">
            <w:pPr>
              <w:jc w:val="right"/>
              <w:rPr>
                <w:rFonts w:ascii="Calibri" w:hAnsi="Calibri" w:cs="Calibri"/>
                <w:color w:val="000000"/>
                <w:sz w:val="22"/>
                <w:szCs w:val="22"/>
              </w:rPr>
            </w:pPr>
            <w:r>
              <w:rPr>
                <w:rFonts w:ascii="Calibri" w:hAnsi="Calibri" w:cs="Calibri"/>
                <w:color w:val="000000"/>
                <w:sz w:val="22"/>
                <w:szCs w:val="22"/>
              </w:rPr>
              <w:t>294</w:t>
            </w:r>
          </w:p>
        </w:tc>
        <w:tc>
          <w:tcPr>
            <w:tcW w:w="1340" w:type="dxa"/>
            <w:tcBorders>
              <w:top w:val="single" w:sz="4" w:space="0" w:color="BDD7EE"/>
              <w:left w:val="nil"/>
              <w:bottom w:val="single" w:sz="4" w:space="0" w:color="BDD7EE"/>
              <w:right w:val="nil"/>
            </w:tcBorders>
            <w:shd w:val="clear" w:color="auto" w:fill="auto"/>
            <w:noWrap/>
            <w:vAlign w:val="bottom"/>
            <w:hideMark/>
          </w:tcPr>
          <w:p w:rsidR="00F720EE" w:rsidRDefault="00F720EE" w:rsidP="00E94F2B">
            <w:pPr>
              <w:jc w:val="right"/>
              <w:rPr>
                <w:rFonts w:ascii="Calibri" w:hAnsi="Calibri" w:cs="Calibri"/>
                <w:color w:val="000000"/>
                <w:sz w:val="22"/>
                <w:szCs w:val="22"/>
              </w:rPr>
            </w:pPr>
            <w:r>
              <w:rPr>
                <w:rFonts w:ascii="Calibri" w:hAnsi="Calibri" w:cs="Calibri"/>
                <w:color w:val="000000"/>
                <w:sz w:val="22"/>
                <w:szCs w:val="22"/>
              </w:rPr>
              <w:t>187</w:t>
            </w:r>
          </w:p>
        </w:tc>
        <w:tc>
          <w:tcPr>
            <w:tcW w:w="1449" w:type="dxa"/>
            <w:tcBorders>
              <w:top w:val="single" w:sz="4" w:space="0" w:color="BDD7EE"/>
              <w:left w:val="nil"/>
              <w:bottom w:val="single" w:sz="4" w:space="0" w:color="BDD7EE"/>
              <w:right w:val="nil"/>
            </w:tcBorders>
            <w:shd w:val="clear" w:color="auto" w:fill="auto"/>
            <w:noWrap/>
            <w:vAlign w:val="bottom"/>
            <w:hideMark/>
          </w:tcPr>
          <w:p w:rsidR="00F720EE" w:rsidRDefault="00F720EE" w:rsidP="00E94F2B">
            <w:pPr>
              <w:jc w:val="right"/>
              <w:rPr>
                <w:rFonts w:ascii="Calibri" w:hAnsi="Calibri" w:cs="Calibri"/>
                <w:color w:val="000000"/>
                <w:sz w:val="22"/>
                <w:szCs w:val="22"/>
              </w:rPr>
            </w:pPr>
            <w:r>
              <w:rPr>
                <w:rFonts w:ascii="Calibri" w:hAnsi="Calibri" w:cs="Calibri"/>
                <w:color w:val="000000"/>
                <w:sz w:val="22"/>
                <w:szCs w:val="22"/>
              </w:rPr>
              <w:t>(107)</w:t>
            </w:r>
          </w:p>
        </w:tc>
        <w:tc>
          <w:tcPr>
            <w:tcW w:w="1047" w:type="dxa"/>
            <w:tcBorders>
              <w:top w:val="single" w:sz="4" w:space="0" w:color="BDD7EE"/>
              <w:left w:val="nil"/>
              <w:bottom w:val="single" w:sz="4" w:space="0" w:color="BDD7EE"/>
              <w:right w:val="single" w:sz="4" w:space="0" w:color="BDD7EE"/>
            </w:tcBorders>
            <w:shd w:val="clear" w:color="auto" w:fill="auto"/>
            <w:noWrap/>
            <w:vAlign w:val="bottom"/>
            <w:hideMark/>
          </w:tcPr>
          <w:p w:rsidR="00F720EE" w:rsidRDefault="00F720EE" w:rsidP="00E94F2B">
            <w:pPr>
              <w:jc w:val="right"/>
              <w:rPr>
                <w:rFonts w:ascii="Calibri" w:hAnsi="Calibri" w:cs="Calibri"/>
                <w:color w:val="000000"/>
                <w:sz w:val="22"/>
                <w:szCs w:val="22"/>
              </w:rPr>
            </w:pPr>
            <w:r>
              <w:rPr>
                <w:rFonts w:ascii="Calibri" w:hAnsi="Calibri" w:cs="Calibri"/>
                <w:color w:val="000000"/>
                <w:sz w:val="22"/>
                <w:szCs w:val="22"/>
              </w:rPr>
              <w:t>-36.4%</w:t>
            </w:r>
          </w:p>
        </w:tc>
      </w:tr>
      <w:tr w:rsidR="00F720EE" w:rsidTr="00F720EE">
        <w:trPr>
          <w:trHeight w:val="256"/>
          <w:jc w:val="center"/>
        </w:trPr>
        <w:tc>
          <w:tcPr>
            <w:tcW w:w="3623" w:type="dxa"/>
            <w:tcBorders>
              <w:top w:val="nil"/>
              <w:left w:val="single" w:sz="4" w:space="0" w:color="BDD7EE"/>
              <w:bottom w:val="single" w:sz="4" w:space="0" w:color="BDD7EE"/>
              <w:right w:val="nil"/>
            </w:tcBorders>
            <w:shd w:val="clear" w:color="auto" w:fill="auto"/>
            <w:noWrap/>
            <w:vAlign w:val="bottom"/>
            <w:hideMark/>
          </w:tcPr>
          <w:p w:rsidR="00F720EE" w:rsidRDefault="00F720EE" w:rsidP="00E94F2B">
            <w:pPr>
              <w:rPr>
                <w:rFonts w:ascii="Calibri" w:hAnsi="Calibri" w:cs="Calibri"/>
                <w:color w:val="000000"/>
                <w:sz w:val="22"/>
                <w:szCs w:val="22"/>
              </w:rPr>
            </w:pPr>
            <w:r>
              <w:rPr>
                <w:rFonts w:ascii="Calibri" w:hAnsi="Calibri" w:cs="Calibri"/>
                <w:color w:val="000000"/>
                <w:sz w:val="22"/>
                <w:szCs w:val="22"/>
              </w:rPr>
              <w:t>Bateritë, Akumulatorët</w:t>
            </w:r>
          </w:p>
        </w:tc>
        <w:tc>
          <w:tcPr>
            <w:tcW w:w="1086" w:type="dxa"/>
            <w:tcBorders>
              <w:top w:val="nil"/>
              <w:left w:val="nil"/>
              <w:bottom w:val="single" w:sz="4" w:space="0" w:color="BDD7EE"/>
              <w:right w:val="nil"/>
            </w:tcBorders>
            <w:shd w:val="clear" w:color="auto" w:fill="auto"/>
            <w:noWrap/>
            <w:vAlign w:val="bottom"/>
            <w:hideMark/>
          </w:tcPr>
          <w:p w:rsidR="00F720EE" w:rsidRDefault="00F720EE" w:rsidP="00E94F2B">
            <w:pPr>
              <w:jc w:val="center"/>
              <w:rPr>
                <w:rFonts w:ascii="Calibri" w:hAnsi="Calibri" w:cs="Calibri"/>
                <w:color w:val="000000"/>
                <w:sz w:val="22"/>
                <w:szCs w:val="22"/>
              </w:rPr>
            </w:pPr>
            <w:r>
              <w:rPr>
                <w:rFonts w:ascii="Calibri" w:hAnsi="Calibri" w:cs="Calibri"/>
                <w:color w:val="000000"/>
                <w:sz w:val="22"/>
                <w:szCs w:val="22"/>
              </w:rPr>
              <w:t>Ton</w:t>
            </w:r>
          </w:p>
        </w:tc>
        <w:tc>
          <w:tcPr>
            <w:tcW w:w="1341" w:type="dxa"/>
            <w:tcBorders>
              <w:top w:val="nil"/>
              <w:left w:val="nil"/>
              <w:bottom w:val="single" w:sz="4" w:space="0" w:color="BDD7EE"/>
              <w:right w:val="nil"/>
            </w:tcBorders>
            <w:shd w:val="clear" w:color="auto" w:fill="auto"/>
            <w:noWrap/>
            <w:vAlign w:val="bottom"/>
            <w:hideMark/>
          </w:tcPr>
          <w:p w:rsidR="00F720EE" w:rsidRDefault="00F720EE" w:rsidP="00E94F2B">
            <w:pPr>
              <w:jc w:val="right"/>
              <w:rPr>
                <w:rFonts w:ascii="Calibri" w:hAnsi="Calibri" w:cs="Calibri"/>
                <w:color w:val="000000"/>
                <w:sz w:val="22"/>
                <w:szCs w:val="22"/>
              </w:rPr>
            </w:pPr>
            <w:r>
              <w:rPr>
                <w:rFonts w:ascii="Calibri" w:hAnsi="Calibri" w:cs="Calibri"/>
                <w:color w:val="000000"/>
                <w:sz w:val="22"/>
                <w:szCs w:val="22"/>
              </w:rPr>
              <w:t>1,408</w:t>
            </w:r>
          </w:p>
        </w:tc>
        <w:tc>
          <w:tcPr>
            <w:tcW w:w="1340" w:type="dxa"/>
            <w:tcBorders>
              <w:top w:val="nil"/>
              <w:left w:val="nil"/>
              <w:bottom w:val="single" w:sz="4" w:space="0" w:color="BDD7EE"/>
              <w:right w:val="nil"/>
            </w:tcBorders>
            <w:shd w:val="clear" w:color="auto" w:fill="auto"/>
            <w:noWrap/>
            <w:vAlign w:val="bottom"/>
            <w:hideMark/>
          </w:tcPr>
          <w:p w:rsidR="00F720EE" w:rsidRDefault="00F720EE" w:rsidP="00E94F2B">
            <w:pPr>
              <w:jc w:val="right"/>
              <w:rPr>
                <w:rFonts w:ascii="Calibri" w:hAnsi="Calibri" w:cs="Calibri"/>
                <w:color w:val="000000"/>
                <w:sz w:val="22"/>
                <w:szCs w:val="22"/>
              </w:rPr>
            </w:pPr>
            <w:r>
              <w:rPr>
                <w:rFonts w:ascii="Calibri" w:hAnsi="Calibri" w:cs="Calibri"/>
                <w:color w:val="000000"/>
                <w:sz w:val="22"/>
                <w:szCs w:val="22"/>
              </w:rPr>
              <w:t>1,218</w:t>
            </w:r>
          </w:p>
        </w:tc>
        <w:tc>
          <w:tcPr>
            <w:tcW w:w="1449" w:type="dxa"/>
            <w:tcBorders>
              <w:top w:val="nil"/>
              <w:left w:val="nil"/>
              <w:bottom w:val="single" w:sz="4" w:space="0" w:color="BDD7EE"/>
              <w:right w:val="nil"/>
            </w:tcBorders>
            <w:shd w:val="clear" w:color="auto" w:fill="auto"/>
            <w:noWrap/>
            <w:vAlign w:val="bottom"/>
            <w:hideMark/>
          </w:tcPr>
          <w:p w:rsidR="00F720EE" w:rsidRDefault="00F720EE" w:rsidP="00E94F2B">
            <w:pPr>
              <w:jc w:val="right"/>
              <w:rPr>
                <w:rFonts w:ascii="Calibri" w:hAnsi="Calibri" w:cs="Calibri"/>
                <w:color w:val="000000"/>
                <w:sz w:val="22"/>
                <w:szCs w:val="22"/>
              </w:rPr>
            </w:pPr>
            <w:r>
              <w:rPr>
                <w:rFonts w:ascii="Calibri" w:hAnsi="Calibri" w:cs="Calibri"/>
                <w:color w:val="000000"/>
                <w:sz w:val="22"/>
                <w:szCs w:val="22"/>
              </w:rPr>
              <w:t>(190)</w:t>
            </w:r>
          </w:p>
        </w:tc>
        <w:tc>
          <w:tcPr>
            <w:tcW w:w="1047" w:type="dxa"/>
            <w:tcBorders>
              <w:top w:val="nil"/>
              <w:left w:val="nil"/>
              <w:bottom w:val="single" w:sz="4" w:space="0" w:color="BDD7EE"/>
              <w:right w:val="single" w:sz="4" w:space="0" w:color="BDD7EE"/>
            </w:tcBorders>
            <w:shd w:val="clear" w:color="auto" w:fill="auto"/>
            <w:noWrap/>
            <w:vAlign w:val="bottom"/>
            <w:hideMark/>
          </w:tcPr>
          <w:p w:rsidR="00F720EE" w:rsidRDefault="00F720EE" w:rsidP="00E94F2B">
            <w:pPr>
              <w:jc w:val="right"/>
              <w:rPr>
                <w:rFonts w:ascii="Calibri" w:hAnsi="Calibri" w:cs="Calibri"/>
                <w:color w:val="000000"/>
                <w:sz w:val="22"/>
                <w:szCs w:val="22"/>
              </w:rPr>
            </w:pPr>
            <w:r>
              <w:rPr>
                <w:rFonts w:ascii="Calibri" w:hAnsi="Calibri" w:cs="Calibri"/>
                <w:color w:val="000000"/>
                <w:sz w:val="22"/>
                <w:szCs w:val="22"/>
              </w:rPr>
              <w:t>-13.5%</w:t>
            </w:r>
          </w:p>
        </w:tc>
      </w:tr>
    </w:tbl>
    <w:p w:rsidR="00F720EE" w:rsidRPr="004E355C" w:rsidRDefault="00F720EE" w:rsidP="00F720EE">
      <w:pPr>
        <w:spacing w:line="276" w:lineRule="auto"/>
        <w:jc w:val="both"/>
        <w:rPr>
          <w:rFonts w:asciiTheme="minorHAnsi" w:hAnsiTheme="minorHAnsi"/>
          <w:sz w:val="20"/>
          <w:szCs w:val="20"/>
          <w:lang w:val="sq-AL"/>
        </w:rPr>
      </w:pPr>
      <w:r w:rsidRPr="004E355C">
        <w:rPr>
          <w:rFonts w:asciiTheme="minorHAnsi" w:hAnsiTheme="minorHAnsi"/>
          <w:sz w:val="20"/>
          <w:szCs w:val="20"/>
          <w:lang w:val="sq-AL"/>
        </w:rPr>
        <w:t>Burimi: Ministria e Financave dhe Ekonomisë (20</w:t>
      </w:r>
      <w:r>
        <w:rPr>
          <w:rFonts w:asciiTheme="minorHAnsi" w:hAnsiTheme="minorHAnsi"/>
          <w:sz w:val="20"/>
          <w:szCs w:val="20"/>
          <w:lang w:val="sq-AL"/>
        </w:rPr>
        <w:t>20</w:t>
      </w:r>
      <w:r w:rsidRPr="004E355C">
        <w:rPr>
          <w:rFonts w:asciiTheme="minorHAnsi" w:hAnsiTheme="minorHAnsi"/>
          <w:sz w:val="20"/>
          <w:szCs w:val="20"/>
          <w:lang w:val="sq-AL"/>
        </w:rPr>
        <w:t>)</w:t>
      </w:r>
    </w:p>
    <w:p w:rsidR="00F720EE" w:rsidRPr="004E355C" w:rsidRDefault="00F720EE" w:rsidP="00F720EE">
      <w:pPr>
        <w:tabs>
          <w:tab w:val="left" w:pos="2511"/>
          <w:tab w:val="center" w:pos="4680"/>
        </w:tabs>
        <w:spacing w:line="276" w:lineRule="auto"/>
        <w:jc w:val="both"/>
        <w:rPr>
          <w:rFonts w:asciiTheme="minorHAnsi" w:hAnsiTheme="minorHAnsi" w:cstheme="minorHAnsi"/>
          <w:sz w:val="8"/>
          <w:szCs w:val="8"/>
        </w:rPr>
      </w:pPr>
    </w:p>
    <w:p w:rsidR="00F720EE" w:rsidRDefault="00F720EE" w:rsidP="00F720EE">
      <w:pPr>
        <w:tabs>
          <w:tab w:val="left" w:pos="2511"/>
          <w:tab w:val="center" w:pos="4680"/>
        </w:tabs>
        <w:spacing w:line="276" w:lineRule="auto"/>
        <w:jc w:val="both"/>
        <w:rPr>
          <w:rFonts w:asciiTheme="minorHAnsi" w:hAnsiTheme="minorHAnsi" w:cstheme="minorHAnsi"/>
        </w:rPr>
      </w:pPr>
      <w:r w:rsidRPr="00C73D40">
        <w:rPr>
          <w:rFonts w:asciiTheme="minorHAnsi" w:hAnsiTheme="minorHAnsi" w:cstheme="minorHAnsi"/>
        </w:rPr>
        <w:t>Grup-produktet me kontribut pozitiv në të ardhura rezultuan: duhan importi, duhan prodhim vendi, gaz Iënget si dhe kimikatet inoraganike kimike. Ndërsa produktet me efekt negativ në të ardhura rezultuan: karburanti prodhim vendi, karburant import, cigare, birrë importi dhe birrë prodhim vendi, kafe dhe verë importi dhe verë prodhim vendi.</w:t>
      </w:r>
    </w:p>
    <w:p w:rsidR="00C154C8" w:rsidRDefault="00C154C8" w:rsidP="00F720EE">
      <w:pPr>
        <w:tabs>
          <w:tab w:val="left" w:pos="2511"/>
          <w:tab w:val="center" w:pos="4680"/>
        </w:tabs>
        <w:spacing w:line="276" w:lineRule="auto"/>
        <w:jc w:val="both"/>
        <w:rPr>
          <w:rFonts w:asciiTheme="minorHAnsi" w:hAnsiTheme="minorHAnsi" w:cstheme="minorHAnsi"/>
        </w:rPr>
      </w:pPr>
    </w:p>
    <w:p w:rsidR="00C154C8" w:rsidRDefault="00C154C8" w:rsidP="00F720EE">
      <w:pPr>
        <w:tabs>
          <w:tab w:val="left" w:pos="2511"/>
          <w:tab w:val="center" w:pos="4680"/>
        </w:tabs>
        <w:spacing w:line="276" w:lineRule="auto"/>
        <w:jc w:val="both"/>
        <w:rPr>
          <w:rFonts w:asciiTheme="minorHAnsi" w:hAnsiTheme="minorHAnsi"/>
          <w:lang w:val="sq-AL"/>
        </w:rPr>
      </w:pPr>
    </w:p>
    <w:p w:rsidR="0023082A" w:rsidRPr="00C73D40" w:rsidRDefault="0023082A" w:rsidP="00F720EE">
      <w:pPr>
        <w:tabs>
          <w:tab w:val="left" w:pos="2511"/>
          <w:tab w:val="center" w:pos="4680"/>
        </w:tabs>
        <w:spacing w:line="276" w:lineRule="auto"/>
        <w:jc w:val="both"/>
        <w:rPr>
          <w:rFonts w:asciiTheme="minorHAnsi" w:hAnsiTheme="minorHAnsi"/>
          <w:lang w:val="sq-AL"/>
        </w:rPr>
      </w:pPr>
    </w:p>
    <w:p w:rsidR="00F720EE" w:rsidRPr="00687D11" w:rsidRDefault="00F720EE" w:rsidP="00F720EE">
      <w:pPr>
        <w:pStyle w:val="Caption"/>
        <w:keepNext/>
        <w:spacing w:after="0"/>
        <w:jc w:val="both"/>
        <w:rPr>
          <w:rFonts w:asciiTheme="minorHAnsi" w:hAnsiTheme="minorHAnsi"/>
          <w:b w:val="0"/>
          <w:bCs w:val="0"/>
          <w:i/>
          <w:color w:val="FF0000"/>
          <w:sz w:val="8"/>
          <w:szCs w:val="8"/>
          <w:lang w:val="sq-AL"/>
        </w:rPr>
      </w:pPr>
    </w:p>
    <w:p w:rsidR="00F720EE" w:rsidRDefault="00F720EE" w:rsidP="00F720EE">
      <w:pPr>
        <w:pStyle w:val="Caption"/>
        <w:keepNext/>
        <w:spacing w:after="0"/>
        <w:jc w:val="both"/>
        <w:rPr>
          <w:rFonts w:asciiTheme="minorHAnsi" w:hAnsiTheme="minorHAnsi"/>
          <w:b w:val="0"/>
          <w:bCs w:val="0"/>
          <w:i/>
          <w:color w:val="auto"/>
          <w:sz w:val="24"/>
          <w:szCs w:val="24"/>
          <w:lang w:val="sq-AL"/>
        </w:rPr>
      </w:pPr>
      <w:bookmarkStart w:id="20" w:name="_Toc12449189"/>
      <w:bookmarkStart w:id="21" w:name="_Toc44404404"/>
      <w:r w:rsidRPr="004E355C">
        <w:rPr>
          <w:rFonts w:asciiTheme="minorHAnsi" w:hAnsiTheme="minorHAnsi"/>
          <w:b w:val="0"/>
          <w:bCs w:val="0"/>
          <w:i/>
          <w:color w:val="auto"/>
          <w:sz w:val="24"/>
          <w:szCs w:val="24"/>
          <w:lang w:val="sq-AL"/>
        </w:rPr>
        <w:t xml:space="preserve">Tabela </w:t>
      </w:r>
      <w:r w:rsidRPr="004E355C">
        <w:rPr>
          <w:rFonts w:asciiTheme="minorHAnsi" w:hAnsiTheme="minorHAnsi"/>
          <w:b w:val="0"/>
          <w:bCs w:val="0"/>
          <w:i/>
          <w:color w:val="auto"/>
          <w:sz w:val="24"/>
          <w:szCs w:val="24"/>
          <w:lang w:val="sq-AL"/>
        </w:rPr>
        <w:fldChar w:fldCharType="begin"/>
      </w:r>
      <w:r w:rsidRPr="004E355C">
        <w:rPr>
          <w:rFonts w:asciiTheme="minorHAnsi" w:hAnsiTheme="minorHAnsi"/>
          <w:b w:val="0"/>
          <w:bCs w:val="0"/>
          <w:i/>
          <w:color w:val="auto"/>
          <w:sz w:val="24"/>
          <w:szCs w:val="24"/>
          <w:lang w:val="sq-AL"/>
        </w:rPr>
        <w:instrText xml:space="preserve"> SEQ Tabela \* ARABIC </w:instrText>
      </w:r>
      <w:r w:rsidRPr="004E355C">
        <w:rPr>
          <w:rFonts w:asciiTheme="minorHAnsi" w:hAnsiTheme="minorHAnsi"/>
          <w:b w:val="0"/>
          <w:bCs w:val="0"/>
          <w:i/>
          <w:color w:val="auto"/>
          <w:sz w:val="24"/>
          <w:szCs w:val="24"/>
          <w:lang w:val="sq-AL"/>
        </w:rPr>
        <w:fldChar w:fldCharType="separate"/>
      </w:r>
      <w:r w:rsidR="00C342E2">
        <w:rPr>
          <w:rFonts w:asciiTheme="minorHAnsi" w:hAnsiTheme="minorHAnsi"/>
          <w:b w:val="0"/>
          <w:bCs w:val="0"/>
          <w:i/>
          <w:noProof/>
          <w:color w:val="auto"/>
          <w:sz w:val="24"/>
          <w:szCs w:val="24"/>
          <w:lang w:val="sq-AL"/>
        </w:rPr>
        <w:t>3</w:t>
      </w:r>
      <w:r w:rsidRPr="004E355C">
        <w:rPr>
          <w:rFonts w:asciiTheme="minorHAnsi" w:hAnsiTheme="minorHAnsi"/>
          <w:b w:val="0"/>
          <w:bCs w:val="0"/>
          <w:i/>
          <w:color w:val="auto"/>
          <w:sz w:val="24"/>
          <w:szCs w:val="24"/>
          <w:lang w:val="sq-AL"/>
        </w:rPr>
        <w:fldChar w:fldCharType="end"/>
      </w:r>
      <w:r w:rsidRPr="004E355C">
        <w:rPr>
          <w:rFonts w:asciiTheme="minorHAnsi" w:hAnsiTheme="minorHAnsi"/>
          <w:b w:val="0"/>
          <w:bCs w:val="0"/>
          <w:i/>
          <w:color w:val="auto"/>
          <w:sz w:val="24"/>
          <w:szCs w:val="24"/>
          <w:lang w:val="sq-AL"/>
        </w:rPr>
        <w:t>: Kontribuesit pozitivë në të ardhurat nga Akciza/Diferencat Janar-Maj 20</w:t>
      </w:r>
      <w:r>
        <w:rPr>
          <w:rFonts w:asciiTheme="minorHAnsi" w:hAnsiTheme="minorHAnsi"/>
          <w:b w:val="0"/>
          <w:bCs w:val="0"/>
          <w:i/>
          <w:color w:val="auto"/>
          <w:sz w:val="24"/>
          <w:szCs w:val="24"/>
          <w:lang w:val="sq-AL"/>
        </w:rPr>
        <w:t>20</w:t>
      </w:r>
      <w:r w:rsidRPr="004E355C">
        <w:rPr>
          <w:rFonts w:asciiTheme="minorHAnsi" w:hAnsiTheme="minorHAnsi"/>
          <w:b w:val="0"/>
          <w:bCs w:val="0"/>
          <w:i/>
          <w:color w:val="auto"/>
          <w:sz w:val="24"/>
          <w:szCs w:val="24"/>
          <w:lang w:val="sq-AL"/>
        </w:rPr>
        <w:t>/201</w:t>
      </w:r>
      <w:bookmarkEnd w:id="20"/>
      <w:r>
        <w:rPr>
          <w:rFonts w:asciiTheme="minorHAnsi" w:hAnsiTheme="minorHAnsi"/>
          <w:b w:val="0"/>
          <w:bCs w:val="0"/>
          <w:i/>
          <w:color w:val="auto"/>
          <w:sz w:val="24"/>
          <w:szCs w:val="24"/>
          <w:lang w:val="sq-AL"/>
        </w:rPr>
        <w:t>9</w:t>
      </w:r>
      <w:bookmarkEnd w:id="21"/>
    </w:p>
    <w:tbl>
      <w:tblPr>
        <w:tblW w:w="9905" w:type="dxa"/>
        <w:jc w:val="center"/>
        <w:tblLook w:val="0600" w:firstRow="0" w:lastRow="0" w:firstColumn="0" w:lastColumn="0" w:noHBand="1" w:noVBand="1"/>
      </w:tblPr>
      <w:tblGrid>
        <w:gridCol w:w="3960"/>
        <w:gridCol w:w="1120"/>
        <w:gridCol w:w="1100"/>
        <w:gridCol w:w="1260"/>
        <w:gridCol w:w="1360"/>
        <w:gridCol w:w="1105"/>
      </w:tblGrid>
      <w:tr w:rsidR="00F720EE" w:rsidTr="00F720EE">
        <w:trPr>
          <w:trHeight w:val="319"/>
          <w:jc w:val="center"/>
        </w:trPr>
        <w:tc>
          <w:tcPr>
            <w:tcW w:w="9905" w:type="dxa"/>
            <w:gridSpan w:val="6"/>
            <w:tcBorders>
              <w:top w:val="nil"/>
              <w:left w:val="single" w:sz="4" w:space="0" w:color="5B9BD5"/>
              <w:bottom w:val="nil"/>
              <w:right w:val="single" w:sz="4" w:space="0" w:color="5B9BD5"/>
            </w:tcBorders>
            <w:shd w:val="clear" w:color="000000" w:fill="BDD7EE"/>
            <w:vAlign w:val="bottom"/>
            <w:hideMark/>
          </w:tcPr>
          <w:p w:rsidR="00F720EE" w:rsidRDefault="00F720EE" w:rsidP="00E94F2B">
            <w:pPr>
              <w:jc w:val="center"/>
              <w:rPr>
                <w:rFonts w:ascii="Calibri" w:hAnsi="Calibri" w:cs="Calibri"/>
                <w:b/>
                <w:bCs/>
                <w:color w:val="000000"/>
                <w:sz w:val="20"/>
                <w:szCs w:val="20"/>
              </w:rPr>
            </w:pPr>
            <w:r>
              <w:rPr>
                <w:rFonts w:ascii="Calibri" w:hAnsi="Calibri" w:cs="Calibri"/>
                <w:b/>
                <w:bCs/>
                <w:color w:val="000000"/>
                <w:sz w:val="20"/>
                <w:szCs w:val="20"/>
              </w:rPr>
              <w:t xml:space="preserve">                                                            Produktet me kontribut Pozitiv</w:t>
            </w:r>
            <w:r>
              <w:rPr>
                <w:rFonts w:ascii="Calibri" w:hAnsi="Calibri" w:cs="Calibri"/>
                <w:b/>
                <w:bCs/>
                <w:color w:val="00B050"/>
                <w:sz w:val="20"/>
                <w:szCs w:val="20"/>
              </w:rPr>
              <w:t xml:space="preserve">   </w:t>
            </w:r>
            <w:r>
              <w:rPr>
                <w:rFonts w:ascii="Calibri" w:hAnsi="Calibri" w:cs="Calibri"/>
                <w:b/>
                <w:bCs/>
                <w:color w:val="0070C0"/>
                <w:sz w:val="20"/>
                <w:szCs w:val="20"/>
              </w:rPr>
              <w:t xml:space="preserve">                                     </w:t>
            </w:r>
            <w:r>
              <w:rPr>
                <w:rFonts w:ascii="Calibri" w:hAnsi="Calibri" w:cs="Calibri"/>
                <w:b/>
                <w:bCs/>
                <w:color w:val="000000"/>
                <w:sz w:val="20"/>
                <w:szCs w:val="20"/>
              </w:rPr>
              <w:t>milionë lekë</w:t>
            </w:r>
          </w:p>
        </w:tc>
      </w:tr>
      <w:tr w:rsidR="00F720EE" w:rsidTr="00F720EE">
        <w:trPr>
          <w:trHeight w:val="319"/>
          <w:jc w:val="center"/>
        </w:trPr>
        <w:tc>
          <w:tcPr>
            <w:tcW w:w="3960" w:type="dxa"/>
            <w:tcBorders>
              <w:top w:val="nil"/>
              <w:left w:val="single" w:sz="4" w:space="0" w:color="5B9BD5"/>
              <w:bottom w:val="single" w:sz="4" w:space="0" w:color="5B9BD5"/>
              <w:right w:val="nil"/>
            </w:tcBorders>
            <w:shd w:val="clear" w:color="000000" w:fill="BDD7EE"/>
            <w:vAlign w:val="bottom"/>
            <w:hideMark/>
          </w:tcPr>
          <w:p w:rsidR="00F720EE" w:rsidRDefault="00F720EE" w:rsidP="00E94F2B">
            <w:pPr>
              <w:rPr>
                <w:rFonts w:ascii="Calibri" w:hAnsi="Calibri" w:cs="Calibri"/>
                <w:b/>
                <w:bCs/>
                <w:color w:val="000000"/>
                <w:sz w:val="20"/>
                <w:szCs w:val="20"/>
              </w:rPr>
            </w:pPr>
            <w:r>
              <w:rPr>
                <w:rFonts w:ascii="Calibri" w:hAnsi="Calibri" w:cs="Calibri"/>
                <w:b/>
                <w:bCs/>
                <w:color w:val="000000"/>
                <w:sz w:val="20"/>
                <w:szCs w:val="20"/>
              </w:rPr>
              <w:t> </w:t>
            </w:r>
          </w:p>
        </w:tc>
        <w:tc>
          <w:tcPr>
            <w:tcW w:w="1120" w:type="dxa"/>
            <w:tcBorders>
              <w:top w:val="nil"/>
              <w:left w:val="nil"/>
              <w:bottom w:val="single" w:sz="4" w:space="0" w:color="5B9BD5"/>
              <w:right w:val="nil"/>
            </w:tcBorders>
            <w:shd w:val="clear" w:color="000000" w:fill="BDD7EE"/>
            <w:vAlign w:val="bottom"/>
            <w:hideMark/>
          </w:tcPr>
          <w:p w:rsidR="00F720EE" w:rsidRDefault="00F720EE" w:rsidP="00E94F2B">
            <w:pPr>
              <w:jc w:val="center"/>
              <w:rPr>
                <w:rFonts w:ascii="Calibri" w:hAnsi="Calibri" w:cs="Calibri"/>
                <w:b/>
                <w:bCs/>
                <w:color w:val="000000"/>
                <w:sz w:val="20"/>
                <w:szCs w:val="20"/>
              </w:rPr>
            </w:pPr>
            <w:r>
              <w:rPr>
                <w:rFonts w:ascii="Calibri" w:hAnsi="Calibri" w:cs="Calibri"/>
                <w:b/>
                <w:bCs/>
                <w:color w:val="000000"/>
                <w:sz w:val="20"/>
                <w:szCs w:val="20"/>
              </w:rPr>
              <w:t>Njësia</w:t>
            </w:r>
          </w:p>
        </w:tc>
        <w:tc>
          <w:tcPr>
            <w:tcW w:w="1100" w:type="dxa"/>
            <w:tcBorders>
              <w:top w:val="nil"/>
              <w:left w:val="nil"/>
              <w:bottom w:val="single" w:sz="4" w:space="0" w:color="5B9BD5"/>
              <w:right w:val="nil"/>
            </w:tcBorders>
            <w:shd w:val="clear" w:color="000000" w:fill="BDD7EE"/>
            <w:vAlign w:val="bottom"/>
            <w:hideMark/>
          </w:tcPr>
          <w:p w:rsidR="00F720EE" w:rsidRDefault="00F720EE" w:rsidP="00E94F2B">
            <w:pPr>
              <w:jc w:val="center"/>
              <w:rPr>
                <w:rFonts w:ascii="Calibri" w:hAnsi="Calibri" w:cs="Calibri"/>
                <w:b/>
                <w:bCs/>
                <w:color w:val="000000"/>
                <w:sz w:val="20"/>
                <w:szCs w:val="20"/>
              </w:rPr>
            </w:pPr>
            <w:r>
              <w:rPr>
                <w:rFonts w:ascii="Calibri" w:hAnsi="Calibri" w:cs="Calibri"/>
                <w:b/>
                <w:bCs/>
                <w:color w:val="000000"/>
                <w:sz w:val="20"/>
                <w:szCs w:val="20"/>
              </w:rPr>
              <w:t xml:space="preserve">Sasi </w:t>
            </w:r>
          </w:p>
        </w:tc>
        <w:tc>
          <w:tcPr>
            <w:tcW w:w="1260" w:type="dxa"/>
            <w:tcBorders>
              <w:top w:val="nil"/>
              <w:left w:val="nil"/>
              <w:bottom w:val="single" w:sz="4" w:space="0" w:color="5B9BD5"/>
              <w:right w:val="nil"/>
            </w:tcBorders>
            <w:shd w:val="clear" w:color="000000" w:fill="BDD7EE"/>
            <w:vAlign w:val="bottom"/>
            <w:hideMark/>
          </w:tcPr>
          <w:p w:rsidR="00F720EE" w:rsidRDefault="00F720EE" w:rsidP="00E94F2B">
            <w:pPr>
              <w:jc w:val="center"/>
              <w:rPr>
                <w:rFonts w:ascii="Calibri" w:hAnsi="Calibri" w:cs="Calibri"/>
                <w:b/>
                <w:bCs/>
                <w:color w:val="000000"/>
                <w:sz w:val="20"/>
                <w:szCs w:val="20"/>
              </w:rPr>
            </w:pPr>
            <w:r>
              <w:rPr>
                <w:rFonts w:ascii="Calibri" w:hAnsi="Calibri" w:cs="Calibri"/>
                <w:b/>
                <w:bCs/>
                <w:color w:val="000000"/>
                <w:sz w:val="20"/>
                <w:szCs w:val="20"/>
              </w:rPr>
              <w:t>%</w:t>
            </w:r>
          </w:p>
        </w:tc>
        <w:tc>
          <w:tcPr>
            <w:tcW w:w="1360" w:type="dxa"/>
            <w:tcBorders>
              <w:top w:val="nil"/>
              <w:left w:val="nil"/>
              <w:bottom w:val="single" w:sz="4" w:space="0" w:color="5B9BD5"/>
              <w:right w:val="nil"/>
            </w:tcBorders>
            <w:shd w:val="clear" w:color="000000" w:fill="BDD7EE"/>
            <w:vAlign w:val="bottom"/>
            <w:hideMark/>
          </w:tcPr>
          <w:p w:rsidR="00F720EE" w:rsidRDefault="00F720EE" w:rsidP="00E94F2B">
            <w:pPr>
              <w:jc w:val="center"/>
              <w:rPr>
                <w:rFonts w:ascii="Calibri" w:hAnsi="Calibri" w:cs="Calibri"/>
                <w:b/>
                <w:bCs/>
                <w:color w:val="000000"/>
                <w:sz w:val="20"/>
                <w:szCs w:val="20"/>
              </w:rPr>
            </w:pPr>
            <w:r>
              <w:rPr>
                <w:rFonts w:ascii="Calibri" w:hAnsi="Calibri" w:cs="Calibri"/>
                <w:b/>
                <w:bCs/>
                <w:color w:val="000000"/>
                <w:sz w:val="20"/>
                <w:szCs w:val="20"/>
              </w:rPr>
              <w:t>Akciza</w:t>
            </w:r>
          </w:p>
        </w:tc>
        <w:tc>
          <w:tcPr>
            <w:tcW w:w="1105" w:type="dxa"/>
            <w:tcBorders>
              <w:top w:val="nil"/>
              <w:left w:val="nil"/>
              <w:bottom w:val="single" w:sz="4" w:space="0" w:color="5B9BD5"/>
              <w:right w:val="single" w:sz="4" w:space="0" w:color="5B9BD5"/>
            </w:tcBorders>
            <w:shd w:val="clear" w:color="000000" w:fill="BDD7EE"/>
            <w:vAlign w:val="bottom"/>
            <w:hideMark/>
          </w:tcPr>
          <w:p w:rsidR="00F720EE" w:rsidRDefault="00F720EE" w:rsidP="00E94F2B">
            <w:pPr>
              <w:jc w:val="center"/>
              <w:rPr>
                <w:rFonts w:ascii="Calibri" w:hAnsi="Calibri" w:cs="Calibri"/>
                <w:b/>
                <w:bCs/>
                <w:color w:val="000000"/>
                <w:sz w:val="20"/>
                <w:szCs w:val="20"/>
              </w:rPr>
            </w:pPr>
            <w:r>
              <w:rPr>
                <w:rFonts w:ascii="Calibri" w:hAnsi="Calibri" w:cs="Calibri"/>
                <w:b/>
                <w:bCs/>
                <w:color w:val="000000"/>
                <w:sz w:val="20"/>
                <w:szCs w:val="20"/>
              </w:rPr>
              <w:t>%</w:t>
            </w:r>
          </w:p>
        </w:tc>
      </w:tr>
      <w:tr w:rsidR="00F720EE" w:rsidTr="00F720EE">
        <w:trPr>
          <w:trHeight w:val="282"/>
          <w:jc w:val="center"/>
        </w:trPr>
        <w:tc>
          <w:tcPr>
            <w:tcW w:w="3960" w:type="dxa"/>
            <w:tcBorders>
              <w:top w:val="nil"/>
              <w:left w:val="single" w:sz="4" w:space="0" w:color="5B9BD5"/>
              <w:bottom w:val="nil"/>
              <w:right w:val="nil"/>
            </w:tcBorders>
            <w:shd w:val="clear" w:color="auto" w:fill="auto"/>
            <w:vAlign w:val="bottom"/>
            <w:hideMark/>
          </w:tcPr>
          <w:p w:rsidR="00F720EE" w:rsidRDefault="00F720EE" w:rsidP="00E94F2B">
            <w:pPr>
              <w:rPr>
                <w:rFonts w:ascii="Calibri" w:hAnsi="Calibri" w:cs="Calibri"/>
                <w:color w:val="000000"/>
                <w:sz w:val="20"/>
                <w:szCs w:val="20"/>
              </w:rPr>
            </w:pPr>
            <w:r>
              <w:rPr>
                <w:rFonts w:ascii="Calibri" w:hAnsi="Calibri" w:cs="Calibri"/>
                <w:color w:val="000000"/>
                <w:sz w:val="20"/>
                <w:szCs w:val="20"/>
              </w:rPr>
              <w:t xml:space="preserve">Duhan Importi </w:t>
            </w:r>
          </w:p>
        </w:tc>
        <w:tc>
          <w:tcPr>
            <w:tcW w:w="1120" w:type="dxa"/>
            <w:tcBorders>
              <w:top w:val="nil"/>
              <w:left w:val="single" w:sz="4" w:space="0" w:color="5B9BD5"/>
              <w:bottom w:val="nil"/>
              <w:right w:val="single" w:sz="4" w:space="0" w:color="5B9BD5"/>
            </w:tcBorders>
            <w:shd w:val="clear" w:color="auto" w:fill="auto"/>
            <w:vAlign w:val="bottom"/>
            <w:hideMark/>
          </w:tcPr>
          <w:p w:rsidR="00F720EE" w:rsidRDefault="00F720EE" w:rsidP="00E94F2B">
            <w:pPr>
              <w:jc w:val="center"/>
              <w:rPr>
                <w:rFonts w:ascii="Calibri" w:hAnsi="Calibri" w:cs="Calibri"/>
                <w:i/>
                <w:iCs/>
                <w:color w:val="000000"/>
                <w:sz w:val="20"/>
                <w:szCs w:val="20"/>
              </w:rPr>
            </w:pPr>
            <w:r>
              <w:rPr>
                <w:rFonts w:ascii="Calibri" w:hAnsi="Calibri" w:cs="Calibri"/>
                <w:i/>
                <w:iCs/>
                <w:color w:val="000000"/>
                <w:sz w:val="20"/>
                <w:szCs w:val="20"/>
              </w:rPr>
              <w:t xml:space="preserve">Ton </w:t>
            </w:r>
          </w:p>
        </w:tc>
        <w:tc>
          <w:tcPr>
            <w:tcW w:w="1100" w:type="dxa"/>
            <w:tcBorders>
              <w:top w:val="nil"/>
              <w:left w:val="nil"/>
              <w:bottom w:val="nil"/>
              <w:right w:val="single" w:sz="4" w:space="0" w:color="5B9BD5"/>
            </w:tcBorders>
            <w:shd w:val="clear" w:color="auto" w:fill="auto"/>
            <w:vAlign w:val="bottom"/>
            <w:hideMark/>
          </w:tcPr>
          <w:p w:rsidR="00F720EE" w:rsidRDefault="00F720EE" w:rsidP="00E94F2B">
            <w:pPr>
              <w:jc w:val="right"/>
              <w:rPr>
                <w:rFonts w:ascii="Calibri" w:hAnsi="Calibri" w:cs="Calibri"/>
                <w:color w:val="000000"/>
                <w:sz w:val="20"/>
                <w:szCs w:val="20"/>
              </w:rPr>
            </w:pPr>
            <w:r>
              <w:rPr>
                <w:rFonts w:ascii="Calibri" w:hAnsi="Calibri" w:cs="Calibri"/>
                <w:color w:val="000000"/>
                <w:sz w:val="20"/>
                <w:szCs w:val="20"/>
              </w:rPr>
              <w:t>7</w:t>
            </w:r>
          </w:p>
        </w:tc>
        <w:tc>
          <w:tcPr>
            <w:tcW w:w="1260" w:type="dxa"/>
            <w:tcBorders>
              <w:top w:val="nil"/>
              <w:left w:val="nil"/>
              <w:bottom w:val="nil"/>
              <w:right w:val="nil"/>
            </w:tcBorders>
            <w:shd w:val="clear" w:color="auto" w:fill="auto"/>
            <w:vAlign w:val="bottom"/>
            <w:hideMark/>
          </w:tcPr>
          <w:p w:rsidR="00F720EE" w:rsidRDefault="00F720EE" w:rsidP="00E94F2B">
            <w:pPr>
              <w:jc w:val="right"/>
              <w:rPr>
                <w:rFonts w:ascii="Calibri" w:hAnsi="Calibri" w:cs="Calibri"/>
                <w:color w:val="000000"/>
                <w:sz w:val="20"/>
                <w:szCs w:val="20"/>
              </w:rPr>
            </w:pPr>
            <w:r>
              <w:rPr>
                <w:rFonts w:ascii="Calibri" w:hAnsi="Calibri" w:cs="Calibri"/>
                <w:color w:val="000000"/>
                <w:sz w:val="20"/>
                <w:szCs w:val="20"/>
              </w:rPr>
              <w:t>26.20%</w:t>
            </w:r>
          </w:p>
        </w:tc>
        <w:tc>
          <w:tcPr>
            <w:tcW w:w="1360" w:type="dxa"/>
            <w:tcBorders>
              <w:top w:val="nil"/>
              <w:left w:val="single" w:sz="4" w:space="0" w:color="5B9BD5"/>
              <w:bottom w:val="nil"/>
              <w:right w:val="single" w:sz="4" w:space="0" w:color="5B9BD5"/>
            </w:tcBorders>
            <w:shd w:val="clear" w:color="auto" w:fill="auto"/>
            <w:vAlign w:val="bottom"/>
            <w:hideMark/>
          </w:tcPr>
          <w:p w:rsidR="00F720EE" w:rsidRDefault="00F720EE" w:rsidP="00E94F2B">
            <w:pPr>
              <w:jc w:val="right"/>
              <w:rPr>
                <w:rFonts w:ascii="Calibri" w:hAnsi="Calibri" w:cs="Calibri"/>
                <w:color w:val="000000"/>
                <w:sz w:val="20"/>
                <w:szCs w:val="20"/>
              </w:rPr>
            </w:pPr>
            <w:r>
              <w:rPr>
                <w:rFonts w:ascii="Calibri" w:hAnsi="Calibri" w:cs="Calibri"/>
                <w:color w:val="000000"/>
                <w:sz w:val="20"/>
                <w:szCs w:val="20"/>
              </w:rPr>
              <w:t>40</w:t>
            </w:r>
          </w:p>
        </w:tc>
        <w:tc>
          <w:tcPr>
            <w:tcW w:w="1105" w:type="dxa"/>
            <w:tcBorders>
              <w:top w:val="nil"/>
              <w:left w:val="nil"/>
              <w:bottom w:val="nil"/>
              <w:right w:val="single" w:sz="4" w:space="0" w:color="5B9BD5"/>
            </w:tcBorders>
            <w:shd w:val="clear" w:color="auto" w:fill="auto"/>
            <w:vAlign w:val="bottom"/>
            <w:hideMark/>
          </w:tcPr>
          <w:p w:rsidR="00F720EE" w:rsidRDefault="00F720EE" w:rsidP="00E94F2B">
            <w:pPr>
              <w:jc w:val="right"/>
              <w:rPr>
                <w:rFonts w:ascii="Calibri" w:hAnsi="Calibri" w:cs="Calibri"/>
                <w:color w:val="000000"/>
                <w:sz w:val="20"/>
                <w:szCs w:val="20"/>
              </w:rPr>
            </w:pPr>
            <w:r>
              <w:rPr>
                <w:rFonts w:ascii="Calibri" w:hAnsi="Calibri" w:cs="Calibri"/>
                <w:color w:val="000000"/>
                <w:sz w:val="20"/>
                <w:szCs w:val="20"/>
              </w:rPr>
              <w:t>25%</w:t>
            </w:r>
          </w:p>
        </w:tc>
      </w:tr>
      <w:tr w:rsidR="00F720EE" w:rsidTr="00F720EE">
        <w:trPr>
          <w:trHeight w:val="282"/>
          <w:jc w:val="center"/>
        </w:trPr>
        <w:tc>
          <w:tcPr>
            <w:tcW w:w="3960" w:type="dxa"/>
            <w:tcBorders>
              <w:top w:val="single" w:sz="4" w:space="0" w:color="5B9BD5"/>
              <w:left w:val="single" w:sz="4" w:space="0" w:color="5B9BD5"/>
              <w:bottom w:val="single" w:sz="4" w:space="0" w:color="5B9BD5"/>
              <w:right w:val="nil"/>
            </w:tcBorders>
            <w:shd w:val="clear" w:color="auto" w:fill="auto"/>
            <w:vAlign w:val="bottom"/>
            <w:hideMark/>
          </w:tcPr>
          <w:p w:rsidR="00F720EE" w:rsidRDefault="00F720EE" w:rsidP="00E94F2B">
            <w:pPr>
              <w:rPr>
                <w:rFonts w:ascii="Calibri" w:hAnsi="Calibri" w:cs="Calibri"/>
                <w:color w:val="000000"/>
                <w:sz w:val="20"/>
                <w:szCs w:val="20"/>
              </w:rPr>
            </w:pPr>
            <w:r>
              <w:rPr>
                <w:rFonts w:ascii="Calibri" w:hAnsi="Calibri" w:cs="Calibri"/>
                <w:color w:val="000000"/>
                <w:sz w:val="20"/>
                <w:szCs w:val="20"/>
              </w:rPr>
              <w:t xml:space="preserve">Duhan Prodhim Vendi </w:t>
            </w:r>
          </w:p>
        </w:tc>
        <w:tc>
          <w:tcPr>
            <w:tcW w:w="1120" w:type="dxa"/>
            <w:tcBorders>
              <w:top w:val="single" w:sz="4" w:space="0" w:color="5B9BD5"/>
              <w:left w:val="single" w:sz="4" w:space="0" w:color="5B9BD5"/>
              <w:bottom w:val="single" w:sz="4" w:space="0" w:color="5B9BD5"/>
              <w:right w:val="single" w:sz="4" w:space="0" w:color="5B9BD5"/>
            </w:tcBorders>
            <w:shd w:val="clear" w:color="auto" w:fill="auto"/>
            <w:vAlign w:val="bottom"/>
            <w:hideMark/>
          </w:tcPr>
          <w:p w:rsidR="00F720EE" w:rsidRDefault="00F720EE" w:rsidP="00E94F2B">
            <w:pPr>
              <w:jc w:val="center"/>
              <w:rPr>
                <w:rFonts w:ascii="Calibri" w:hAnsi="Calibri" w:cs="Calibri"/>
                <w:i/>
                <w:iCs/>
                <w:color w:val="000000"/>
                <w:sz w:val="20"/>
                <w:szCs w:val="20"/>
              </w:rPr>
            </w:pPr>
            <w:r>
              <w:rPr>
                <w:rFonts w:ascii="Calibri" w:hAnsi="Calibri" w:cs="Calibri"/>
                <w:i/>
                <w:iCs/>
                <w:color w:val="000000"/>
                <w:sz w:val="20"/>
                <w:szCs w:val="20"/>
              </w:rPr>
              <w:t xml:space="preserve">Ton </w:t>
            </w:r>
          </w:p>
        </w:tc>
        <w:tc>
          <w:tcPr>
            <w:tcW w:w="1100" w:type="dxa"/>
            <w:tcBorders>
              <w:top w:val="single" w:sz="4" w:space="0" w:color="5B9BD5"/>
              <w:left w:val="nil"/>
              <w:bottom w:val="single" w:sz="4" w:space="0" w:color="5B9BD5"/>
              <w:right w:val="single" w:sz="4" w:space="0" w:color="5B9BD5"/>
            </w:tcBorders>
            <w:shd w:val="clear" w:color="auto" w:fill="auto"/>
            <w:vAlign w:val="bottom"/>
            <w:hideMark/>
          </w:tcPr>
          <w:p w:rsidR="00F720EE" w:rsidRDefault="00F720EE" w:rsidP="00E94F2B">
            <w:pPr>
              <w:jc w:val="right"/>
              <w:rPr>
                <w:rFonts w:ascii="Calibri" w:hAnsi="Calibri" w:cs="Calibri"/>
                <w:color w:val="000000"/>
                <w:sz w:val="20"/>
                <w:szCs w:val="20"/>
              </w:rPr>
            </w:pPr>
            <w:r>
              <w:rPr>
                <w:rFonts w:ascii="Calibri" w:hAnsi="Calibri" w:cs="Calibri"/>
                <w:color w:val="000000"/>
                <w:sz w:val="20"/>
                <w:szCs w:val="20"/>
              </w:rPr>
              <w:t>5</w:t>
            </w:r>
          </w:p>
        </w:tc>
        <w:tc>
          <w:tcPr>
            <w:tcW w:w="1260" w:type="dxa"/>
            <w:tcBorders>
              <w:top w:val="single" w:sz="4" w:space="0" w:color="5B9BD5"/>
              <w:left w:val="nil"/>
              <w:bottom w:val="single" w:sz="4" w:space="0" w:color="5B9BD5"/>
              <w:right w:val="nil"/>
            </w:tcBorders>
            <w:shd w:val="clear" w:color="auto" w:fill="auto"/>
            <w:vAlign w:val="bottom"/>
            <w:hideMark/>
          </w:tcPr>
          <w:p w:rsidR="00F720EE" w:rsidRDefault="00F720EE" w:rsidP="00E94F2B">
            <w:pPr>
              <w:jc w:val="right"/>
              <w:rPr>
                <w:rFonts w:ascii="Calibri" w:hAnsi="Calibri" w:cs="Calibri"/>
                <w:color w:val="000000"/>
                <w:sz w:val="20"/>
                <w:szCs w:val="20"/>
              </w:rPr>
            </w:pPr>
            <w:r>
              <w:rPr>
                <w:rFonts w:ascii="Calibri" w:hAnsi="Calibri" w:cs="Calibri"/>
                <w:color w:val="000000"/>
                <w:sz w:val="20"/>
                <w:szCs w:val="20"/>
              </w:rPr>
              <w:t>51.70%</w:t>
            </w:r>
          </w:p>
        </w:tc>
        <w:tc>
          <w:tcPr>
            <w:tcW w:w="1360" w:type="dxa"/>
            <w:tcBorders>
              <w:top w:val="single" w:sz="4" w:space="0" w:color="5B9BD5"/>
              <w:left w:val="single" w:sz="4" w:space="0" w:color="5B9BD5"/>
              <w:bottom w:val="single" w:sz="4" w:space="0" w:color="5B9BD5"/>
              <w:right w:val="single" w:sz="4" w:space="0" w:color="5B9BD5"/>
            </w:tcBorders>
            <w:shd w:val="clear" w:color="auto" w:fill="auto"/>
            <w:vAlign w:val="bottom"/>
            <w:hideMark/>
          </w:tcPr>
          <w:p w:rsidR="00F720EE" w:rsidRDefault="00F720EE" w:rsidP="00E94F2B">
            <w:pPr>
              <w:jc w:val="right"/>
              <w:rPr>
                <w:rFonts w:ascii="Calibri" w:hAnsi="Calibri" w:cs="Calibri"/>
                <w:color w:val="000000"/>
                <w:sz w:val="20"/>
                <w:szCs w:val="20"/>
              </w:rPr>
            </w:pPr>
            <w:r>
              <w:rPr>
                <w:rFonts w:ascii="Calibri" w:hAnsi="Calibri" w:cs="Calibri"/>
                <w:color w:val="000000"/>
                <w:sz w:val="20"/>
                <w:szCs w:val="20"/>
              </w:rPr>
              <w:t>20</w:t>
            </w:r>
          </w:p>
        </w:tc>
        <w:tc>
          <w:tcPr>
            <w:tcW w:w="1105" w:type="dxa"/>
            <w:tcBorders>
              <w:top w:val="single" w:sz="4" w:space="0" w:color="5B9BD5"/>
              <w:left w:val="nil"/>
              <w:bottom w:val="single" w:sz="4" w:space="0" w:color="5B9BD5"/>
              <w:right w:val="single" w:sz="4" w:space="0" w:color="5B9BD5"/>
            </w:tcBorders>
            <w:shd w:val="clear" w:color="auto" w:fill="auto"/>
            <w:vAlign w:val="bottom"/>
            <w:hideMark/>
          </w:tcPr>
          <w:p w:rsidR="00F720EE" w:rsidRDefault="00F720EE" w:rsidP="00E94F2B">
            <w:pPr>
              <w:jc w:val="right"/>
              <w:rPr>
                <w:rFonts w:ascii="Calibri" w:hAnsi="Calibri" w:cs="Calibri"/>
                <w:color w:val="000000"/>
                <w:sz w:val="20"/>
                <w:szCs w:val="20"/>
              </w:rPr>
            </w:pPr>
            <w:r>
              <w:rPr>
                <w:rFonts w:ascii="Calibri" w:hAnsi="Calibri" w:cs="Calibri"/>
                <w:color w:val="000000"/>
                <w:sz w:val="20"/>
                <w:szCs w:val="20"/>
              </w:rPr>
              <w:t>82.50%</w:t>
            </w:r>
          </w:p>
        </w:tc>
      </w:tr>
      <w:tr w:rsidR="00F720EE" w:rsidTr="00F720EE">
        <w:trPr>
          <w:trHeight w:val="282"/>
          <w:jc w:val="center"/>
        </w:trPr>
        <w:tc>
          <w:tcPr>
            <w:tcW w:w="3960" w:type="dxa"/>
            <w:tcBorders>
              <w:top w:val="nil"/>
              <w:left w:val="single" w:sz="4" w:space="0" w:color="5B9BD5"/>
              <w:bottom w:val="nil"/>
              <w:right w:val="nil"/>
            </w:tcBorders>
            <w:shd w:val="clear" w:color="auto" w:fill="auto"/>
            <w:vAlign w:val="bottom"/>
            <w:hideMark/>
          </w:tcPr>
          <w:p w:rsidR="00F720EE" w:rsidRDefault="00F720EE" w:rsidP="00E94F2B">
            <w:pPr>
              <w:rPr>
                <w:rFonts w:ascii="Calibri" w:hAnsi="Calibri" w:cs="Calibri"/>
                <w:color w:val="000000"/>
                <w:sz w:val="20"/>
                <w:szCs w:val="20"/>
              </w:rPr>
            </w:pPr>
            <w:r>
              <w:rPr>
                <w:rFonts w:ascii="Calibri" w:hAnsi="Calibri" w:cs="Calibri"/>
                <w:color w:val="000000"/>
                <w:sz w:val="20"/>
                <w:szCs w:val="20"/>
              </w:rPr>
              <w:t xml:space="preserve">Gaz i Lëngët </w:t>
            </w:r>
          </w:p>
        </w:tc>
        <w:tc>
          <w:tcPr>
            <w:tcW w:w="1120" w:type="dxa"/>
            <w:tcBorders>
              <w:top w:val="nil"/>
              <w:left w:val="single" w:sz="4" w:space="0" w:color="5B9BD5"/>
              <w:bottom w:val="nil"/>
              <w:right w:val="single" w:sz="4" w:space="0" w:color="5B9BD5"/>
            </w:tcBorders>
            <w:shd w:val="clear" w:color="auto" w:fill="auto"/>
            <w:vAlign w:val="bottom"/>
            <w:hideMark/>
          </w:tcPr>
          <w:p w:rsidR="00F720EE" w:rsidRDefault="00F720EE" w:rsidP="00E94F2B">
            <w:pPr>
              <w:jc w:val="center"/>
              <w:rPr>
                <w:rFonts w:ascii="Calibri" w:hAnsi="Calibri" w:cs="Calibri"/>
                <w:i/>
                <w:iCs/>
                <w:color w:val="000000"/>
                <w:sz w:val="20"/>
                <w:szCs w:val="20"/>
              </w:rPr>
            </w:pPr>
            <w:r>
              <w:rPr>
                <w:rFonts w:ascii="Calibri" w:hAnsi="Calibri" w:cs="Calibri"/>
                <w:i/>
                <w:iCs/>
                <w:color w:val="000000"/>
                <w:sz w:val="20"/>
                <w:szCs w:val="20"/>
              </w:rPr>
              <w:t xml:space="preserve">Ton </w:t>
            </w:r>
          </w:p>
        </w:tc>
        <w:tc>
          <w:tcPr>
            <w:tcW w:w="1100" w:type="dxa"/>
            <w:tcBorders>
              <w:top w:val="nil"/>
              <w:left w:val="nil"/>
              <w:bottom w:val="nil"/>
              <w:right w:val="single" w:sz="4" w:space="0" w:color="5B9BD5"/>
            </w:tcBorders>
            <w:shd w:val="clear" w:color="auto" w:fill="auto"/>
            <w:vAlign w:val="bottom"/>
            <w:hideMark/>
          </w:tcPr>
          <w:p w:rsidR="00F720EE" w:rsidRDefault="00F720EE" w:rsidP="00E94F2B">
            <w:pPr>
              <w:jc w:val="right"/>
              <w:rPr>
                <w:rFonts w:ascii="Calibri" w:hAnsi="Calibri" w:cs="Calibri"/>
                <w:color w:val="000000"/>
                <w:sz w:val="20"/>
                <w:szCs w:val="20"/>
              </w:rPr>
            </w:pPr>
            <w:r>
              <w:rPr>
                <w:rFonts w:ascii="Calibri" w:hAnsi="Calibri" w:cs="Calibri"/>
                <w:color w:val="000000"/>
                <w:sz w:val="20"/>
                <w:szCs w:val="20"/>
              </w:rPr>
              <w:t>308</w:t>
            </w:r>
          </w:p>
        </w:tc>
        <w:tc>
          <w:tcPr>
            <w:tcW w:w="1260" w:type="dxa"/>
            <w:tcBorders>
              <w:top w:val="nil"/>
              <w:left w:val="nil"/>
              <w:bottom w:val="nil"/>
              <w:right w:val="nil"/>
            </w:tcBorders>
            <w:shd w:val="clear" w:color="auto" w:fill="auto"/>
            <w:vAlign w:val="bottom"/>
            <w:hideMark/>
          </w:tcPr>
          <w:p w:rsidR="00F720EE" w:rsidRDefault="00F720EE" w:rsidP="00E94F2B">
            <w:pPr>
              <w:jc w:val="right"/>
              <w:rPr>
                <w:rFonts w:ascii="Calibri" w:hAnsi="Calibri" w:cs="Calibri"/>
                <w:color w:val="000000"/>
                <w:sz w:val="20"/>
                <w:szCs w:val="20"/>
              </w:rPr>
            </w:pPr>
            <w:r>
              <w:rPr>
                <w:rFonts w:ascii="Calibri" w:hAnsi="Calibri" w:cs="Calibri"/>
                <w:color w:val="000000"/>
                <w:sz w:val="20"/>
                <w:szCs w:val="20"/>
              </w:rPr>
              <w:t>0.60%</w:t>
            </w:r>
          </w:p>
        </w:tc>
        <w:tc>
          <w:tcPr>
            <w:tcW w:w="1360" w:type="dxa"/>
            <w:tcBorders>
              <w:top w:val="nil"/>
              <w:left w:val="single" w:sz="4" w:space="0" w:color="5B9BD5"/>
              <w:bottom w:val="nil"/>
              <w:right w:val="single" w:sz="4" w:space="0" w:color="5B9BD5"/>
            </w:tcBorders>
            <w:shd w:val="clear" w:color="auto" w:fill="auto"/>
            <w:vAlign w:val="bottom"/>
            <w:hideMark/>
          </w:tcPr>
          <w:p w:rsidR="00F720EE" w:rsidRDefault="00F720EE" w:rsidP="00E94F2B">
            <w:pPr>
              <w:jc w:val="right"/>
              <w:rPr>
                <w:rFonts w:ascii="Calibri" w:hAnsi="Calibri" w:cs="Calibri"/>
                <w:color w:val="000000"/>
                <w:sz w:val="20"/>
                <w:szCs w:val="20"/>
              </w:rPr>
            </w:pPr>
            <w:r>
              <w:rPr>
                <w:rFonts w:ascii="Calibri" w:hAnsi="Calibri" w:cs="Calibri"/>
                <w:color w:val="000000"/>
                <w:sz w:val="20"/>
                <w:szCs w:val="20"/>
              </w:rPr>
              <w:t>7</w:t>
            </w:r>
          </w:p>
        </w:tc>
        <w:tc>
          <w:tcPr>
            <w:tcW w:w="1105" w:type="dxa"/>
            <w:tcBorders>
              <w:top w:val="nil"/>
              <w:left w:val="nil"/>
              <w:bottom w:val="nil"/>
              <w:right w:val="single" w:sz="4" w:space="0" w:color="5B9BD5"/>
            </w:tcBorders>
            <w:shd w:val="clear" w:color="auto" w:fill="auto"/>
            <w:vAlign w:val="bottom"/>
            <w:hideMark/>
          </w:tcPr>
          <w:p w:rsidR="00F720EE" w:rsidRDefault="00F720EE" w:rsidP="00E94F2B">
            <w:pPr>
              <w:jc w:val="right"/>
              <w:rPr>
                <w:rFonts w:ascii="Calibri" w:hAnsi="Calibri" w:cs="Calibri"/>
                <w:color w:val="000000"/>
                <w:sz w:val="20"/>
                <w:szCs w:val="20"/>
              </w:rPr>
            </w:pPr>
            <w:r>
              <w:rPr>
                <w:rFonts w:ascii="Calibri" w:hAnsi="Calibri" w:cs="Calibri"/>
                <w:color w:val="000000"/>
                <w:sz w:val="20"/>
                <w:szCs w:val="20"/>
              </w:rPr>
              <w:t>2.90%</w:t>
            </w:r>
          </w:p>
        </w:tc>
      </w:tr>
      <w:tr w:rsidR="00F720EE" w:rsidTr="00F720EE">
        <w:trPr>
          <w:trHeight w:val="282"/>
          <w:jc w:val="center"/>
        </w:trPr>
        <w:tc>
          <w:tcPr>
            <w:tcW w:w="3960" w:type="dxa"/>
            <w:tcBorders>
              <w:top w:val="single" w:sz="4" w:space="0" w:color="5B9BD5"/>
              <w:left w:val="single" w:sz="4" w:space="0" w:color="5B9BD5"/>
              <w:bottom w:val="single" w:sz="4" w:space="0" w:color="5B9BD5"/>
              <w:right w:val="nil"/>
            </w:tcBorders>
            <w:shd w:val="clear" w:color="auto" w:fill="auto"/>
            <w:vAlign w:val="bottom"/>
            <w:hideMark/>
          </w:tcPr>
          <w:p w:rsidR="00F720EE" w:rsidRDefault="00F720EE" w:rsidP="00E94F2B">
            <w:pPr>
              <w:rPr>
                <w:rFonts w:ascii="Calibri" w:hAnsi="Calibri" w:cs="Calibri"/>
                <w:color w:val="000000"/>
                <w:sz w:val="20"/>
                <w:szCs w:val="20"/>
              </w:rPr>
            </w:pPr>
            <w:r>
              <w:rPr>
                <w:rFonts w:ascii="Calibri" w:hAnsi="Calibri" w:cs="Calibri"/>
                <w:color w:val="000000"/>
                <w:sz w:val="20"/>
                <w:szCs w:val="20"/>
              </w:rPr>
              <w:t>Kimikatet inorganike kimike</w:t>
            </w:r>
          </w:p>
        </w:tc>
        <w:tc>
          <w:tcPr>
            <w:tcW w:w="1120" w:type="dxa"/>
            <w:tcBorders>
              <w:top w:val="single" w:sz="4" w:space="0" w:color="5B9BD5"/>
              <w:left w:val="single" w:sz="4" w:space="0" w:color="5B9BD5"/>
              <w:bottom w:val="single" w:sz="4" w:space="0" w:color="5B9BD5"/>
              <w:right w:val="single" w:sz="4" w:space="0" w:color="5B9BD5"/>
            </w:tcBorders>
            <w:shd w:val="clear" w:color="auto" w:fill="auto"/>
            <w:vAlign w:val="bottom"/>
            <w:hideMark/>
          </w:tcPr>
          <w:p w:rsidR="00F720EE" w:rsidRDefault="00F720EE" w:rsidP="00E94F2B">
            <w:pPr>
              <w:jc w:val="center"/>
              <w:rPr>
                <w:rFonts w:ascii="Calibri" w:hAnsi="Calibri" w:cs="Calibri"/>
                <w:i/>
                <w:iCs/>
                <w:color w:val="000000"/>
                <w:sz w:val="20"/>
                <w:szCs w:val="20"/>
              </w:rPr>
            </w:pPr>
            <w:r>
              <w:rPr>
                <w:rFonts w:ascii="Calibri" w:hAnsi="Calibri" w:cs="Calibri"/>
                <w:i/>
                <w:iCs/>
                <w:color w:val="000000"/>
                <w:sz w:val="20"/>
                <w:szCs w:val="20"/>
              </w:rPr>
              <w:t xml:space="preserve">Ton </w:t>
            </w:r>
          </w:p>
        </w:tc>
        <w:tc>
          <w:tcPr>
            <w:tcW w:w="1100" w:type="dxa"/>
            <w:tcBorders>
              <w:top w:val="single" w:sz="4" w:space="0" w:color="5B9BD5"/>
              <w:left w:val="nil"/>
              <w:bottom w:val="single" w:sz="4" w:space="0" w:color="5B9BD5"/>
              <w:right w:val="single" w:sz="4" w:space="0" w:color="5B9BD5"/>
            </w:tcBorders>
            <w:shd w:val="clear" w:color="auto" w:fill="auto"/>
            <w:vAlign w:val="bottom"/>
            <w:hideMark/>
          </w:tcPr>
          <w:p w:rsidR="00F720EE" w:rsidRDefault="00F720EE" w:rsidP="00E94F2B">
            <w:pPr>
              <w:jc w:val="right"/>
              <w:rPr>
                <w:rFonts w:ascii="Calibri" w:hAnsi="Calibri" w:cs="Calibri"/>
                <w:color w:val="000000"/>
                <w:sz w:val="20"/>
                <w:szCs w:val="20"/>
              </w:rPr>
            </w:pPr>
            <w:r>
              <w:rPr>
                <w:rFonts w:ascii="Calibri" w:hAnsi="Calibri" w:cs="Calibri"/>
                <w:color w:val="000000"/>
                <w:sz w:val="20"/>
                <w:szCs w:val="20"/>
              </w:rPr>
              <w:t>-2,856</w:t>
            </w:r>
          </w:p>
        </w:tc>
        <w:tc>
          <w:tcPr>
            <w:tcW w:w="1260" w:type="dxa"/>
            <w:tcBorders>
              <w:top w:val="single" w:sz="4" w:space="0" w:color="5B9BD5"/>
              <w:left w:val="nil"/>
              <w:bottom w:val="single" w:sz="4" w:space="0" w:color="5B9BD5"/>
              <w:right w:val="nil"/>
            </w:tcBorders>
            <w:shd w:val="clear" w:color="auto" w:fill="auto"/>
            <w:vAlign w:val="bottom"/>
            <w:hideMark/>
          </w:tcPr>
          <w:p w:rsidR="00F720EE" w:rsidRDefault="00F720EE" w:rsidP="00E94F2B">
            <w:pPr>
              <w:jc w:val="right"/>
              <w:rPr>
                <w:rFonts w:ascii="Calibri" w:hAnsi="Calibri" w:cs="Calibri"/>
                <w:color w:val="000000"/>
                <w:sz w:val="20"/>
                <w:szCs w:val="20"/>
              </w:rPr>
            </w:pPr>
            <w:r>
              <w:rPr>
                <w:rFonts w:ascii="Calibri" w:hAnsi="Calibri" w:cs="Calibri"/>
                <w:color w:val="000000"/>
                <w:sz w:val="20"/>
                <w:szCs w:val="20"/>
              </w:rPr>
              <w:t>-6.60%</w:t>
            </w:r>
          </w:p>
        </w:tc>
        <w:tc>
          <w:tcPr>
            <w:tcW w:w="1360" w:type="dxa"/>
            <w:tcBorders>
              <w:top w:val="single" w:sz="4" w:space="0" w:color="5B9BD5"/>
              <w:left w:val="single" w:sz="4" w:space="0" w:color="5B9BD5"/>
              <w:bottom w:val="single" w:sz="4" w:space="0" w:color="5B9BD5"/>
              <w:right w:val="single" w:sz="4" w:space="0" w:color="5B9BD5"/>
            </w:tcBorders>
            <w:shd w:val="clear" w:color="auto" w:fill="auto"/>
            <w:vAlign w:val="bottom"/>
            <w:hideMark/>
          </w:tcPr>
          <w:p w:rsidR="00F720EE" w:rsidRDefault="00F720EE" w:rsidP="00E94F2B">
            <w:pPr>
              <w:jc w:val="right"/>
              <w:rPr>
                <w:rFonts w:ascii="Calibri" w:hAnsi="Calibri" w:cs="Calibri"/>
                <w:color w:val="000000"/>
                <w:sz w:val="20"/>
                <w:szCs w:val="20"/>
              </w:rPr>
            </w:pPr>
            <w:r>
              <w:rPr>
                <w:rFonts w:ascii="Calibri" w:hAnsi="Calibri" w:cs="Calibri"/>
                <w:color w:val="000000"/>
                <w:sz w:val="20"/>
                <w:szCs w:val="20"/>
              </w:rPr>
              <w:t>1</w:t>
            </w:r>
          </w:p>
        </w:tc>
        <w:tc>
          <w:tcPr>
            <w:tcW w:w="1105" w:type="dxa"/>
            <w:tcBorders>
              <w:top w:val="single" w:sz="4" w:space="0" w:color="5B9BD5"/>
              <w:left w:val="nil"/>
              <w:bottom w:val="single" w:sz="4" w:space="0" w:color="5B9BD5"/>
              <w:right w:val="single" w:sz="4" w:space="0" w:color="5B9BD5"/>
            </w:tcBorders>
            <w:shd w:val="clear" w:color="auto" w:fill="auto"/>
            <w:vAlign w:val="bottom"/>
            <w:hideMark/>
          </w:tcPr>
          <w:p w:rsidR="00F720EE" w:rsidRDefault="00F720EE" w:rsidP="00E94F2B">
            <w:pPr>
              <w:jc w:val="right"/>
              <w:rPr>
                <w:rFonts w:ascii="Calibri" w:hAnsi="Calibri" w:cs="Calibri"/>
                <w:color w:val="000000"/>
                <w:sz w:val="20"/>
                <w:szCs w:val="20"/>
              </w:rPr>
            </w:pPr>
            <w:r>
              <w:rPr>
                <w:rFonts w:ascii="Calibri" w:hAnsi="Calibri" w:cs="Calibri"/>
                <w:color w:val="000000"/>
                <w:sz w:val="20"/>
                <w:szCs w:val="20"/>
              </w:rPr>
              <w:t>118.70%</w:t>
            </w:r>
          </w:p>
        </w:tc>
      </w:tr>
      <w:tr w:rsidR="00F720EE" w:rsidTr="00F720EE">
        <w:trPr>
          <w:trHeight w:val="282"/>
          <w:jc w:val="center"/>
        </w:trPr>
        <w:tc>
          <w:tcPr>
            <w:tcW w:w="3960" w:type="dxa"/>
            <w:tcBorders>
              <w:top w:val="nil"/>
              <w:left w:val="single" w:sz="4" w:space="0" w:color="5B9BD5"/>
              <w:bottom w:val="single" w:sz="4" w:space="0" w:color="5B9BD5"/>
              <w:right w:val="nil"/>
            </w:tcBorders>
            <w:shd w:val="clear" w:color="auto" w:fill="auto"/>
            <w:vAlign w:val="bottom"/>
            <w:hideMark/>
          </w:tcPr>
          <w:p w:rsidR="00F720EE" w:rsidRDefault="00F720EE" w:rsidP="00E94F2B">
            <w:pPr>
              <w:rPr>
                <w:rFonts w:ascii="Calibri" w:hAnsi="Calibri" w:cs="Calibri"/>
                <w:b/>
                <w:bCs/>
                <w:color w:val="000000"/>
                <w:sz w:val="20"/>
                <w:szCs w:val="20"/>
              </w:rPr>
            </w:pPr>
            <w:r>
              <w:rPr>
                <w:rFonts w:ascii="Calibri" w:hAnsi="Calibri" w:cs="Calibri"/>
                <w:b/>
                <w:bCs/>
                <w:color w:val="000000"/>
                <w:sz w:val="20"/>
                <w:szCs w:val="20"/>
              </w:rPr>
              <w:t>Efekti</w:t>
            </w:r>
          </w:p>
        </w:tc>
        <w:tc>
          <w:tcPr>
            <w:tcW w:w="1120" w:type="dxa"/>
            <w:tcBorders>
              <w:top w:val="nil"/>
              <w:left w:val="nil"/>
              <w:bottom w:val="single" w:sz="4" w:space="0" w:color="5B9BD5"/>
              <w:right w:val="nil"/>
            </w:tcBorders>
            <w:shd w:val="clear" w:color="auto" w:fill="auto"/>
            <w:vAlign w:val="bottom"/>
            <w:hideMark/>
          </w:tcPr>
          <w:p w:rsidR="00F720EE" w:rsidRDefault="00F720EE" w:rsidP="00E94F2B">
            <w:pPr>
              <w:rPr>
                <w:rFonts w:ascii="Calibri" w:hAnsi="Calibri" w:cs="Calibri"/>
                <w:b/>
                <w:bCs/>
                <w:i/>
                <w:iCs/>
                <w:color w:val="000000"/>
                <w:sz w:val="20"/>
                <w:szCs w:val="20"/>
              </w:rPr>
            </w:pPr>
            <w:r>
              <w:rPr>
                <w:rFonts w:ascii="Calibri" w:hAnsi="Calibri" w:cs="Calibri"/>
                <w:b/>
                <w:bCs/>
                <w:i/>
                <w:iCs/>
                <w:color w:val="000000"/>
                <w:sz w:val="20"/>
                <w:szCs w:val="20"/>
              </w:rPr>
              <w:t> </w:t>
            </w:r>
          </w:p>
        </w:tc>
        <w:tc>
          <w:tcPr>
            <w:tcW w:w="1100" w:type="dxa"/>
            <w:tcBorders>
              <w:top w:val="nil"/>
              <w:left w:val="nil"/>
              <w:bottom w:val="single" w:sz="4" w:space="0" w:color="5B9BD5"/>
              <w:right w:val="nil"/>
            </w:tcBorders>
            <w:shd w:val="clear" w:color="auto" w:fill="auto"/>
            <w:vAlign w:val="bottom"/>
            <w:hideMark/>
          </w:tcPr>
          <w:p w:rsidR="00F720EE" w:rsidRDefault="00F720EE" w:rsidP="00E94F2B">
            <w:pPr>
              <w:jc w:val="center"/>
              <w:rPr>
                <w:rFonts w:ascii="Calibri" w:hAnsi="Calibri" w:cs="Calibri"/>
                <w:color w:val="000000"/>
                <w:sz w:val="20"/>
                <w:szCs w:val="20"/>
              </w:rPr>
            </w:pPr>
            <w:r>
              <w:rPr>
                <w:rFonts w:ascii="Calibri" w:hAnsi="Calibri" w:cs="Calibri"/>
                <w:color w:val="000000"/>
                <w:sz w:val="20"/>
                <w:szCs w:val="20"/>
              </w:rPr>
              <w:t> </w:t>
            </w:r>
          </w:p>
        </w:tc>
        <w:tc>
          <w:tcPr>
            <w:tcW w:w="1260" w:type="dxa"/>
            <w:tcBorders>
              <w:top w:val="nil"/>
              <w:left w:val="nil"/>
              <w:bottom w:val="single" w:sz="4" w:space="0" w:color="5B9BD5"/>
              <w:right w:val="nil"/>
            </w:tcBorders>
            <w:shd w:val="clear" w:color="auto" w:fill="auto"/>
            <w:vAlign w:val="bottom"/>
            <w:hideMark/>
          </w:tcPr>
          <w:p w:rsidR="00F720EE" w:rsidRDefault="00F720EE" w:rsidP="00E94F2B">
            <w:pPr>
              <w:jc w:val="center"/>
              <w:rPr>
                <w:rFonts w:ascii="Calibri" w:hAnsi="Calibri" w:cs="Calibri"/>
                <w:color w:val="000000"/>
                <w:sz w:val="20"/>
                <w:szCs w:val="20"/>
              </w:rPr>
            </w:pPr>
            <w:r>
              <w:rPr>
                <w:rFonts w:ascii="Calibri" w:hAnsi="Calibri" w:cs="Calibri"/>
                <w:color w:val="000000"/>
                <w:sz w:val="20"/>
                <w:szCs w:val="20"/>
              </w:rPr>
              <w:t> </w:t>
            </w:r>
          </w:p>
        </w:tc>
        <w:tc>
          <w:tcPr>
            <w:tcW w:w="1360" w:type="dxa"/>
            <w:tcBorders>
              <w:top w:val="nil"/>
              <w:left w:val="single" w:sz="4" w:space="0" w:color="5B9BD5"/>
              <w:bottom w:val="single" w:sz="4" w:space="0" w:color="5B9BD5"/>
              <w:right w:val="single" w:sz="4" w:space="0" w:color="5B9BD5"/>
            </w:tcBorders>
            <w:shd w:val="clear" w:color="auto" w:fill="auto"/>
            <w:vAlign w:val="bottom"/>
            <w:hideMark/>
          </w:tcPr>
          <w:p w:rsidR="00F720EE" w:rsidRDefault="00F720EE" w:rsidP="00E94F2B">
            <w:pPr>
              <w:jc w:val="right"/>
              <w:rPr>
                <w:rFonts w:ascii="Calibri" w:hAnsi="Calibri" w:cs="Calibri"/>
                <w:b/>
                <w:bCs/>
                <w:color w:val="000000"/>
                <w:sz w:val="20"/>
                <w:szCs w:val="20"/>
              </w:rPr>
            </w:pPr>
            <w:r>
              <w:rPr>
                <w:rFonts w:ascii="Calibri" w:hAnsi="Calibri" w:cs="Calibri"/>
                <w:b/>
                <w:bCs/>
                <w:color w:val="000000"/>
                <w:sz w:val="20"/>
                <w:szCs w:val="20"/>
              </w:rPr>
              <w:t>68</w:t>
            </w:r>
          </w:p>
        </w:tc>
        <w:tc>
          <w:tcPr>
            <w:tcW w:w="1105" w:type="dxa"/>
            <w:tcBorders>
              <w:top w:val="nil"/>
              <w:left w:val="nil"/>
              <w:bottom w:val="single" w:sz="4" w:space="0" w:color="5B9BD5"/>
              <w:right w:val="single" w:sz="4" w:space="0" w:color="5B9BD5"/>
            </w:tcBorders>
            <w:shd w:val="clear" w:color="auto" w:fill="auto"/>
            <w:vAlign w:val="bottom"/>
            <w:hideMark/>
          </w:tcPr>
          <w:p w:rsidR="00F720EE" w:rsidRDefault="00F720EE" w:rsidP="00E94F2B">
            <w:pPr>
              <w:jc w:val="center"/>
              <w:rPr>
                <w:rFonts w:ascii="Calibri" w:hAnsi="Calibri" w:cs="Calibri"/>
                <w:color w:val="000000"/>
                <w:sz w:val="20"/>
                <w:szCs w:val="20"/>
              </w:rPr>
            </w:pPr>
            <w:r>
              <w:rPr>
                <w:rFonts w:ascii="Calibri" w:hAnsi="Calibri" w:cs="Calibri"/>
                <w:color w:val="000000"/>
                <w:sz w:val="20"/>
                <w:szCs w:val="20"/>
              </w:rPr>
              <w:t> </w:t>
            </w:r>
          </w:p>
        </w:tc>
      </w:tr>
    </w:tbl>
    <w:p w:rsidR="00F720EE" w:rsidRDefault="00F720EE" w:rsidP="00F720EE">
      <w:pPr>
        <w:spacing w:line="276" w:lineRule="auto"/>
        <w:jc w:val="both"/>
        <w:rPr>
          <w:rFonts w:asciiTheme="minorHAnsi" w:hAnsiTheme="minorHAnsi"/>
          <w:sz w:val="20"/>
          <w:szCs w:val="20"/>
          <w:lang w:val="sq-AL"/>
        </w:rPr>
      </w:pPr>
      <w:r w:rsidRPr="004E355C">
        <w:rPr>
          <w:rFonts w:asciiTheme="minorHAnsi" w:hAnsiTheme="minorHAnsi"/>
          <w:sz w:val="20"/>
          <w:szCs w:val="20"/>
          <w:lang w:val="sq-AL"/>
        </w:rPr>
        <w:t>Burimi: Ministria e Financave dhe Ekonomisë (201</w:t>
      </w:r>
      <w:r>
        <w:rPr>
          <w:rFonts w:asciiTheme="minorHAnsi" w:hAnsiTheme="minorHAnsi"/>
          <w:sz w:val="20"/>
          <w:szCs w:val="20"/>
          <w:lang w:val="sq-AL"/>
        </w:rPr>
        <w:t>20</w:t>
      </w:r>
      <w:r w:rsidRPr="004E355C">
        <w:rPr>
          <w:rFonts w:asciiTheme="minorHAnsi" w:hAnsiTheme="minorHAnsi"/>
          <w:sz w:val="20"/>
          <w:szCs w:val="20"/>
          <w:lang w:val="sq-AL"/>
        </w:rPr>
        <w:t>)</w:t>
      </w:r>
    </w:p>
    <w:p w:rsidR="00F720EE" w:rsidRPr="00F720EE" w:rsidRDefault="00F720EE" w:rsidP="00F720EE">
      <w:pPr>
        <w:spacing w:line="276" w:lineRule="auto"/>
        <w:jc w:val="both"/>
        <w:rPr>
          <w:rFonts w:asciiTheme="minorHAnsi" w:hAnsiTheme="minorHAnsi"/>
          <w:sz w:val="16"/>
          <w:szCs w:val="20"/>
          <w:lang w:val="sq-AL"/>
        </w:rPr>
      </w:pPr>
    </w:p>
    <w:p w:rsidR="00F720EE" w:rsidRPr="004E355C" w:rsidRDefault="00F720EE" w:rsidP="00F720EE">
      <w:pPr>
        <w:pStyle w:val="Caption"/>
        <w:keepNext/>
        <w:spacing w:after="0"/>
        <w:jc w:val="both"/>
        <w:rPr>
          <w:rFonts w:asciiTheme="minorHAnsi" w:hAnsiTheme="minorHAnsi"/>
          <w:b w:val="0"/>
          <w:bCs w:val="0"/>
          <w:i/>
          <w:color w:val="auto"/>
          <w:sz w:val="8"/>
          <w:szCs w:val="8"/>
          <w:lang w:val="sq-AL"/>
        </w:rPr>
      </w:pPr>
    </w:p>
    <w:p w:rsidR="00F720EE" w:rsidRDefault="00F720EE" w:rsidP="00F720EE">
      <w:pPr>
        <w:pStyle w:val="Caption"/>
        <w:keepNext/>
        <w:spacing w:after="0"/>
        <w:jc w:val="both"/>
        <w:rPr>
          <w:rFonts w:asciiTheme="minorHAnsi" w:hAnsiTheme="minorHAnsi"/>
          <w:b w:val="0"/>
          <w:bCs w:val="0"/>
          <w:i/>
          <w:color w:val="auto"/>
          <w:sz w:val="24"/>
          <w:szCs w:val="24"/>
          <w:lang w:val="sq-AL"/>
        </w:rPr>
      </w:pPr>
      <w:bookmarkStart w:id="22" w:name="_Toc12449190"/>
      <w:bookmarkStart w:id="23" w:name="_Toc44404405"/>
      <w:r w:rsidRPr="004E355C">
        <w:rPr>
          <w:rFonts w:asciiTheme="minorHAnsi" w:hAnsiTheme="minorHAnsi"/>
          <w:b w:val="0"/>
          <w:bCs w:val="0"/>
          <w:i/>
          <w:color w:val="auto"/>
          <w:sz w:val="24"/>
          <w:szCs w:val="24"/>
          <w:lang w:val="sq-AL"/>
        </w:rPr>
        <w:t xml:space="preserve">Tabela </w:t>
      </w:r>
      <w:r w:rsidRPr="004E355C">
        <w:rPr>
          <w:rFonts w:asciiTheme="minorHAnsi" w:hAnsiTheme="minorHAnsi"/>
          <w:b w:val="0"/>
          <w:bCs w:val="0"/>
          <w:i/>
          <w:color w:val="auto"/>
          <w:sz w:val="24"/>
          <w:szCs w:val="24"/>
          <w:lang w:val="sq-AL"/>
        </w:rPr>
        <w:fldChar w:fldCharType="begin"/>
      </w:r>
      <w:r w:rsidRPr="004E355C">
        <w:rPr>
          <w:rFonts w:asciiTheme="minorHAnsi" w:hAnsiTheme="minorHAnsi"/>
          <w:b w:val="0"/>
          <w:bCs w:val="0"/>
          <w:i/>
          <w:color w:val="auto"/>
          <w:sz w:val="24"/>
          <w:szCs w:val="24"/>
          <w:lang w:val="sq-AL"/>
        </w:rPr>
        <w:instrText xml:space="preserve"> SEQ Tabela \* ARABIC </w:instrText>
      </w:r>
      <w:r w:rsidRPr="004E355C">
        <w:rPr>
          <w:rFonts w:asciiTheme="minorHAnsi" w:hAnsiTheme="minorHAnsi"/>
          <w:b w:val="0"/>
          <w:bCs w:val="0"/>
          <w:i/>
          <w:color w:val="auto"/>
          <w:sz w:val="24"/>
          <w:szCs w:val="24"/>
          <w:lang w:val="sq-AL"/>
        </w:rPr>
        <w:fldChar w:fldCharType="separate"/>
      </w:r>
      <w:r w:rsidR="00C342E2">
        <w:rPr>
          <w:rFonts w:asciiTheme="minorHAnsi" w:hAnsiTheme="minorHAnsi"/>
          <w:b w:val="0"/>
          <w:bCs w:val="0"/>
          <w:i/>
          <w:noProof/>
          <w:color w:val="auto"/>
          <w:sz w:val="24"/>
          <w:szCs w:val="24"/>
          <w:lang w:val="sq-AL"/>
        </w:rPr>
        <w:t>4</w:t>
      </w:r>
      <w:r w:rsidRPr="004E355C">
        <w:rPr>
          <w:rFonts w:asciiTheme="minorHAnsi" w:hAnsiTheme="minorHAnsi"/>
          <w:b w:val="0"/>
          <w:bCs w:val="0"/>
          <w:i/>
          <w:color w:val="auto"/>
          <w:sz w:val="24"/>
          <w:szCs w:val="24"/>
          <w:lang w:val="sq-AL"/>
        </w:rPr>
        <w:fldChar w:fldCharType="end"/>
      </w:r>
      <w:r w:rsidRPr="004E355C">
        <w:rPr>
          <w:rFonts w:asciiTheme="minorHAnsi" w:hAnsiTheme="minorHAnsi"/>
          <w:b w:val="0"/>
          <w:bCs w:val="0"/>
          <w:i/>
          <w:color w:val="auto"/>
          <w:sz w:val="24"/>
          <w:szCs w:val="24"/>
          <w:lang w:val="sq-AL"/>
        </w:rPr>
        <w:t>: Kontribuesit negativë në të ardhurat nga Akciza/ Diferencat Janar-Maj 20</w:t>
      </w:r>
      <w:r>
        <w:rPr>
          <w:rFonts w:asciiTheme="minorHAnsi" w:hAnsiTheme="minorHAnsi"/>
          <w:b w:val="0"/>
          <w:bCs w:val="0"/>
          <w:i/>
          <w:color w:val="auto"/>
          <w:sz w:val="24"/>
          <w:szCs w:val="24"/>
          <w:lang w:val="sq-AL"/>
        </w:rPr>
        <w:t>20</w:t>
      </w:r>
      <w:r w:rsidRPr="004E355C">
        <w:rPr>
          <w:rFonts w:asciiTheme="minorHAnsi" w:hAnsiTheme="minorHAnsi"/>
          <w:b w:val="0"/>
          <w:bCs w:val="0"/>
          <w:i/>
          <w:color w:val="auto"/>
          <w:sz w:val="24"/>
          <w:szCs w:val="24"/>
          <w:lang w:val="sq-AL"/>
        </w:rPr>
        <w:t>/201</w:t>
      </w:r>
      <w:bookmarkEnd w:id="22"/>
      <w:r>
        <w:rPr>
          <w:rFonts w:asciiTheme="minorHAnsi" w:hAnsiTheme="minorHAnsi"/>
          <w:b w:val="0"/>
          <w:bCs w:val="0"/>
          <w:i/>
          <w:color w:val="auto"/>
          <w:sz w:val="24"/>
          <w:szCs w:val="24"/>
          <w:lang w:val="sq-AL"/>
        </w:rPr>
        <w:t>9</w:t>
      </w:r>
      <w:bookmarkEnd w:id="23"/>
    </w:p>
    <w:tbl>
      <w:tblPr>
        <w:tblW w:w="9913" w:type="dxa"/>
        <w:jc w:val="center"/>
        <w:tblLook w:val="04A0" w:firstRow="1" w:lastRow="0" w:firstColumn="1" w:lastColumn="0" w:noHBand="0" w:noVBand="1"/>
      </w:tblPr>
      <w:tblGrid>
        <w:gridCol w:w="3960"/>
        <w:gridCol w:w="1120"/>
        <w:gridCol w:w="1100"/>
        <w:gridCol w:w="1260"/>
        <w:gridCol w:w="1360"/>
        <w:gridCol w:w="1113"/>
      </w:tblGrid>
      <w:tr w:rsidR="00F720EE" w:rsidTr="00F720EE">
        <w:trPr>
          <w:trHeight w:val="300"/>
          <w:jc w:val="center"/>
        </w:trPr>
        <w:tc>
          <w:tcPr>
            <w:tcW w:w="9913" w:type="dxa"/>
            <w:gridSpan w:val="6"/>
            <w:tcBorders>
              <w:top w:val="nil"/>
              <w:left w:val="single" w:sz="4" w:space="0" w:color="5B9BD5"/>
              <w:bottom w:val="nil"/>
              <w:right w:val="single" w:sz="4" w:space="0" w:color="5B9BD5"/>
            </w:tcBorders>
            <w:shd w:val="clear" w:color="000000" w:fill="BDD7EE"/>
            <w:vAlign w:val="bottom"/>
            <w:hideMark/>
          </w:tcPr>
          <w:p w:rsidR="00F720EE" w:rsidRDefault="00F720EE" w:rsidP="00E94F2B">
            <w:pPr>
              <w:jc w:val="center"/>
              <w:rPr>
                <w:rFonts w:ascii="Calibri" w:hAnsi="Calibri" w:cs="Calibri"/>
                <w:b/>
                <w:bCs/>
                <w:color w:val="000000"/>
                <w:sz w:val="20"/>
                <w:szCs w:val="20"/>
              </w:rPr>
            </w:pPr>
            <w:r>
              <w:rPr>
                <w:rFonts w:ascii="Calibri" w:hAnsi="Calibri" w:cs="Calibri"/>
                <w:b/>
                <w:bCs/>
                <w:color w:val="000000"/>
                <w:sz w:val="20"/>
                <w:szCs w:val="20"/>
              </w:rPr>
              <w:t xml:space="preserve">Produktet me kontribut </w:t>
            </w:r>
            <w:r w:rsidRPr="006F6DC1">
              <w:rPr>
                <w:rFonts w:ascii="Calibri" w:hAnsi="Calibri" w:cs="Calibri"/>
                <w:b/>
                <w:bCs/>
                <w:sz w:val="20"/>
                <w:szCs w:val="20"/>
              </w:rPr>
              <w:t>Negativ</w:t>
            </w:r>
          </w:p>
        </w:tc>
      </w:tr>
      <w:tr w:rsidR="00F720EE" w:rsidTr="00F720EE">
        <w:trPr>
          <w:trHeight w:val="300"/>
          <w:jc w:val="center"/>
        </w:trPr>
        <w:tc>
          <w:tcPr>
            <w:tcW w:w="3960" w:type="dxa"/>
            <w:tcBorders>
              <w:top w:val="nil"/>
              <w:left w:val="single" w:sz="4" w:space="0" w:color="5B9BD5"/>
              <w:bottom w:val="nil"/>
              <w:right w:val="nil"/>
            </w:tcBorders>
            <w:shd w:val="clear" w:color="000000" w:fill="BDD7EE"/>
            <w:vAlign w:val="bottom"/>
            <w:hideMark/>
          </w:tcPr>
          <w:p w:rsidR="00F720EE" w:rsidRDefault="00F720EE" w:rsidP="00E94F2B">
            <w:pPr>
              <w:rPr>
                <w:rFonts w:ascii="Calibri" w:hAnsi="Calibri" w:cs="Calibri"/>
                <w:b/>
                <w:bCs/>
                <w:color w:val="000000"/>
                <w:sz w:val="20"/>
                <w:szCs w:val="20"/>
              </w:rPr>
            </w:pPr>
            <w:r>
              <w:rPr>
                <w:rFonts w:ascii="Calibri" w:hAnsi="Calibri" w:cs="Calibri"/>
                <w:b/>
                <w:bCs/>
                <w:color w:val="000000"/>
                <w:sz w:val="20"/>
                <w:szCs w:val="20"/>
              </w:rPr>
              <w:t> </w:t>
            </w:r>
          </w:p>
        </w:tc>
        <w:tc>
          <w:tcPr>
            <w:tcW w:w="1120" w:type="dxa"/>
            <w:tcBorders>
              <w:top w:val="nil"/>
              <w:left w:val="nil"/>
              <w:bottom w:val="nil"/>
              <w:right w:val="nil"/>
            </w:tcBorders>
            <w:shd w:val="clear" w:color="000000" w:fill="BDD7EE"/>
            <w:vAlign w:val="bottom"/>
            <w:hideMark/>
          </w:tcPr>
          <w:p w:rsidR="00F720EE" w:rsidRDefault="00F720EE" w:rsidP="00E94F2B">
            <w:pPr>
              <w:jc w:val="center"/>
              <w:rPr>
                <w:rFonts w:ascii="Calibri" w:hAnsi="Calibri" w:cs="Calibri"/>
                <w:b/>
                <w:bCs/>
                <w:color w:val="000000"/>
                <w:sz w:val="20"/>
                <w:szCs w:val="20"/>
              </w:rPr>
            </w:pPr>
            <w:r>
              <w:rPr>
                <w:rFonts w:ascii="Calibri" w:hAnsi="Calibri" w:cs="Calibri"/>
                <w:b/>
                <w:bCs/>
                <w:color w:val="000000"/>
                <w:sz w:val="20"/>
                <w:szCs w:val="20"/>
              </w:rPr>
              <w:t>Njësia</w:t>
            </w:r>
          </w:p>
        </w:tc>
        <w:tc>
          <w:tcPr>
            <w:tcW w:w="1100" w:type="dxa"/>
            <w:tcBorders>
              <w:top w:val="nil"/>
              <w:left w:val="nil"/>
              <w:bottom w:val="nil"/>
              <w:right w:val="nil"/>
            </w:tcBorders>
            <w:shd w:val="clear" w:color="000000" w:fill="BDD7EE"/>
            <w:vAlign w:val="bottom"/>
            <w:hideMark/>
          </w:tcPr>
          <w:p w:rsidR="00F720EE" w:rsidRDefault="00F720EE" w:rsidP="00E94F2B">
            <w:pPr>
              <w:jc w:val="center"/>
              <w:rPr>
                <w:rFonts w:ascii="Calibri" w:hAnsi="Calibri" w:cs="Calibri"/>
                <w:b/>
                <w:bCs/>
                <w:color w:val="000000"/>
                <w:sz w:val="20"/>
                <w:szCs w:val="20"/>
              </w:rPr>
            </w:pPr>
            <w:r>
              <w:rPr>
                <w:rFonts w:ascii="Calibri" w:hAnsi="Calibri" w:cs="Calibri"/>
                <w:b/>
                <w:bCs/>
                <w:color w:val="000000"/>
                <w:sz w:val="20"/>
                <w:szCs w:val="20"/>
              </w:rPr>
              <w:t xml:space="preserve">Sasi </w:t>
            </w:r>
          </w:p>
        </w:tc>
        <w:tc>
          <w:tcPr>
            <w:tcW w:w="1260" w:type="dxa"/>
            <w:tcBorders>
              <w:top w:val="nil"/>
              <w:left w:val="nil"/>
              <w:bottom w:val="nil"/>
              <w:right w:val="nil"/>
            </w:tcBorders>
            <w:shd w:val="clear" w:color="000000" w:fill="BDD7EE"/>
            <w:vAlign w:val="bottom"/>
            <w:hideMark/>
          </w:tcPr>
          <w:p w:rsidR="00F720EE" w:rsidRDefault="00F720EE" w:rsidP="00E94F2B">
            <w:pPr>
              <w:jc w:val="center"/>
              <w:rPr>
                <w:rFonts w:ascii="Calibri" w:hAnsi="Calibri" w:cs="Calibri"/>
                <w:b/>
                <w:bCs/>
                <w:color w:val="000000"/>
                <w:sz w:val="20"/>
                <w:szCs w:val="20"/>
              </w:rPr>
            </w:pPr>
            <w:r>
              <w:rPr>
                <w:rFonts w:ascii="Calibri" w:hAnsi="Calibri" w:cs="Calibri"/>
                <w:b/>
                <w:bCs/>
                <w:color w:val="000000"/>
                <w:sz w:val="20"/>
                <w:szCs w:val="20"/>
              </w:rPr>
              <w:t>%</w:t>
            </w:r>
          </w:p>
        </w:tc>
        <w:tc>
          <w:tcPr>
            <w:tcW w:w="1360" w:type="dxa"/>
            <w:tcBorders>
              <w:top w:val="nil"/>
              <w:left w:val="nil"/>
              <w:bottom w:val="nil"/>
              <w:right w:val="nil"/>
            </w:tcBorders>
            <w:shd w:val="clear" w:color="000000" w:fill="BDD7EE"/>
            <w:vAlign w:val="bottom"/>
            <w:hideMark/>
          </w:tcPr>
          <w:p w:rsidR="00F720EE" w:rsidRDefault="00F720EE" w:rsidP="00E94F2B">
            <w:pPr>
              <w:jc w:val="center"/>
              <w:rPr>
                <w:rFonts w:ascii="Calibri" w:hAnsi="Calibri" w:cs="Calibri"/>
                <w:b/>
                <w:bCs/>
                <w:color w:val="000000"/>
                <w:sz w:val="20"/>
                <w:szCs w:val="20"/>
              </w:rPr>
            </w:pPr>
            <w:r>
              <w:rPr>
                <w:rFonts w:ascii="Calibri" w:hAnsi="Calibri" w:cs="Calibri"/>
                <w:b/>
                <w:bCs/>
                <w:color w:val="000000"/>
                <w:sz w:val="20"/>
                <w:szCs w:val="20"/>
              </w:rPr>
              <w:t>Akciza</w:t>
            </w:r>
          </w:p>
        </w:tc>
        <w:tc>
          <w:tcPr>
            <w:tcW w:w="1113" w:type="dxa"/>
            <w:tcBorders>
              <w:top w:val="nil"/>
              <w:left w:val="nil"/>
              <w:bottom w:val="nil"/>
              <w:right w:val="single" w:sz="4" w:space="0" w:color="5B9BD5"/>
            </w:tcBorders>
            <w:shd w:val="clear" w:color="000000" w:fill="BDD7EE"/>
            <w:vAlign w:val="bottom"/>
            <w:hideMark/>
          </w:tcPr>
          <w:p w:rsidR="00F720EE" w:rsidRDefault="00F720EE" w:rsidP="00E94F2B">
            <w:pPr>
              <w:jc w:val="center"/>
              <w:rPr>
                <w:rFonts w:ascii="Calibri" w:hAnsi="Calibri" w:cs="Calibri"/>
                <w:b/>
                <w:bCs/>
                <w:color w:val="000000"/>
                <w:sz w:val="20"/>
                <w:szCs w:val="20"/>
              </w:rPr>
            </w:pPr>
            <w:r>
              <w:rPr>
                <w:rFonts w:ascii="Calibri" w:hAnsi="Calibri" w:cs="Calibri"/>
                <w:b/>
                <w:bCs/>
                <w:color w:val="000000"/>
                <w:sz w:val="20"/>
                <w:szCs w:val="20"/>
              </w:rPr>
              <w:t>%</w:t>
            </w:r>
          </w:p>
        </w:tc>
      </w:tr>
      <w:tr w:rsidR="00F720EE" w:rsidTr="00F720EE">
        <w:trPr>
          <w:trHeight w:val="282"/>
          <w:jc w:val="center"/>
        </w:trPr>
        <w:tc>
          <w:tcPr>
            <w:tcW w:w="3960" w:type="dxa"/>
            <w:tcBorders>
              <w:top w:val="single" w:sz="4" w:space="0" w:color="5B9BD5"/>
              <w:left w:val="single" w:sz="4" w:space="0" w:color="5B9BD5"/>
              <w:bottom w:val="single" w:sz="4" w:space="0" w:color="5B9BD5"/>
              <w:right w:val="nil"/>
            </w:tcBorders>
            <w:shd w:val="clear" w:color="auto" w:fill="auto"/>
            <w:vAlign w:val="bottom"/>
            <w:hideMark/>
          </w:tcPr>
          <w:p w:rsidR="00F720EE" w:rsidRDefault="00F720EE" w:rsidP="00E94F2B">
            <w:pPr>
              <w:rPr>
                <w:rFonts w:ascii="Calibri" w:hAnsi="Calibri" w:cs="Calibri"/>
                <w:color w:val="000000"/>
                <w:sz w:val="20"/>
                <w:szCs w:val="20"/>
              </w:rPr>
            </w:pPr>
            <w:r>
              <w:rPr>
                <w:rFonts w:ascii="Calibri" w:hAnsi="Calibri" w:cs="Calibri"/>
                <w:color w:val="000000"/>
                <w:sz w:val="20"/>
                <w:szCs w:val="20"/>
              </w:rPr>
              <w:t xml:space="preserve">Karburante Prodhim Vendi </w:t>
            </w:r>
          </w:p>
        </w:tc>
        <w:tc>
          <w:tcPr>
            <w:tcW w:w="1120" w:type="dxa"/>
            <w:tcBorders>
              <w:top w:val="single" w:sz="4" w:space="0" w:color="5B9BD5"/>
              <w:left w:val="single" w:sz="4" w:space="0" w:color="5B9BD5"/>
              <w:bottom w:val="single" w:sz="4" w:space="0" w:color="5B9BD5"/>
              <w:right w:val="single" w:sz="4" w:space="0" w:color="5B9BD5"/>
            </w:tcBorders>
            <w:shd w:val="clear" w:color="auto" w:fill="auto"/>
            <w:vAlign w:val="bottom"/>
            <w:hideMark/>
          </w:tcPr>
          <w:p w:rsidR="00F720EE" w:rsidRDefault="00F720EE" w:rsidP="00E94F2B">
            <w:pPr>
              <w:jc w:val="center"/>
              <w:rPr>
                <w:rFonts w:ascii="Calibri" w:hAnsi="Calibri" w:cs="Calibri"/>
                <w:i/>
                <w:iCs/>
                <w:color w:val="000000"/>
                <w:sz w:val="20"/>
                <w:szCs w:val="20"/>
              </w:rPr>
            </w:pPr>
            <w:r>
              <w:rPr>
                <w:rFonts w:ascii="Calibri" w:hAnsi="Calibri" w:cs="Calibri"/>
                <w:i/>
                <w:iCs/>
                <w:color w:val="000000"/>
                <w:sz w:val="20"/>
                <w:szCs w:val="20"/>
              </w:rPr>
              <w:t xml:space="preserve">Ton </w:t>
            </w:r>
          </w:p>
        </w:tc>
        <w:tc>
          <w:tcPr>
            <w:tcW w:w="1100" w:type="dxa"/>
            <w:tcBorders>
              <w:top w:val="single" w:sz="4" w:space="0" w:color="5B9BD5"/>
              <w:left w:val="nil"/>
              <w:bottom w:val="single" w:sz="4" w:space="0" w:color="5B9BD5"/>
              <w:right w:val="single" w:sz="4" w:space="0" w:color="5B9BD5"/>
            </w:tcBorders>
            <w:shd w:val="clear" w:color="auto" w:fill="auto"/>
            <w:vAlign w:val="bottom"/>
            <w:hideMark/>
          </w:tcPr>
          <w:p w:rsidR="00F720EE" w:rsidRDefault="00F720EE" w:rsidP="00E94F2B">
            <w:pPr>
              <w:jc w:val="right"/>
              <w:rPr>
                <w:rFonts w:ascii="Calibri" w:hAnsi="Calibri" w:cs="Calibri"/>
                <w:color w:val="000000"/>
                <w:sz w:val="20"/>
                <w:szCs w:val="20"/>
              </w:rPr>
            </w:pPr>
            <w:r>
              <w:rPr>
                <w:rFonts w:ascii="Calibri" w:hAnsi="Calibri" w:cs="Calibri"/>
                <w:color w:val="000000"/>
                <w:sz w:val="20"/>
                <w:szCs w:val="20"/>
              </w:rPr>
              <w:t>-36,542</w:t>
            </w:r>
          </w:p>
        </w:tc>
        <w:tc>
          <w:tcPr>
            <w:tcW w:w="1260" w:type="dxa"/>
            <w:tcBorders>
              <w:top w:val="single" w:sz="4" w:space="0" w:color="5B9BD5"/>
              <w:left w:val="nil"/>
              <w:bottom w:val="single" w:sz="4" w:space="0" w:color="5B9BD5"/>
              <w:right w:val="nil"/>
            </w:tcBorders>
            <w:shd w:val="clear" w:color="auto" w:fill="auto"/>
            <w:vAlign w:val="bottom"/>
            <w:hideMark/>
          </w:tcPr>
          <w:p w:rsidR="00F720EE" w:rsidRDefault="00F720EE" w:rsidP="00E94F2B">
            <w:pPr>
              <w:jc w:val="right"/>
              <w:rPr>
                <w:rFonts w:ascii="Calibri" w:hAnsi="Calibri" w:cs="Calibri"/>
                <w:color w:val="000000"/>
                <w:sz w:val="20"/>
                <w:szCs w:val="20"/>
              </w:rPr>
            </w:pPr>
            <w:r>
              <w:rPr>
                <w:rFonts w:ascii="Calibri" w:hAnsi="Calibri" w:cs="Calibri"/>
                <w:color w:val="000000"/>
                <w:sz w:val="20"/>
                <w:szCs w:val="20"/>
              </w:rPr>
              <w:t>-89.5%</w:t>
            </w:r>
          </w:p>
        </w:tc>
        <w:tc>
          <w:tcPr>
            <w:tcW w:w="1360" w:type="dxa"/>
            <w:tcBorders>
              <w:top w:val="single" w:sz="4" w:space="0" w:color="5B9BD5"/>
              <w:left w:val="single" w:sz="4" w:space="0" w:color="5B9BD5"/>
              <w:bottom w:val="single" w:sz="4" w:space="0" w:color="5B9BD5"/>
              <w:right w:val="single" w:sz="4" w:space="0" w:color="5B9BD5"/>
            </w:tcBorders>
            <w:shd w:val="clear" w:color="auto" w:fill="auto"/>
            <w:vAlign w:val="bottom"/>
            <w:hideMark/>
          </w:tcPr>
          <w:p w:rsidR="00F720EE" w:rsidRDefault="00F720EE" w:rsidP="00E94F2B">
            <w:pPr>
              <w:jc w:val="right"/>
              <w:rPr>
                <w:rFonts w:ascii="Calibri" w:hAnsi="Calibri" w:cs="Calibri"/>
                <w:color w:val="000000"/>
                <w:sz w:val="20"/>
                <w:szCs w:val="20"/>
              </w:rPr>
            </w:pPr>
            <w:r>
              <w:rPr>
                <w:rFonts w:ascii="Calibri" w:hAnsi="Calibri" w:cs="Calibri"/>
                <w:color w:val="000000"/>
                <w:sz w:val="20"/>
                <w:szCs w:val="20"/>
              </w:rPr>
              <w:t>-1,496</w:t>
            </w:r>
          </w:p>
        </w:tc>
        <w:tc>
          <w:tcPr>
            <w:tcW w:w="1113" w:type="dxa"/>
            <w:tcBorders>
              <w:top w:val="single" w:sz="4" w:space="0" w:color="5B9BD5"/>
              <w:left w:val="nil"/>
              <w:bottom w:val="single" w:sz="4" w:space="0" w:color="5B9BD5"/>
              <w:right w:val="single" w:sz="4" w:space="0" w:color="5B9BD5"/>
            </w:tcBorders>
            <w:shd w:val="clear" w:color="auto" w:fill="auto"/>
            <w:vAlign w:val="bottom"/>
            <w:hideMark/>
          </w:tcPr>
          <w:p w:rsidR="00F720EE" w:rsidRDefault="00F720EE" w:rsidP="00E94F2B">
            <w:pPr>
              <w:jc w:val="right"/>
              <w:rPr>
                <w:rFonts w:ascii="Calibri" w:hAnsi="Calibri" w:cs="Calibri"/>
                <w:color w:val="000000"/>
                <w:sz w:val="20"/>
                <w:szCs w:val="20"/>
              </w:rPr>
            </w:pPr>
            <w:r>
              <w:rPr>
                <w:rFonts w:ascii="Calibri" w:hAnsi="Calibri" w:cs="Calibri"/>
                <w:color w:val="000000"/>
                <w:sz w:val="20"/>
                <w:szCs w:val="20"/>
              </w:rPr>
              <w:t>-90.4%</w:t>
            </w:r>
          </w:p>
        </w:tc>
      </w:tr>
      <w:tr w:rsidR="00F720EE" w:rsidTr="00F720EE">
        <w:trPr>
          <w:trHeight w:val="282"/>
          <w:jc w:val="center"/>
        </w:trPr>
        <w:tc>
          <w:tcPr>
            <w:tcW w:w="3960" w:type="dxa"/>
            <w:tcBorders>
              <w:top w:val="nil"/>
              <w:left w:val="single" w:sz="4" w:space="0" w:color="5B9BD5"/>
              <w:bottom w:val="nil"/>
              <w:right w:val="nil"/>
            </w:tcBorders>
            <w:shd w:val="clear" w:color="auto" w:fill="auto"/>
            <w:vAlign w:val="bottom"/>
            <w:hideMark/>
          </w:tcPr>
          <w:p w:rsidR="00F720EE" w:rsidRDefault="00F720EE" w:rsidP="00E94F2B">
            <w:pPr>
              <w:rPr>
                <w:rFonts w:ascii="Calibri" w:hAnsi="Calibri" w:cs="Calibri"/>
                <w:color w:val="000000"/>
                <w:sz w:val="20"/>
                <w:szCs w:val="20"/>
              </w:rPr>
            </w:pPr>
            <w:r>
              <w:rPr>
                <w:rFonts w:ascii="Calibri" w:hAnsi="Calibri" w:cs="Calibri"/>
                <w:color w:val="000000"/>
                <w:sz w:val="20"/>
                <w:szCs w:val="20"/>
              </w:rPr>
              <w:t xml:space="preserve">Karburante Import </w:t>
            </w:r>
          </w:p>
        </w:tc>
        <w:tc>
          <w:tcPr>
            <w:tcW w:w="1120" w:type="dxa"/>
            <w:tcBorders>
              <w:top w:val="nil"/>
              <w:left w:val="single" w:sz="4" w:space="0" w:color="5B9BD5"/>
              <w:bottom w:val="nil"/>
              <w:right w:val="single" w:sz="4" w:space="0" w:color="5B9BD5"/>
            </w:tcBorders>
            <w:shd w:val="clear" w:color="auto" w:fill="auto"/>
            <w:vAlign w:val="bottom"/>
            <w:hideMark/>
          </w:tcPr>
          <w:p w:rsidR="00F720EE" w:rsidRDefault="00F720EE" w:rsidP="00E94F2B">
            <w:pPr>
              <w:jc w:val="center"/>
              <w:rPr>
                <w:rFonts w:ascii="Calibri" w:hAnsi="Calibri" w:cs="Calibri"/>
                <w:i/>
                <w:iCs/>
                <w:color w:val="000000"/>
                <w:sz w:val="20"/>
                <w:szCs w:val="20"/>
              </w:rPr>
            </w:pPr>
            <w:r>
              <w:rPr>
                <w:rFonts w:ascii="Calibri" w:hAnsi="Calibri" w:cs="Calibri"/>
                <w:i/>
                <w:iCs/>
                <w:color w:val="000000"/>
                <w:sz w:val="20"/>
                <w:szCs w:val="20"/>
              </w:rPr>
              <w:t xml:space="preserve">Ton </w:t>
            </w:r>
          </w:p>
        </w:tc>
        <w:tc>
          <w:tcPr>
            <w:tcW w:w="1100" w:type="dxa"/>
            <w:tcBorders>
              <w:top w:val="nil"/>
              <w:left w:val="nil"/>
              <w:bottom w:val="nil"/>
              <w:right w:val="single" w:sz="4" w:space="0" w:color="5B9BD5"/>
            </w:tcBorders>
            <w:shd w:val="clear" w:color="auto" w:fill="auto"/>
            <w:vAlign w:val="bottom"/>
            <w:hideMark/>
          </w:tcPr>
          <w:p w:rsidR="00F720EE" w:rsidRDefault="00F720EE" w:rsidP="00E94F2B">
            <w:pPr>
              <w:jc w:val="right"/>
              <w:rPr>
                <w:rFonts w:ascii="Calibri" w:hAnsi="Calibri" w:cs="Calibri"/>
                <w:color w:val="000000"/>
                <w:sz w:val="20"/>
                <w:szCs w:val="20"/>
              </w:rPr>
            </w:pPr>
            <w:r>
              <w:rPr>
                <w:rFonts w:ascii="Calibri" w:hAnsi="Calibri" w:cs="Calibri"/>
                <w:color w:val="000000"/>
                <w:sz w:val="20"/>
                <w:szCs w:val="20"/>
              </w:rPr>
              <w:t>1,474</w:t>
            </w:r>
          </w:p>
        </w:tc>
        <w:tc>
          <w:tcPr>
            <w:tcW w:w="1260" w:type="dxa"/>
            <w:tcBorders>
              <w:top w:val="nil"/>
              <w:left w:val="nil"/>
              <w:bottom w:val="nil"/>
              <w:right w:val="nil"/>
            </w:tcBorders>
            <w:shd w:val="clear" w:color="auto" w:fill="auto"/>
            <w:vAlign w:val="bottom"/>
            <w:hideMark/>
          </w:tcPr>
          <w:p w:rsidR="00F720EE" w:rsidRDefault="00F720EE" w:rsidP="00E94F2B">
            <w:pPr>
              <w:jc w:val="right"/>
              <w:rPr>
                <w:rFonts w:ascii="Calibri" w:hAnsi="Calibri" w:cs="Calibri"/>
                <w:color w:val="000000"/>
                <w:sz w:val="20"/>
                <w:szCs w:val="20"/>
              </w:rPr>
            </w:pPr>
            <w:r>
              <w:rPr>
                <w:rFonts w:ascii="Calibri" w:hAnsi="Calibri" w:cs="Calibri"/>
                <w:color w:val="000000"/>
                <w:sz w:val="20"/>
                <w:szCs w:val="20"/>
              </w:rPr>
              <w:t>0.8%</w:t>
            </w:r>
          </w:p>
        </w:tc>
        <w:tc>
          <w:tcPr>
            <w:tcW w:w="1360" w:type="dxa"/>
            <w:tcBorders>
              <w:top w:val="nil"/>
              <w:left w:val="single" w:sz="4" w:space="0" w:color="5B9BD5"/>
              <w:bottom w:val="nil"/>
              <w:right w:val="single" w:sz="4" w:space="0" w:color="5B9BD5"/>
            </w:tcBorders>
            <w:shd w:val="clear" w:color="auto" w:fill="auto"/>
            <w:vAlign w:val="bottom"/>
            <w:hideMark/>
          </w:tcPr>
          <w:p w:rsidR="00F720EE" w:rsidRDefault="00F720EE" w:rsidP="00E94F2B">
            <w:pPr>
              <w:jc w:val="right"/>
              <w:rPr>
                <w:rFonts w:ascii="Calibri" w:hAnsi="Calibri" w:cs="Calibri"/>
                <w:color w:val="000000"/>
                <w:sz w:val="20"/>
                <w:szCs w:val="20"/>
              </w:rPr>
            </w:pPr>
            <w:r>
              <w:rPr>
                <w:rFonts w:ascii="Calibri" w:hAnsi="Calibri" w:cs="Calibri"/>
                <w:color w:val="000000"/>
                <w:sz w:val="20"/>
                <w:szCs w:val="20"/>
              </w:rPr>
              <w:t>-523</w:t>
            </w:r>
          </w:p>
        </w:tc>
        <w:tc>
          <w:tcPr>
            <w:tcW w:w="1113" w:type="dxa"/>
            <w:tcBorders>
              <w:top w:val="nil"/>
              <w:left w:val="nil"/>
              <w:bottom w:val="nil"/>
              <w:right w:val="single" w:sz="4" w:space="0" w:color="5B9BD5"/>
            </w:tcBorders>
            <w:shd w:val="clear" w:color="auto" w:fill="auto"/>
            <w:vAlign w:val="bottom"/>
            <w:hideMark/>
          </w:tcPr>
          <w:p w:rsidR="00F720EE" w:rsidRDefault="00F720EE" w:rsidP="00E94F2B">
            <w:pPr>
              <w:jc w:val="right"/>
              <w:rPr>
                <w:rFonts w:ascii="Calibri" w:hAnsi="Calibri" w:cs="Calibri"/>
                <w:color w:val="000000"/>
                <w:sz w:val="20"/>
                <w:szCs w:val="20"/>
              </w:rPr>
            </w:pPr>
            <w:r>
              <w:rPr>
                <w:rFonts w:ascii="Calibri" w:hAnsi="Calibri" w:cs="Calibri"/>
                <w:color w:val="000000"/>
                <w:sz w:val="20"/>
                <w:szCs w:val="20"/>
              </w:rPr>
              <w:t>-7.0%</w:t>
            </w:r>
          </w:p>
        </w:tc>
      </w:tr>
      <w:tr w:rsidR="00F720EE" w:rsidTr="00F720EE">
        <w:trPr>
          <w:trHeight w:val="282"/>
          <w:jc w:val="center"/>
        </w:trPr>
        <w:tc>
          <w:tcPr>
            <w:tcW w:w="3960" w:type="dxa"/>
            <w:tcBorders>
              <w:top w:val="single" w:sz="4" w:space="0" w:color="5B9BD5"/>
              <w:left w:val="single" w:sz="4" w:space="0" w:color="5B9BD5"/>
              <w:bottom w:val="single" w:sz="4" w:space="0" w:color="5B9BD5"/>
              <w:right w:val="nil"/>
            </w:tcBorders>
            <w:shd w:val="clear" w:color="auto" w:fill="auto"/>
            <w:vAlign w:val="bottom"/>
            <w:hideMark/>
          </w:tcPr>
          <w:p w:rsidR="00F720EE" w:rsidRDefault="00F720EE" w:rsidP="00E94F2B">
            <w:pPr>
              <w:rPr>
                <w:rFonts w:ascii="Calibri" w:hAnsi="Calibri" w:cs="Calibri"/>
                <w:color w:val="000000"/>
                <w:sz w:val="20"/>
                <w:szCs w:val="20"/>
              </w:rPr>
            </w:pPr>
            <w:r>
              <w:rPr>
                <w:rFonts w:ascii="Calibri" w:hAnsi="Calibri" w:cs="Calibri"/>
                <w:color w:val="000000"/>
                <w:sz w:val="20"/>
                <w:szCs w:val="20"/>
              </w:rPr>
              <w:t xml:space="preserve">Cigare </w:t>
            </w:r>
          </w:p>
        </w:tc>
        <w:tc>
          <w:tcPr>
            <w:tcW w:w="1120" w:type="dxa"/>
            <w:tcBorders>
              <w:top w:val="single" w:sz="4" w:space="0" w:color="5B9BD5"/>
              <w:left w:val="single" w:sz="4" w:space="0" w:color="5B9BD5"/>
              <w:bottom w:val="single" w:sz="4" w:space="0" w:color="5B9BD5"/>
              <w:right w:val="single" w:sz="4" w:space="0" w:color="5B9BD5"/>
            </w:tcBorders>
            <w:shd w:val="clear" w:color="auto" w:fill="auto"/>
            <w:vAlign w:val="bottom"/>
            <w:hideMark/>
          </w:tcPr>
          <w:p w:rsidR="00F720EE" w:rsidRDefault="00F720EE" w:rsidP="00E94F2B">
            <w:pPr>
              <w:jc w:val="center"/>
              <w:rPr>
                <w:rFonts w:ascii="Calibri" w:hAnsi="Calibri" w:cs="Calibri"/>
                <w:i/>
                <w:iCs/>
                <w:color w:val="000000"/>
                <w:sz w:val="20"/>
                <w:szCs w:val="20"/>
              </w:rPr>
            </w:pPr>
            <w:r>
              <w:rPr>
                <w:rFonts w:ascii="Calibri" w:hAnsi="Calibri" w:cs="Calibri"/>
                <w:i/>
                <w:iCs/>
                <w:color w:val="000000"/>
                <w:sz w:val="20"/>
                <w:szCs w:val="20"/>
              </w:rPr>
              <w:t>Ton</w:t>
            </w:r>
          </w:p>
        </w:tc>
        <w:tc>
          <w:tcPr>
            <w:tcW w:w="1100" w:type="dxa"/>
            <w:tcBorders>
              <w:top w:val="single" w:sz="4" w:space="0" w:color="5B9BD5"/>
              <w:left w:val="nil"/>
              <w:bottom w:val="single" w:sz="4" w:space="0" w:color="5B9BD5"/>
              <w:right w:val="single" w:sz="4" w:space="0" w:color="5B9BD5"/>
            </w:tcBorders>
            <w:shd w:val="clear" w:color="auto" w:fill="auto"/>
            <w:vAlign w:val="bottom"/>
            <w:hideMark/>
          </w:tcPr>
          <w:p w:rsidR="00F720EE" w:rsidRDefault="00F720EE" w:rsidP="00E94F2B">
            <w:pPr>
              <w:jc w:val="right"/>
              <w:rPr>
                <w:rFonts w:ascii="Calibri" w:hAnsi="Calibri" w:cs="Calibri"/>
                <w:color w:val="000000"/>
                <w:sz w:val="20"/>
                <w:szCs w:val="20"/>
              </w:rPr>
            </w:pPr>
            <w:r>
              <w:rPr>
                <w:rFonts w:ascii="Calibri" w:hAnsi="Calibri" w:cs="Calibri"/>
                <w:color w:val="000000"/>
                <w:sz w:val="20"/>
                <w:szCs w:val="20"/>
              </w:rPr>
              <w:t>-62</w:t>
            </w:r>
          </w:p>
        </w:tc>
        <w:tc>
          <w:tcPr>
            <w:tcW w:w="1260" w:type="dxa"/>
            <w:tcBorders>
              <w:top w:val="single" w:sz="4" w:space="0" w:color="5B9BD5"/>
              <w:left w:val="nil"/>
              <w:bottom w:val="single" w:sz="4" w:space="0" w:color="5B9BD5"/>
              <w:right w:val="nil"/>
            </w:tcBorders>
            <w:shd w:val="clear" w:color="auto" w:fill="auto"/>
            <w:vAlign w:val="bottom"/>
            <w:hideMark/>
          </w:tcPr>
          <w:p w:rsidR="00F720EE" w:rsidRDefault="00F720EE" w:rsidP="00E94F2B">
            <w:pPr>
              <w:jc w:val="right"/>
              <w:rPr>
                <w:rFonts w:ascii="Calibri" w:hAnsi="Calibri" w:cs="Calibri"/>
                <w:color w:val="000000"/>
                <w:sz w:val="20"/>
                <w:szCs w:val="20"/>
              </w:rPr>
            </w:pPr>
            <w:r>
              <w:rPr>
                <w:rFonts w:ascii="Calibri" w:hAnsi="Calibri" w:cs="Calibri"/>
                <w:color w:val="000000"/>
                <w:sz w:val="20"/>
                <w:szCs w:val="20"/>
              </w:rPr>
              <w:t>-5.6%</w:t>
            </w:r>
          </w:p>
        </w:tc>
        <w:tc>
          <w:tcPr>
            <w:tcW w:w="1360" w:type="dxa"/>
            <w:tcBorders>
              <w:top w:val="single" w:sz="4" w:space="0" w:color="5B9BD5"/>
              <w:left w:val="single" w:sz="4" w:space="0" w:color="5B9BD5"/>
              <w:bottom w:val="single" w:sz="4" w:space="0" w:color="5B9BD5"/>
              <w:right w:val="single" w:sz="4" w:space="0" w:color="5B9BD5"/>
            </w:tcBorders>
            <w:shd w:val="clear" w:color="auto" w:fill="auto"/>
            <w:vAlign w:val="bottom"/>
            <w:hideMark/>
          </w:tcPr>
          <w:p w:rsidR="00F720EE" w:rsidRDefault="00F720EE" w:rsidP="00E94F2B">
            <w:pPr>
              <w:jc w:val="right"/>
              <w:rPr>
                <w:rFonts w:ascii="Calibri" w:hAnsi="Calibri" w:cs="Calibri"/>
                <w:color w:val="000000"/>
                <w:sz w:val="20"/>
                <w:szCs w:val="20"/>
              </w:rPr>
            </w:pPr>
            <w:r>
              <w:rPr>
                <w:rFonts w:ascii="Calibri" w:hAnsi="Calibri" w:cs="Calibri"/>
                <w:color w:val="000000"/>
                <w:sz w:val="20"/>
                <w:szCs w:val="20"/>
              </w:rPr>
              <w:t>-317</w:t>
            </w:r>
          </w:p>
        </w:tc>
        <w:tc>
          <w:tcPr>
            <w:tcW w:w="1113" w:type="dxa"/>
            <w:tcBorders>
              <w:top w:val="single" w:sz="4" w:space="0" w:color="5B9BD5"/>
              <w:left w:val="nil"/>
              <w:bottom w:val="single" w:sz="4" w:space="0" w:color="5B9BD5"/>
              <w:right w:val="single" w:sz="4" w:space="0" w:color="5B9BD5"/>
            </w:tcBorders>
            <w:shd w:val="clear" w:color="auto" w:fill="auto"/>
            <w:vAlign w:val="bottom"/>
            <w:hideMark/>
          </w:tcPr>
          <w:p w:rsidR="00F720EE" w:rsidRDefault="00F720EE" w:rsidP="00E94F2B">
            <w:pPr>
              <w:jc w:val="right"/>
              <w:rPr>
                <w:rFonts w:ascii="Calibri" w:hAnsi="Calibri" w:cs="Calibri"/>
                <w:color w:val="000000"/>
                <w:sz w:val="20"/>
                <w:szCs w:val="20"/>
              </w:rPr>
            </w:pPr>
            <w:r>
              <w:rPr>
                <w:rFonts w:ascii="Calibri" w:hAnsi="Calibri" w:cs="Calibri"/>
                <w:color w:val="000000"/>
                <w:sz w:val="20"/>
                <w:szCs w:val="20"/>
              </w:rPr>
              <w:t>-5.2%</w:t>
            </w:r>
          </w:p>
        </w:tc>
      </w:tr>
      <w:tr w:rsidR="00F720EE" w:rsidTr="00F720EE">
        <w:trPr>
          <w:trHeight w:val="282"/>
          <w:jc w:val="center"/>
        </w:trPr>
        <w:tc>
          <w:tcPr>
            <w:tcW w:w="3960" w:type="dxa"/>
            <w:tcBorders>
              <w:top w:val="nil"/>
              <w:left w:val="single" w:sz="4" w:space="0" w:color="5B9BD5"/>
              <w:bottom w:val="nil"/>
              <w:right w:val="nil"/>
            </w:tcBorders>
            <w:shd w:val="clear" w:color="auto" w:fill="auto"/>
            <w:vAlign w:val="bottom"/>
            <w:hideMark/>
          </w:tcPr>
          <w:p w:rsidR="00F720EE" w:rsidRDefault="00F720EE" w:rsidP="00E94F2B">
            <w:pPr>
              <w:rPr>
                <w:rFonts w:ascii="Calibri" w:hAnsi="Calibri" w:cs="Calibri"/>
                <w:color w:val="000000"/>
                <w:sz w:val="20"/>
                <w:szCs w:val="20"/>
              </w:rPr>
            </w:pPr>
            <w:r>
              <w:rPr>
                <w:rFonts w:ascii="Calibri" w:hAnsi="Calibri" w:cs="Calibri"/>
                <w:color w:val="000000"/>
                <w:sz w:val="20"/>
                <w:szCs w:val="20"/>
              </w:rPr>
              <w:t xml:space="preserve">Birrë Importi </w:t>
            </w:r>
          </w:p>
        </w:tc>
        <w:tc>
          <w:tcPr>
            <w:tcW w:w="1120" w:type="dxa"/>
            <w:tcBorders>
              <w:top w:val="nil"/>
              <w:left w:val="single" w:sz="4" w:space="0" w:color="5B9BD5"/>
              <w:bottom w:val="nil"/>
              <w:right w:val="single" w:sz="4" w:space="0" w:color="5B9BD5"/>
            </w:tcBorders>
            <w:shd w:val="clear" w:color="auto" w:fill="auto"/>
            <w:vAlign w:val="bottom"/>
            <w:hideMark/>
          </w:tcPr>
          <w:p w:rsidR="00F720EE" w:rsidRDefault="00F720EE" w:rsidP="00E94F2B">
            <w:pPr>
              <w:jc w:val="center"/>
              <w:rPr>
                <w:rFonts w:ascii="Calibri" w:hAnsi="Calibri" w:cs="Calibri"/>
                <w:i/>
                <w:iCs/>
                <w:color w:val="000000"/>
                <w:sz w:val="20"/>
                <w:szCs w:val="20"/>
              </w:rPr>
            </w:pPr>
            <w:r>
              <w:rPr>
                <w:rFonts w:ascii="Calibri" w:hAnsi="Calibri" w:cs="Calibri"/>
                <w:i/>
                <w:iCs/>
                <w:color w:val="000000"/>
                <w:sz w:val="20"/>
                <w:szCs w:val="20"/>
              </w:rPr>
              <w:t xml:space="preserve">Ton </w:t>
            </w:r>
          </w:p>
        </w:tc>
        <w:tc>
          <w:tcPr>
            <w:tcW w:w="1100" w:type="dxa"/>
            <w:tcBorders>
              <w:top w:val="nil"/>
              <w:left w:val="nil"/>
              <w:bottom w:val="nil"/>
              <w:right w:val="single" w:sz="4" w:space="0" w:color="5B9BD5"/>
            </w:tcBorders>
            <w:shd w:val="clear" w:color="auto" w:fill="auto"/>
            <w:vAlign w:val="bottom"/>
            <w:hideMark/>
          </w:tcPr>
          <w:p w:rsidR="00F720EE" w:rsidRDefault="00F720EE" w:rsidP="00E94F2B">
            <w:pPr>
              <w:jc w:val="right"/>
              <w:rPr>
                <w:rFonts w:ascii="Calibri" w:hAnsi="Calibri" w:cs="Calibri"/>
                <w:color w:val="000000"/>
                <w:sz w:val="20"/>
                <w:szCs w:val="20"/>
              </w:rPr>
            </w:pPr>
            <w:r>
              <w:rPr>
                <w:rFonts w:ascii="Calibri" w:hAnsi="Calibri" w:cs="Calibri"/>
                <w:color w:val="000000"/>
                <w:sz w:val="20"/>
                <w:szCs w:val="20"/>
              </w:rPr>
              <w:t>-2,775</w:t>
            </w:r>
          </w:p>
        </w:tc>
        <w:tc>
          <w:tcPr>
            <w:tcW w:w="1260" w:type="dxa"/>
            <w:tcBorders>
              <w:top w:val="nil"/>
              <w:left w:val="nil"/>
              <w:bottom w:val="nil"/>
              <w:right w:val="nil"/>
            </w:tcBorders>
            <w:shd w:val="clear" w:color="auto" w:fill="auto"/>
            <w:vAlign w:val="bottom"/>
            <w:hideMark/>
          </w:tcPr>
          <w:p w:rsidR="00F720EE" w:rsidRDefault="00F720EE" w:rsidP="00E94F2B">
            <w:pPr>
              <w:jc w:val="right"/>
              <w:rPr>
                <w:rFonts w:ascii="Calibri" w:hAnsi="Calibri" w:cs="Calibri"/>
                <w:color w:val="000000"/>
                <w:sz w:val="20"/>
                <w:szCs w:val="20"/>
              </w:rPr>
            </w:pPr>
            <w:r>
              <w:rPr>
                <w:rFonts w:ascii="Calibri" w:hAnsi="Calibri" w:cs="Calibri"/>
                <w:color w:val="000000"/>
                <w:sz w:val="20"/>
                <w:szCs w:val="20"/>
              </w:rPr>
              <w:t>-22.5%</w:t>
            </w:r>
          </w:p>
        </w:tc>
        <w:tc>
          <w:tcPr>
            <w:tcW w:w="1360" w:type="dxa"/>
            <w:tcBorders>
              <w:top w:val="nil"/>
              <w:left w:val="single" w:sz="4" w:space="0" w:color="5B9BD5"/>
              <w:bottom w:val="nil"/>
              <w:right w:val="single" w:sz="4" w:space="0" w:color="5B9BD5"/>
            </w:tcBorders>
            <w:shd w:val="clear" w:color="auto" w:fill="auto"/>
            <w:vAlign w:val="bottom"/>
            <w:hideMark/>
          </w:tcPr>
          <w:p w:rsidR="00F720EE" w:rsidRDefault="00F720EE" w:rsidP="00E94F2B">
            <w:pPr>
              <w:jc w:val="right"/>
              <w:rPr>
                <w:rFonts w:ascii="Calibri" w:hAnsi="Calibri" w:cs="Calibri"/>
                <w:color w:val="000000"/>
                <w:sz w:val="20"/>
                <w:szCs w:val="20"/>
              </w:rPr>
            </w:pPr>
            <w:r>
              <w:rPr>
                <w:rFonts w:ascii="Calibri" w:hAnsi="Calibri" w:cs="Calibri"/>
                <w:color w:val="000000"/>
                <w:sz w:val="20"/>
                <w:szCs w:val="20"/>
              </w:rPr>
              <w:t>-98</w:t>
            </w:r>
          </w:p>
        </w:tc>
        <w:tc>
          <w:tcPr>
            <w:tcW w:w="1113" w:type="dxa"/>
            <w:tcBorders>
              <w:top w:val="nil"/>
              <w:left w:val="nil"/>
              <w:bottom w:val="nil"/>
              <w:right w:val="single" w:sz="4" w:space="0" w:color="5B9BD5"/>
            </w:tcBorders>
            <w:shd w:val="clear" w:color="auto" w:fill="auto"/>
            <w:vAlign w:val="bottom"/>
            <w:hideMark/>
          </w:tcPr>
          <w:p w:rsidR="00F720EE" w:rsidRDefault="00F720EE" w:rsidP="00E94F2B">
            <w:pPr>
              <w:jc w:val="right"/>
              <w:rPr>
                <w:rFonts w:ascii="Calibri" w:hAnsi="Calibri" w:cs="Calibri"/>
                <w:color w:val="000000"/>
                <w:sz w:val="20"/>
                <w:szCs w:val="20"/>
              </w:rPr>
            </w:pPr>
            <w:r>
              <w:rPr>
                <w:rFonts w:ascii="Calibri" w:hAnsi="Calibri" w:cs="Calibri"/>
                <w:color w:val="000000"/>
                <w:sz w:val="20"/>
                <w:szCs w:val="20"/>
              </w:rPr>
              <w:t>-23.7%</w:t>
            </w:r>
          </w:p>
        </w:tc>
      </w:tr>
      <w:tr w:rsidR="00F720EE" w:rsidTr="00F720EE">
        <w:trPr>
          <w:trHeight w:val="282"/>
          <w:jc w:val="center"/>
        </w:trPr>
        <w:tc>
          <w:tcPr>
            <w:tcW w:w="3960" w:type="dxa"/>
            <w:tcBorders>
              <w:top w:val="single" w:sz="4" w:space="0" w:color="5B9BD5"/>
              <w:left w:val="single" w:sz="4" w:space="0" w:color="5B9BD5"/>
              <w:bottom w:val="single" w:sz="4" w:space="0" w:color="5B9BD5"/>
              <w:right w:val="nil"/>
            </w:tcBorders>
            <w:shd w:val="clear" w:color="auto" w:fill="auto"/>
            <w:vAlign w:val="bottom"/>
            <w:hideMark/>
          </w:tcPr>
          <w:p w:rsidR="00F720EE" w:rsidRDefault="00F720EE" w:rsidP="00E94F2B">
            <w:pPr>
              <w:rPr>
                <w:rFonts w:ascii="Calibri" w:hAnsi="Calibri" w:cs="Calibri"/>
                <w:color w:val="000000"/>
                <w:sz w:val="20"/>
                <w:szCs w:val="20"/>
              </w:rPr>
            </w:pPr>
            <w:r>
              <w:rPr>
                <w:rFonts w:ascii="Calibri" w:hAnsi="Calibri" w:cs="Calibri"/>
                <w:color w:val="000000"/>
                <w:sz w:val="20"/>
                <w:szCs w:val="20"/>
              </w:rPr>
              <w:t xml:space="preserve">Birrë Prodhim Vendi </w:t>
            </w:r>
          </w:p>
        </w:tc>
        <w:tc>
          <w:tcPr>
            <w:tcW w:w="1120" w:type="dxa"/>
            <w:tcBorders>
              <w:top w:val="single" w:sz="4" w:space="0" w:color="5B9BD5"/>
              <w:left w:val="single" w:sz="4" w:space="0" w:color="5B9BD5"/>
              <w:bottom w:val="single" w:sz="4" w:space="0" w:color="5B9BD5"/>
              <w:right w:val="single" w:sz="4" w:space="0" w:color="5B9BD5"/>
            </w:tcBorders>
            <w:shd w:val="clear" w:color="auto" w:fill="auto"/>
            <w:vAlign w:val="bottom"/>
            <w:hideMark/>
          </w:tcPr>
          <w:p w:rsidR="00F720EE" w:rsidRDefault="00F720EE" w:rsidP="00E94F2B">
            <w:pPr>
              <w:jc w:val="center"/>
              <w:rPr>
                <w:rFonts w:ascii="Calibri" w:hAnsi="Calibri" w:cs="Calibri"/>
                <w:i/>
                <w:iCs/>
                <w:color w:val="000000"/>
                <w:sz w:val="20"/>
                <w:szCs w:val="20"/>
              </w:rPr>
            </w:pPr>
            <w:r>
              <w:rPr>
                <w:rFonts w:ascii="Calibri" w:hAnsi="Calibri" w:cs="Calibri"/>
                <w:i/>
                <w:iCs/>
                <w:color w:val="000000"/>
                <w:sz w:val="20"/>
                <w:szCs w:val="20"/>
              </w:rPr>
              <w:t xml:space="preserve">Ton </w:t>
            </w:r>
          </w:p>
        </w:tc>
        <w:tc>
          <w:tcPr>
            <w:tcW w:w="1100" w:type="dxa"/>
            <w:tcBorders>
              <w:top w:val="single" w:sz="4" w:space="0" w:color="5B9BD5"/>
              <w:left w:val="nil"/>
              <w:bottom w:val="single" w:sz="4" w:space="0" w:color="5B9BD5"/>
              <w:right w:val="single" w:sz="4" w:space="0" w:color="5B9BD5"/>
            </w:tcBorders>
            <w:shd w:val="clear" w:color="auto" w:fill="auto"/>
            <w:vAlign w:val="bottom"/>
            <w:hideMark/>
          </w:tcPr>
          <w:p w:rsidR="00F720EE" w:rsidRDefault="00F720EE" w:rsidP="00E94F2B">
            <w:pPr>
              <w:jc w:val="right"/>
              <w:rPr>
                <w:rFonts w:ascii="Calibri" w:hAnsi="Calibri" w:cs="Calibri"/>
                <w:color w:val="000000"/>
                <w:sz w:val="20"/>
                <w:szCs w:val="20"/>
              </w:rPr>
            </w:pPr>
            <w:r>
              <w:rPr>
                <w:rFonts w:ascii="Calibri" w:hAnsi="Calibri" w:cs="Calibri"/>
                <w:color w:val="000000"/>
                <w:sz w:val="20"/>
                <w:szCs w:val="20"/>
              </w:rPr>
              <w:t>-2,731</w:t>
            </w:r>
          </w:p>
        </w:tc>
        <w:tc>
          <w:tcPr>
            <w:tcW w:w="1260" w:type="dxa"/>
            <w:tcBorders>
              <w:top w:val="single" w:sz="4" w:space="0" w:color="5B9BD5"/>
              <w:left w:val="nil"/>
              <w:bottom w:val="single" w:sz="4" w:space="0" w:color="5B9BD5"/>
              <w:right w:val="nil"/>
            </w:tcBorders>
            <w:shd w:val="clear" w:color="auto" w:fill="auto"/>
            <w:vAlign w:val="bottom"/>
            <w:hideMark/>
          </w:tcPr>
          <w:p w:rsidR="00F720EE" w:rsidRDefault="00F720EE" w:rsidP="00E94F2B">
            <w:pPr>
              <w:jc w:val="right"/>
              <w:rPr>
                <w:rFonts w:ascii="Calibri" w:hAnsi="Calibri" w:cs="Calibri"/>
                <w:color w:val="000000"/>
                <w:sz w:val="20"/>
                <w:szCs w:val="20"/>
              </w:rPr>
            </w:pPr>
            <w:r>
              <w:rPr>
                <w:rFonts w:ascii="Calibri" w:hAnsi="Calibri" w:cs="Calibri"/>
                <w:color w:val="000000"/>
                <w:sz w:val="20"/>
                <w:szCs w:val="20"/>
              </w:rPr>
              <w:t>-22.8%</w:t>
            </w:r>
          </w:p>
        </w:tc>
        <w:tc>
          <w:tcPr>
            <w:tcW w:w="1360" w:type="dxa"/>
            <w:tcBorders>
              <w:top w:val="single" w:sz="4" w:space="0" w:color="5B9BD5"/>
              <w:left w:val="single" w:sz="4" w:space="0" w:color="5B9BD5"/>
              <w:bottom w:val="single" w:sz="4" w:space="0" w:color="5B9BD5"/>
              <w:right w:val="single" w:sz="4" w:space="0" w:color="5B9BD5"/>
            </w:tcBorders>
            <w:shd w:val="clear" w:color="auto" w:fill="auto"/>
            <w:vAlign w:val="bottom"/>
            <w:hideMark/>
          </w:tcPr>
          <w:p w:rsidR="00F720EE" w:rsidRDefault="00F720EE" w:rsidP="00E94F2B">
            <w:pPr>
              <w:jc w:val="right"/>
              <w:rPr>
                <w:rFonts w:ascii="Calibri" w:hAnsi="Calibri" w:cs="Calibri"/>
                <w:color w:val="000000"/>
                <w:sz w:val="20"/>
                <w:szCs w:val="20"/>
              </w:rPr>
            </w:pPr>
            <w:r>
              <w:rPr>
                <w:rFonts w:ascii="Calibri" w:hAnsi="Calibri" w:cs="Calibri"/>
                <w:color w:val="000000"/>
                <w:sz w:val="20"/>
                <w:szCs w:val="20"/>
              </w:rPr>
              <w:t>-57</w:t>
            </w:r>
          </w:p>
        </w:tc>
        <w:tc>
          <w:tcPr>
            <w:tcW w:w="1113" w:type="dxa"/>
            <w:tcBorders>
              <w:top w:val="single" w:sz="4" w:space="0" w:color="5B9BD5"/>
              <w:left w:val="nil"/>
              <w:bottom w:val="single" w:sz="4" w:space="0" w:color="5B9BD5"/>
              <w:right w:val="single" w:sz="4" w:space="0" w:color="5B9BD5"/>
            </w:tcBorders>
            <w:shd w:val="clear" w:color="auto" w:fill="auto"/>
            <w:vAlign w:val="bottom"/>
            <w:hideMark/>
          </w:tcPr>
          <w:p w:rsidR="00F720EE" w:rsidRDefault="00F720EE" w:rsidP="00E94F2B">
            <w:pPr>
              <w:jc w:val="right"/>
              <w:rPr>
                <w:rFonts w:ascii="Calibri" w:hAnsi="Calibri" w:cs="Calibri"/>
                <w:color w:val="000000"/>
                <w:sz w:val="20"/>
                <w:szCs w:val="20"/>
              </w:rPr>
            </w:pPr>
            <w:r>
              <w:rPr>
                <w:rFonts w:ascii="Calibri" w:hAnsi="Calibri" w:cs="Calibri"/>
                <w:color w:val="000000"/>
                <w:sz w:val="20"/>
                <w:szCs w:val="20"/>
              </w:rPr>
              <w:t>-21.9%</w:t>
            </w:r>
          </w:p>
        </w:tc>
      </w:tr>
      <w:tr w:rsidR="00F720EE" w:rsidTr="00F720EE">
        <w:trPr>
          <w:trHeight w:val="282"/>
          <w:jc w:val="center"/>
        </w:trPr>
        <w:tc>
          <w:tcPr>
            <w:tcW w:w="3960" w:type="dxa"/>
            <w:tcBorders>
              <w:top w:val="nil"/>
              <w:left w:val="single" w:sz="4" w:space="0" w:color="5B9BD5"/>
              <w:bottom w:val="single" w:sz="4" w:space="0" w:color="5B9BD5"/>
              <w:right w:val="nil"/>
            </w:tcBorders>
            <w:shd w:val="clear" w:color="auto" w:fill="auto"/>
            <w:vAlign w:val="bottom"/>
            <w:hideMark/>
          </w:tcPr>
          <w:p w:rsidR="00F720EE" w:rsidRDefault="00F720EE" w:rsidP="00E94F2B">
            <w:pPr>
              <w:rPr>
                <w:rFonts w:ascii="Calibri" w:hAnsi="Calibri" w:cs="Calibri"/>
                <w:b/>
                <w:bCs/>
                <w:color w:val="000000"/>
                <w:sz w:val="20"/>
                <w:szCs w:val="20"/>
              </w:rPr>
            </w:pPr>
            <w:r>
              <w:rPr>
                <w:rFonts w:ascii="Calibri" w:hAnsi="Calibri" w:cs="Calibri"/>
                <w:b/>
                <w:bCs/>
                <w:color w:val="000000"/>
                <w:sz w:val="20"/>
                <w:szCs w:val="20"/>
              </w:rPr>
              <w:t xml:space="preserve">Efekti </w:t>
            </w:r>
          </w:p>
        </w:tc>
        <w:tc>
          <w:tcPr>
            <w:tcW w:w="1120" w:type="dxa"/>
            <w:tcBorders>
              <w:top w:val="nil"/>
              <w:left w:val="nil"/>
              <w:bottom w:val="single" w:sz="4" w:space="0" w:color="5B9BD5"/>
              <w:right w:val="nil"/>
            </w:tcBorders>
            <w:shd w:val="clear" w:color="auto" w:fill="auto"/>
            <w:vAlign w:val="bottom"/>
            <w:hideMark/>
          </w:tcPr>
          <w:p w:rsidR="00F720EE" w:rsidRDefault="00F720EE" w:rsidP="00E94F2B">
            <w:pPr>
              <w:rPr>
                <w:rFonts w:ascii="Calibri" w:hAnsi="Calibri" w:cs="Calibri"/>
                <w:b/>
                <w:bCs/>
                <w:i/>
                <w:iCs/>
                <w:color w:val="000000"/>
                <w:sz w:val="20"/>
                <w:szCs w:val="20"/>
              </w:rPr>
            </w:pPr>
            <w:r>
              <w:rPr>
                <w:rFonts w:ascii="Calibri" w:hAnsi="Calibri" w:cs="Calibri"/>
                <w:b/>
                <w:bCs/>
                <w:i/>
                <w:iCs/>
                <w:color w:val="000000"/>
                <w:sz w:val="20"/>
                <w:szCs w:val="20"/>
              </w:rPr>
              <w:t> </w:t>
            </w:r>
          </w:p>
        </w:tc>
        <w:tc>
          <w:tcPr>
            <w:tcW w:w="1100" w:type="dxa"/>
            <w:tcBorders>
              <w:top w:val="nil"/>
              <w:left w:val="nil"/>
              <w:bottom w:val="single" w:sz="4" w:space="0" w:color="5B9BD5"/>
              <w:right w:val="nil"/>
            </w:tcBorders>
            <w:shd w:val="clear" w:color="auto" w:fill="auto"/>
            <w:vAlign w:val="bottom"/>
            <w:hideMark/>
          </w:tcPr>
          <w:p w:rsidR="00F720EE" w:rsidRDefault="00F720EE" w:rsidP="00E94F2B">
            <w:pPr>
              <w:jc w:val="center"/>
              <w:rPr>
                <w:rFonts w:ascii="Calibri" w:hAnsi="Calibri" w:cs="Calibri"/>
                <w:color w:val="000000"/>
                <w:sz w:val="20"/>
                <w:szCs w:val="20"/>
              </w:rPr>
            </w:pPr>
            <w:r>
              <w:rPr>
                <w:rFonts w:ascii="Calibri" w:hAnsi="Calibri" w:cs="Calibri"/>
                <w:color w:val="000000"/>
                <w:sz w:val="20"/>
                <w:szCs w:val="20"/>
              </w:rPr>
              <w:t> </w:t>
            </w:r>
          </w:p>
        </w:tc>
        <w:tc>
          <w:tcPr>
            <w:tcW w:w="1260" w:type="dxa"/>
            <w:tcBorders>
              <w:top w:val="nil"/>
              <w:left w:val="nil"/>
              <w:bottom w:val="single" w:sz="4" w:space="0" w:color="5B9BD5"/>
              <w:right w:val="nil"/>
            </w:tcBorders>
            <w:shd w:val="clear" w:color="auto" w:fill="auto"/>
            <w:vAlign w:val="bottom"/>
            <w:hideMark/>
          </w:tcPr>
          <w:p w:rsidR="00F720EE" w:rsidRDefault="00F720EE" w:rsidP="00E94F2B">
            <w:pPr>
              <w:jc w:val="center"/>
              <w:rPr>
                <w:rFonts w:ascii="Calibri" w:hAnsi="Calibri" w:cs="Calibri"/>
                <w:color w:val="000000"/>
                <w:sz w:val="20"/>
                <w:szCs w:val="20"/>
              </w:rPr>
            </w:pPr>
            <w:r>
              <w:rPr>
                <w:rFonts w:ascii="Calibri" w:hAnsi="Calibri" w:cs="Calibri"/>
                <w:color w:val="000000"/>
                <w:sz w:val="20"/>
                <w:szCs w:val="20"/>
              </w:rPr>
              <w:t> </w:t>
            </w:r>
          </w:p>
        </w:tc>
        <w:tc>
          <w:tcPr>
            <w:tcW w:w="1360" w:type="dxa"/>
            <w:tcBorders>
              <w:top w:val="nil"/>
              <w:left w:val="single" w:sz="4" w:space="0" w:color="5B9BD5"/>
              <w:bottom w:val="single" w:sz="4" w:space="0" w:color="5B9BD5"/>
              <w:right w:val="single" w:sz="4" w:space="0" w:color="5B9BD5"/>
            </w:tcBorders>
            <w:shd w:val="clear" w:color="auto" w:fill="auto"/>
            <w:vAlign w:val="bottom"/>
            <w:hideMark/>
          </w:tcPr>
          <w:p w:rsidR="00F720EE" w:rsidRDefault="00F720EE" w:rsidP="00E94F2B">
            <w:pPr>
              <w:jc w:val="right"/>
              <w:rPr>
                <w:rFonts w:ascii="Calibri" w:hAnsi="Calibri" w:cs="Calibri"/>
                <w:b/>
                <w:bCs/>
                <w:color w:val="000000"/>
                <w:sz w:val="20"/>
                <w:szCs w:val="20"/>
              </w:rPr>
            </w:pPr>
            <w:r>
              <w:rPr>
                <w:rFonts w:ascii="Calibri" w:hAnsi="Calibri" w:cs="Calibri"/>
                <w:b/>
                <w:bCs/>
                <w:color w:val="000000"/>
                <w:sz w:val="20"/>
                <w:szCs w:val="20"/>
              </w:rPr>
              <w:t>-2,490</w:t>
            </w:r>
          </w:p>
        </w:tc>
        <w:tc>
          <w:tcPr>
            <w:tcW w:w="1113" w:type="dxa"/>
            <w:tcBorders>
              <w:top w:val="nil"/>
              <w:left w:val="nil"/>
              <w:bottom w:val="single" w:sz="4" w:space="0" w:color="5B9BD5"/>
              <w:right w:val="single" w:sz="4" w:space="0" w:color="5B9BD5"/>
            </w:tcBorders>
            <w:shd w:val="clear" w:color="auto" w:fill="auto"/>
            <w:vAlign w:val="bottom"/>
            <w:hideMark/>
          </w:tcPr>
          <w:p w:rsidR="00F720EE" w:rsidRDefault="00F720EE" w:rsidP="00E94F2B">
            <w:pPr>
              <w:jc w:val="center"/>
              <w:rPr>
                <w:rFonts w:ascii="Calibri" w:hAnsi="Calibri" w:cs="Calibri"/>
                <w:color w:val="000000"/>
                <w:sz w:val="20"/>
                <w:szCs w:val="20"/>
              </w:rPr>
            </w:pPr>
            <w:r>
              <w:rPr>
                <w:rFonts w:ascii="Calibri" w:hAnsi="Calibri" w:cs="Calibri"/>
                <w:color w:val="000000"/>
                <w:sz w:val="20"/>
                <w:szCs w:val="20"/>
              </w:rPr>
              <w:t> </w:t>
            </w:r>
          </w:p>
        </w:tc>
      </w:tr>
    </w:tbl>
    <w:p w:rsidR="00F720EE" w:rsidRPr="004E355C" w:rsidRDefault="00F720EE" w:rsidP="00F720EE">
      <w:pPr>
        <w:spacing w:line="276" w:lineRule="auto"/>
        <w:jc w:val="both"/>
        <w:rPr>
          <w:rFonts w:asciiTheme="minorHAnsi" w:hAnsiTheme="minorHAnsi"/>
          <w:sz w:val="20"/>
          <w:szCs w:val="20"/>
          <w:lang w:val="sq-AL"/>
        </w:rPr>
      </w:pPr>
      <w:r w:rsidRPr="004E355C">
        <w:rPr>
          <w:rFonts w:asciiTheme="minorHAnsi" w:hAnsiTheme="minorHAnsi"/>
          <w:sz w:val="20"/>
          <w:szCs w:val="20"/>
          <w:lang w:val="sq-AL"/>
        </w:rPr>
        <w:t>Burimi: Ministria e Financave dhe Ekonomisë (20</w:t>
      </w:r>
      <w:r>
        <w:rPr>
          <w:rFonts w:asciiTheme="minorHAnsi" w:hAnsiTheme="minorHAnsi"/>
          <w:sz w:val="20"/>
          <w:szCs w:val="20"/>
          <w:lang w:val="sq-AL"/>
        </w:rPr>
        <w:t>20</w:t>
      </w:r>
      <w:r w:rsidRPr="004E355C">
        <w:rPr>
          <w:rFonts w:asciiTheme="minorHAnsi" w:hAnsiTheme="minorHAnsi"/>
          <w:sz w:val="20"/>
          <w:szCs w:val="20"/>
          <w:lang w:val="sq-AL"/>
        </w:rPr>
        <w:t>)</w:t>
      </w:r>
    </w:p>
    <w:p w:rsidR="0023082A" w:rsidRDefault="00F720EE" w:rsidP="00F720EE">
      <w:pPr>
        <w:tabs>
          <w:tab w:val="left" w:pos="2511"/>
          <w:tab w:val="center" w:pos="4680"/>
        </w:tabs>
        <w:spacing w:before="240" w:line="276" w:lineRule="auto"/>
        <w:jc w:val="both"/>
        <w:rPr>
          <w:rFonts w:asciiTheme="minorHAnsi" w:hAnsiTheme="minorHAnsi" w:cstheme="minorHAnsi"/>
        </w:rPr>
      </w:pPr>
      <w:r w:rsidRPr="004E355C">
        <w:rPr>
          <w:rFonts w:asciiTheme="minorHAnsi" w:hAnsiTheme="minorHAnsi" w:cstheme="minorHAnsi"/>
          <w:i/>
        </w:rPr>
        <w:t>Të ardhurat nga TVSH-ja në import</w:t>
      </w:r>
      <w:r w:rsidRPr="004E355C">
        <w:rPr>
          <w:rFonts w:asciiTheme="minorHAnsi" w:hAnsiTheme="minorHAnsi" w:cstheme="minorHAnsi"/>
        </w:rPr>
        <w:t xml:space="preserve"> janë realizuar në vlerën </w:t>
      </w:r>
      <w:r>
        <w:rPr>
          <w:rFonts w:asciiTheme="minorHAnsi" w:hAnsiTheme="minorHAnsi" w:cstheme="minorHAnsi"/>
        </w:rPr>
        <w:t>36.1</w:t>
      </w:r>
      <w:r w:rsidRPr="004E355C">
        <w:rPr>
          <w:rFonts w:asciiTheme="minorHAnsi" w:hAnsiTheme="minorHAnsi" w:cstheme="minorHAnsi"/>
        </w:rPr>
        <w:t xml:space="preserve"> miliardë lekë, </w:t>
      </w:r>
      <w:r>
        <w:rPr>
          <w:rFonts w:asciiTheme="minorHAnsi" w:hAnsiTheme="minorHAnsi" w:cstheme="minorHAnsi"/>
        </w:rPr>
        <w:t>14.6</w:t>
      </w:r>
      <w:r w:rsidRPr="004E355C">
        <w:rPr>
          <w:rFonts w:asciiTheme="minorHAnsi" w:hAnsiTheme="minorHAnsi" w:cstheme="minorHAnsi"/>
        </w:rPr>
        <w:t xml:space="preserve">% ose </w:t>
      </w:r>
      <w:r>
        <w:rPr>
          <w:rFonts w:asciiTheme="minorHAnsi" w:hAnsiTheme="minorHAnsi" w:cstheme="minorHAnsi"/>
        </w:rPr>
        <w:t>6.2 miliard</w:t>
      </w:r>
      <w:r w:rsidRPr="004E355C">
        <w:rPr>
          <w:rFonts w:asciiTheme="minorHAnsi" w:hAnsiTheme="minorHAnsi" w:cstheme="minorHAnsi"/>
        </w:rPr>
        <w:t xml:space="preserve">ë lekë më </w:t>
      </w:r>
      <w:r>
        <w:rPr>
          <w:rFonts w:asciiTheme="minorHAnsi" w:hAnsiTheme="minorHAnsi" w:cstheme="minorHAnsi"/>
        </w:rPr>
        <w:t>pak</w:t>
      </w:r>
      <w:r w:rsidRPr="004E355C">
        <w:rPr>
          <w:rFonts w:asciiTheme="minorHAnsi" w:hAnsiTheme="minorHAnsi" w:cstheme="minorHAnsi"/>
        </w:rPr>
        <w:t xml:space="preserve"> se 5 mujori i vitit 201</w:t>
      </w:r>
      <w:r>
        <w:rPr>
          <w:rFonts w:asciiTheme="minorHAnsi" w:hAnsiTheme="minorHAnsi" w:cstheme="minorHAnsi"/>
        </w:rPr>
        <w:t>9</w:t>
      </w:r>
      <w:r w:rsidRPr="004E355C">
        <w:rPr>
          <w:rFonts w:asciiTheme="minorHAnsi" w:hAnsiTheme="minorHAnsi" w:cstheme="minorHAnsi"/>
        </w:rPr>
        <w:t xml:space="preserve">, dhe </w:t>
      </w:r>
      <w:r>
        <w:rPr>
          <w:rFonts w:asciiTheme="minorHAnsi" w:hAnsiTheme="minorHAnsi" w:cstheme="minorHAnsi"/>
        </w:rPr>
        <w:t>5.3</w:t>
      </w:r>
      <w:r w:rsidRPr="004E355C">
        <w:rPr>
          <w:rFonts w:asciiTheme="minorHAnsi" w:hAnsiTheme="minorHAnsi" w:cstheme="minorHAnsi"/>
        </w:rPr>
        <w:t xml:space="preserve">% ose </w:t>
      </w:r>
      <w:r>
        <w:rPr>
          <w:rFonts w:asciiTheme="minorHAnsi" w:hAnsiTheme="minorHAnsi" w:cstheme="minorHAnsi"/>
        </w:rPr>
        <w:t>2</w:t>
      </w:r>
      <w:r w:rsidRPr="004E355C">
        <w:rPr>
          <w:rFonts w:asciiTheme="minorHAnsi" w:hAnsiTheme="minorHAnsi" w:cstheme="minorHAnsi"/>
        </w:rPr>
        <w:t xml:space="preserve"> mili</w:t>
      </w:r>
      <w:r>
        <w:rPr>
          <w:rFonts w:asciiTheme="minorHAnsi" w:hAnsiTheme="minorHAnsi" w:cstheme="minorHAnsi"/>
        </w:rPr>
        <w:t>qrd</w:t>
      </w:r>
      <w:r w:rsidRPr="004E355C">
        <w:rPr>
          <w:rFonts w:asciiTheme="minorHAnsi" w:hAnsiTheme="minorHAnsi" w:cstheme="minorHAnsi"/>
        </w:rPr>
        <w:t>ë lekë më pak se plani</w:t>
      </w:r>
      <w:r w:rsidRPr="008969ED">
        <w:rPr>
          <w:rFonts w:asciiTheme="minorHAnsi" w:hAnsiTheme="minorHAnsi" w:cstheme="minorHAnsi"/>
        </w:rPr>
        <w:t>.  R</w:t>
      </w:r>
      <w:r w:rsidRPr="008969ED">
        <w:rPr>
          <w:rFonts w:ascii="Calibri" w:hAnsi="Calibri" w:cs="Calibri"/>
        </w:rPr>
        <w:t xml:space="preserve">ënia e madhe e importit të energjisë elektrike ka ulur TVSH e arkëtuar </w:t>
      </w:r>
      <w:r w:rsidRPr="006F6DC1">
        <w:rPr>
          <w:rFonts w:ascii="Calibri" w:hAnsi="Calibri" w:cs="Calibri"/>
        </w:rPr>
        <w:t xml:space="preserve">në import me efekt negative 1.3 miliardë lekë. Po kështu, rënia e </w:t>
      </w:r>
      <w:r w:rsidRPr="006F6DC1">
        <w:rPr>
          <w:rFonts w:asciiTheme="minorHAnsi" w:hAnsiTheme="minorHAnsi" w:cstheme="minorHAnsi"/>
        </w:rPr>
        <w:t>importii t</w:t>
      </w:r>
      <w:r w:rsidRPr="006F6DC1">
        <w:rPr>
          <w:rFonts w:ascii="Calibri" w:hAnsi="Calibri" w:cs="Calibri"/>
        </w:rPr>
        <w:t>ë</w:t>
      </w:r>
      <w:r w:rsidRPr="006F6DC1">
        <w:rPr>
          <w:rFonts w:asciiTheme="minorHAnsi" w:hAnsiTheme="minorHAnsi" w:cstheme="minorHAnsi"/>
        </w:rPr>
        <w:t xml:space="preserve"> automjeteve ka ulur TVSH-n</w:t>
      </w:r>
      <w:r w:rsidRPr="006F6DC1">
        <w:rPr>
          <w:rFonts w:ascii="Calibri" w:hAnsi="Calibri" w:cs="Calibri"/>
        </w:rPr>
        <w:t xml:space="preserve">ë me 0.5 miliardë lekë. </w:t>
      </w:r>
      <w:r w:rsidRPr="006F6DC1">
        <w:rPr>
          <w:rFonts w:asciiTheme="minorHAnsi" w:hAnsiTheme="minorHAnsi" w:cstheme="minorHAnsi"/>
        </w:rPr>
        <w:t>Karburanti import mbuloi rreth 97.8% të konsumit gjatë 5 mujorit të parë të vitit 2019 krahasuar me 82.3% që ishte ky tregues vitin e kaluar. Grup-produktet me kontribut pozitiv në të ardhurat nga TVSH në import rezultuan: mielli dhe gruri, dhjamrat shtazore,</w:t>
      </w:r>
      <w:r w:rsidR="0023082A">
        <w:rPr>
          <w:rFonts w:asciiTheme="minorHAnsi" w:hAnsiTheme="minorHAnsi" w:cstheme="minorHAnsi"/>
        </w:rPr>
        <w:t xml:space="preserve"> sheqeri, fruta – perimet, etj.</w:t>
      </w:r>
    </w:p>
    <w:p w:rsidR="0023082A" w:rsidRPr="00C154C8" w:rsidRDefault="0023082A" w:rsidP="0023082A">
      <w:pPr>
        <w:tabs>
          <w:tab w:val="left" w:pos="2511"/>
          <w:tab w:val="center" w:pos="4680"/>
        </w:tabs>
        <w:jc w:val="both"/>
        <w:rPr>
          <w:rFonts w:asciiTheme="minorHAnsi" w:hAnsiTheme="minorHAnsi" w:cstheme="minorHAnsi"/>
        </w:rPr>
      </w:pPr>
    </w:p>
    <w:p w:rsidR="00F720EE" w:rsidRPr="004E355C" w:rsidRDefault="00F720EE" w:rsidP="00F720EE">
      <w:pPr>
        <w:pStyle w:val="Caption"/>
        <w:keepNext/>
        <w:spacing w:after="0"/>
        <w:jc w:val="both"/>
        <w:rPr>
          <w:rFonts w:asciiTheme="minorHAnsi" w:hAnsiTheme="minorHAnsi"/>
          <w:b w:val="0"/>
          <w:bCs w:val="0"/>
          <w:i/>
          <w:color w:val="auto"/>
          <w:sz w:val="24"/>
          <w:szCs w:val="24"/>
          <w:lang w:val="sq-AL"/>
        </w:rPr>
      </w:pPr>
      <w:bookmarkStart w:id="24" w:name="_Toc12449191"/>
      <w:bookmarkStart w:id="25" w:name="_Toc44404406"/>
      <w:r w:rsidRPr="004E355C">
        <w:rPr>
          <w:rFonts w:asciiTheme="minorHAnsi" w:hAnsiTheme="minorHAnsi"/>
          <w:b w:val="0"/>
          <w:bCs w:val="0"/>
          <w:i/>
          <w:color w:val="auto"/>
          <w:sz w:val="24"/>
          <w:szCs w:val="24"/>
          <w:lang w:val="sq-AL"/>
        </w:rPr>
        <w:t xml:space="preserve">Tabela </w:t>
      </w:r>
      <w:r w:rsidRPr="004E355C">
        <w:rPr>
          <w:rFonts w:asciiTheme="minorHAnsi" w:hAnsiTheme="minorHAnsi"/>
          <w:b w:val="0"/>
          <w:bCs w:val="0"/>
          <w:i/>
          <w:color w:val="auto"/>
          <w:sz w:val="24"/>
          <w:szCs w:val="24"/>
          <w:lang w:val="sq-AL"/>
        </w:rPr>
        <w:fldChar w:fldCharType="begin"/>
      </w:r>
      <w:r w:rsidRPr="004E355C">
        <w:rPr>
          <w:rFonts w:asciiTheme="minorHAnsi" w:hAnsiTheme="minorHAnsi"/>
          <w:b w:val="0"/>
          <w:bCs w:val="0"/>
          <w:i/>
          <w:color w:val="auto"/>
          <w:sz w:val="24"/>
          <w:szCs w:val="24"/>
          <w:lang w:val="sq-AL"/>
        </w:rPr>
        <w:instrText xml:space="preserve"> SEQ Tabela \* ARABIC </w:instrText>
      </w:r>
      <w:r w:rsidRPr="004E355C">
        <w:rPr>
          <w:rFonts w:asciiTheme="minorHAnsi" w:hAnsiTheme="minorHAnsi"/>
          <w:b w:val="0"/>
          <w:bCs w:val="0"/>
          <w:i/>
          <w:color w:val="auto"/>
          <w:sz w:val="24"/>
          <w:szCs w:val="24"/>
          <w:lang w:val="sq-AL"/>
        </w:rPr>
        <w:fldChar w:fldCharType="separate"/>
      </w:r>
      <w:r w:rsidR="00C342E2">
        <w:rPr>
          <w:rFonts w:asciiTheme="minorHAnsi" w:hAnsiTheme="minorHAnsi"/>
          <w:b w:val="0"/>
          <w:bCs w:val="0"/>
          <w:i/>
          <w:noProof/>
          <w:color w:val="auto"/>
          <w:sz w:val="24"/>
          <w:szCs w:val="24"/>
          <w:lang w:val="sq-AL"/>
        </w:rPr>
        <w:t>5</w:t>
      </w:r>
      <w:r w:rsidRPr="004E355C">
        <w:rPr>
          <w:rFonts w:asciiTheme="minorHAnsi" w:hAnsiTheme="minorHAnsi"/>
          <w:b w:val="0"/>
          <w:bCs w:val="0"/>
          <w:i/>
          <w:color w:val="auto"/>
          <w:sz w:val="24"/>
          <w:szCs w:val="24"/>
          <w:lang w:val="sq-AL"/>
        </w:rPr>
        <w:fldChar w:fldCharType="end"/>
      </w:r>
      <w:r w:rsidRPr="004E355C">
        <w:rPr>
          <w:rFonts w:asciiTheme="minorHAnsi" w:hAnsiTheme="minorHAnsi"/>
          <w:b w:val="0"/>
          <w:bCs w:val="0"/>
          <w:i/>
          <w:color w:val="auto"/>
          <w:sz w:val="24"/>
          <w:szCs w:val="24"/>
          <w:lang w:val="sq-AL"/>
        </w:rPr>
        <w:t>: Kontribuesit pozitivë në të ardhurat nga TVSH/Diferencat Janar-Maj 20</w:t>
      </w:r>
      <w:r>
        <w:rPr>
          <w:rFonts w:asciiTheme="minorHAnsi" w:hAnsiTheme="minorHAnsi"/>
          <w:b w:val="0"/>
          <w:bCs w:val="0"/>
          <w:i/>
          <w:color w:val="auto"/>
          <w:sz w:val="24"/>
          <w:szCs w:val="24"/>
          <w:lang w:val="sq-AL"/>
        </w:rPr>
        <w:t>20</w:t>
      </w:r>
      <w:r w:rsidRPr="004E355C">
        <w:rPr>
          <w:rFonts w:asciiTheme="minorHAnsi" w:hAnsiTheme="minorHAnsi"/>
          <w:b w:val="0"/>
          <w:bCs w:val="0"/>
          <w:i/>
          <w:color w:val="auto"/>
          <w:sz w:val="24"/>
          <w:szCs w:val="24"/>
          <w:lang w:val="sq-AL"/>
        </w:rPr>
        <w:t>/201</w:t>
      </w:r>
      <w:bookmarkEnd w:id="24"/>
      <w:r>
        <w:rPr>
          <w:rFonts w:asciiTheme="minorHAnsi" w:hAnsiTheme="minorHAnsi"/>
          <w:b w:val="0"/>
          <w:bCs w:val="0"/>
          <w:i/>
          <w:color w:val="auto"/>
          <w:sz w:val="24"/>
          <w:szCs w:val="24"/>
          <w:lang w:val="sq-AL"/>
        </w:rPr>
        <w:t>9</w:t>
      </w:r>
      <w:bookmarkEnd w:id="25"/>
    </w:p>
    <w:tbl>
      <w:tblPr>
        <w:tblStyle w:val="ListTable3-Accent52"/>
        <w:tblW w:w="9515" w:type="dxa"/>
        <w:jc w:val="center"/>
        <w:tblLayout w:type="fixed"/>
        <w:tblLook w:val="04A0" w:firstRow="1" w:lastRow="0" w:firstColumn="1" w:lastColumn="0" w:noHBand="0" w:noVBand="1"/>
      </w:tblPr>
      <w:tblGrid>
        <w:gridCol w:w="3595"/>
        <w:gridCol w:w="1624"/>
        <w:gridCol w:w="951"/>
        <w:gridCol w:w="740"/>
        <w:gridCol w:w="1674"/>
        <w:gridCol w:w="931"/>
      </w:tblGrid>
      <w:tr w:rsidR="00F720EE" w:rsidRPr="004E355C" w:rsidTr="00E94F2B">
        <w:trPr>
          <w:cnfStyle w:val="100000000000" w:firstRow="1" w:lastRow="0" w:firstColumn="0" w:lastColumn="0" w:oddVBand="0" w:evenVBand="0" w:oddHBand="0" w:evenHBand="0" w:firstRowFirstColumn="0" w:firstRowLastColumn="0" w:lastRowFirstColumn="0" w:lastRowLastColumn="0"/>
          <w:trHeight w:val="387"/>
          <w:jc w:val="center"/>
        </w:trPr>
        <w:tc>
          <w:tcPr>
            <w:cnfStyle w:val="001000000100" w:firstRow="0" w:lastRow="0" w:firstColumn="1" w:lastColumn="0" w:oddVBand="0" w:evenVBand="0" w:oddHBand="0" w:evenHBand="0" w:firstRowFirstColumn="1" w:firstRowLastColumn="0" w:lastRowFirstColumn="0" w:lastRowLastColumn="0"/>
            <w:tcW w:w="9515" w:type="dxa"/>
            <w:gridSpan w:val="6"/>
            <w:hideMark/>
          </w:tcPr>
          <w:p w:rsidR="00F720EE" w:rsidRPr="004E355C" w:rsidRDefault="00F720EE" w:rsidP="00E94F2B">
            <w:pPr>
              <w:jc w:val="center"/>
              <w:rPr>
                <w:rFonts w:asciiTheme="minorHAnsi" w:hAnsiTheme="minorHAnsi" w:cstheme="minorHAnsi"/>
                <w:b w:val="0"/>
                <w:color w:val="auto"/>
                <w:sz w:val="18"/>
                <w:szCs w:val="18"/>
              </w:rPr>
            </w:pPr>
            <w:r w:rsidRPr="004E355C">
              <w:rPr>
                <w:rFonts w:asciiTheme="minorHAnsi" w:hAnsiTheme="minorHAnsi" w:cstheme="minorHAnsi"/>
                <w:color w:val="auto"/>
                <w:sz w:val="20"/>
                <w:szCs w:val="18"/>
              </w:rPr>
              <w:t>Produktet me kontribut negativ</w:t>
            </w:r>
          </w:p>
        </w:tc>
      </w:tr>
      <w:tr w:rsidR="00F720EE" w:rsidRPr="004E355C" w:rsidTr="00E94F2B">
        <w:trPr>
          <w:cnfStyle w:val="000000100000" w:firstRow="0" w:lastRow="0" w:firstColumn="0" w:lastColumn="0" w:oddVBand="0" w:evenVBand="0" w:oddHBand="1" w:evenHBand="0" w:firstRowFirstColumn="0" w:firstRowLastColumn="0" w:lastRowFirstColumn="0" w:lastRowLastColumn="0"/>
          <w:trHeight w:val="204"/>
          <w:jc w:val="center"/>
        </w:trPr>
        <w:tc>
          <w:tcPr>
            <w:cnfStyle w:val="001000000000" w:firstRow="0" w:lastRow="0" w:firstColumn="1" w:lastColumn="0" w:oddVBand="0" w:evenVBand="0" w:oddHBand="0" w:evenHBand="0" w:firstRowFirstColumn="0" w:firstRowLastColumn="0" w:lastRowFirstColumn="0" w:lastRowLastColumn="0"/>
            <w:tcW w:w="3595" w:type="dxa"/>
            <w:hideMark/>
          </w:tcPr>
          <w:p w:rsidR="00F720EE" w:rsidRPr="004E355C" w:rsidRDefault="00F720EE" w:rsidP="00E94F2B">
            <w:pPr>
              <w:rPr>
                <w:rFonts w:asciiTheme="minorHAnsi" w:hAnsiTheme="minorHAnsi" w:cstheme="minorHAnsi"/>
                <w:b w:val="0"/>
                <w:bCs w:val="0"/>
                <w:sz w:val="18"/>
                <w:szCs w:val="18"/>
              </w:rPr>
            </w:pPr>
            <w:r w:rsidRPr="004E355C">
              <w:rPr>
                <w:rFonts w:asciiTheme="minorHAnsi" w:hAnsiTheme="minorHAnsi" w:cstheme="minorHAnsi"/>
                <w:sz w:val="18"/>
                <w:szCs w:val="18"/>
              </w:rPr>
              <w:t> </w:t>
            </w:r>
          </w:p>
        </w:tc>
        <w:tc>
          <w:tcPr>
            <w:tcW w:w="1624" w:type="dxa"/>
            <w:hideMark/>
          </w:tcPr>
          <w:p w:rsidR="00F720EE" w:rsidRPr="004E355C" w:rsidRDefault="00F720EE" w:rsidP="00E94F2B">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sz w:val="18"/>
                <w:szCs w:val="18"/>
              </w:rPr>
            </w:pPr>
            <w:r w:rsidRPr="004E355C">
              <w:rPr>
                <w:rFonts w:asciiTheme="minorHAnsi" w:hAnsiTheme="minorHAnsi" w:cstheme="minorHAnsi"/>
                <w:b/>
                <w:bCs/>
                <w:sz w:val="18"/>
                <w:szCs w:val="18"/>
              </w:rPr>
              <w:t>Njësia</w:t>
            </w:r>
          </w:p>
        </w:tc>
        <w:tc>
          <w:tcPr>
            <w:tcW w:w="951" w:type="dxa"/>
            <w:hideMark/>
          </w:tcPr>
          <w:p w:rsidR="00F720EE" w:rsidRPr="004E355C" w:rsidRDefault="00F720EE" w:rsidP="00E94F2B">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sz w:val="18"/>
                <w:szCs w:val="18"/>
              </w:rPr>
            </w:pPr>
            <w:r w:rsidRPr="004E355C">
              <w:rPr>
                <w:rFonts w:asciiTheme="minorHAnsi" w:hAnsiTheme="minorHAnsi" w:cstheme="minorHAnsi"/>
                <w:b/>
                <w:bCs/>
                <w:sz w:val="18"/>
                <w:szCs w:val="18"/>
              </w:rPr>
              <w:t>Sasi</w:t>
            </w:r>
          </w:p>
        </w:tc>
        <w:tc>
          <w:tcPr>
            <w:tcW w:w="740" w:type="dxa"/>
            <w:hideMark/>
          </w:tcPr>
          <w:p w:rsidR="00F720EE" w:rsidRPr="004E355C" w:rsidRDefault="00F720EE" w:rsidP="00E94F2B">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sz w:val="18"/>
                <w:szCs w:val="18"/>
              </w:rPr>
            </w:pPr>
            <w:r w:rsidRPr="004E355C">
              <w:rPr>
                <w:rFonts w:asciiTheme="minorHAnsi" w:hAnsiTheme="minorHAnsi" w:cstheme="minorHAnsi"/>
                <w:b/>
                <w:bCs/>
                <w:sz w:val="18"/>
                <w:szCs w:val="18"/>
              </w:rPr>
              <w:t>%</w:t>
            </w:r>
          </w:p>
        </w:tc>
        <w:tc>
          <w:tcPr>
            <w:tcW w:w="1674" w:type="dxa"/>
            <w:hideMark/>
          </w:tcPr>
          <w:p w:rsidR="00F720EE" w:rsidRPr="004E355C" w:rsidRDefault="00F720EE" w:rsidP="00E94F2B">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sz w:val="18"/>
                <w:szCs w:val="18"/>
              </w:rPr>
            </w:pPr>
            <w:r w:rsidRPr="004E355C">
              <w:rPr>
                <w:rFonts w:asciiTheme="minorHAnsi" w:hAnsiTheme="minorHAnsi" w:cstheme="minorHAnsi"/>
                <w:b/>
                <w:bCs/>
                <w:sz w:val="18"/>
                <w:szCs w:val="18"/>
              </w:rPr>
              <w:t>TVSH/milionë lekë</w:t>
            </w:r>
          </w:p>
        </w:tc>
        <w:tc>
          <w:tcPr>
            <w:tcW w:w="931" w:type="dxa"/>
            <w:hideMark/>
          </w:tcPr>
          <w:p w:rsidR="00F720EE" w:rsidRPr="004E355C" w:rsidRDefault="00F720EE" w:rsidP="00E94F2B">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sz w:val="18"/>
                <w:szCs w:val="18"/>
              </w:rPr>
            </w:pPr>
            <w:r w:rsidRPr="004E355C">
              <w:rPr>
                <w:rFonts w:asciiTheme="minorHAnsi" w:hAnsiTheme="minorHAnsi" w:cstheme="minorHAnsi"/>
                <w:b/>
                <w:bCs/>
                <w:sz w:val="18"/>
                <w:szCs w:val="18"/>
              </w:rPr>
              <w:t>%</w:t>
            </w:r>
          </w:p>
        </w:tc>
      </w:tr>
      <w:tr w:rsidR="00F720EE" w:rsidRPr="004E355C" w:rsidTr="00E94F2B">
        <w:trPr>
          <w:trHeight w:val="184"/>
          <w:jc w:val="center"/>
        </w:trPr>
        <w:tc>
          <w:tcPr>
            <w:cnfStyle w:val="001000000000" w:firstRow="0" w:lastRow="0" w:firstColumn="1" w:lastColumn="0" w:oddVBand="0" w:evenVBand="0" w:oddHBand="0" w:evenHBand="0" w:firstRowFirstColumn="0" w:firstRowLastColumn="0" w:lastRowFirstColumn="0" w:lastRowLastColumn="0"/>
            <w:tcW w:w="3595" w:type="dxa"/>
            <w:vAlign w:val="bottom"/>
          </w:tcPr>
          <w:p w:rsidR="00F720EE" w:rsidRPr="00B21457" w:rsidRDefault="00F720EE" w:rsidP="00E94F2B">
            <w:pPr>
              <w:rPr>
                <w:rFonts w:asciiTheme="minorHAnsi" w:hAnsiTheme="minorHAnsi" w:cstheme="minorHAnsi"/>
                <w:b w:val="0"/>
                <w:sz w:val="18"/>
                <w:szCs w:val="18"/>
              </w:rPr>
            </w:pPr>
            <w:r w:rsidRPr="00B21457">
              <w:rPr>
                <w:rFonts w:ascii="Calibri" w:hAnsi="Calibri" w:cs="Calibri"/>
                <w:color w:val="000000"/>
                <w:sz w:val="18"/>
                <w:szCs w:val="18"/>
              </w:rPr>
              <w:t>Mielli dhe Gruri</w:t>
            </w:r>
          </w:p>
        </w:tc>
        <w:tc>
          <w:tcPr>
            <w:tcW w:w="1624" w:type="dxa"/>
            <w:vAlign w:val="bottom"/>
          </w:tcPr>
          <w:p w:rsidR="00F720EE" w:rsidRPr="00B21457" w:rsidRDefault="00F720EE" w:rsidP="00E94F2B">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rPr>
            </w:pPr>
            <w:r w:rsidRPr="00B21457">
              <w:rPr>
                <w:rFonts w:ascii="Calibri" w:hAnsi="Calibri" w:cs="Calibri"/>
                <w:color w:val="000000"/>
                <w:sz w:val="18"/>
                <w:szCs w:val="18"/>
              </w:rPr>
              <w:t>Ton</w:t>
            </w:r>
          </w:p>
        </w:tc>
        <w:tc>
          <w:tcPr>
            <w:tcW w:w="951" w:type="dxa"/>
            <w:vAlign w:val="bottom"/>
          </w:tcPr>
          <w:p w:rsidR="00F720EE" w:rsidRPr="00B21457" w:rsidRDefault="00F720EE" w:rsidP="00E94F2B">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rPr>
            </w:pPr>
            <w:r w:rsidRPr="00B21457">
              <w:rPr>
                <w:rFonts w:ascii="Calibri" w:hAnsi="Calibri" w:cs="Calibri"/>
                <w:color w:val="000000"/>
                <w:sz w:val="18"/>
                <w:szCs w:val="18"/>
              </w:rPr>
              <w:t>45,561</w:t>
            </w:r>
          </w:p>
        </w:tc>
        <w:tc>
          <w:tcPr>
            <w:tcW w:w="740" w:type="dxa"/>
            <w:vAlign w:val="bottom"/>
          </w:tcPr>
          <w:p w:rsidR="00F720EE" w:rsidRPr="00B21457" w:rsidRDefault="00F720EE" w:rsidP="00E94F2B">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rPr>
            </w:pPr>
            <w:r w:rsidRPr="00B21457">
              <w:rPr>
                <w:rFonts w:ascii="Calibri" w:hAnsi="Calibri" w:cs="Calibri"/>
                <w:color w:val="000000"/>
                <w:sz w:val="18"/>
                <w:szCs w:val="18"/>
              </w:rPr>
              <w:t>56.2%</w:t>
            </w:r>
          </w:p>
        </w:tc>
        <w:tc>
          <w:tcPr>
            <w:tcW w:w="1674" w:type="dxa"/>
            <w:vAlign w:val="bottom"/>
          </w:tcPr>
          <w:p w:rsidR="00F720EE" w:rsidRPr="00B21457" w:rsidRDefault="00F720EE" w:rsidP="00E94F2B">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rPr>
            </w:pPr>
            <w:r w:rsidRPr="00B21457">
              <w:rPr>
                <w:rFonts w:ascii="Calibri" w:hAnsi="Calibri" w:cs="Calibri"/>
                <w:color w:val="000000"/>
                <w:sz w:val="18"/>
                <w:szCs w:val="18"/>
              </w:rPr>
              <w:t>257</w:t>
            </w:r>
          </w:p>
        </w:tc>
        <w:tc>
          <w:tcPr>
            <w:tcW w:w="931" w:type="dxa"/>
            <w:vAlign w:val="bottom"/>
          </w:tcPr>
          <w:p w:rsidR="00F720EE" w:rsidRPr="00B21457" w:rsidRDefault="00F720EE" w:rsidP="00E94F2B">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rPr>
            </w:pPr>
            <w:r w:rsidRPr="00B21457">
              <w:rPr>
                <w:rFonts w:ascii="Calibri" w:hAnsi="Calibri" w:cs="Calibri"/>
                <w:color w:val="000000"/>
                <w:sz w:val="18"/>
                <w:szCs w:val="18"/>
              </w:rPr>
              <w:t>52.6%</w:t>
            </w:r>
          </w:p>
        </w:tc>
      </w:tr>
      <w:tr w:rsidR="00F720EE" w:rsidRPr="004E355C" w:rsidTr="00E94F2B">
        <w:trPr>
          <w:cnfStyle w:val="000000100000" w:firstRow="0" w:lastRow="0" w:firstColumn="0" w:lastColumn="0" w:oddVBand="0" w:evenVBand="0" w:oddHBand="1" w:evenHBand="0" w:firstRowFirstColumn="0" w:firstRowLastColumn="0" w:lastRowFirstColumn="0" w:lastRowLastColumn="0"/>
          <w:trHeight w:val="205"/>
          <w:jc w:val="center"/>
        </w:trPr>
        <w:tc>
          <w:tcPr>
            <w:cnfStyle w:val="001000000000" w:firstRow="0" w:lastRow="0" w:firstColumn="1" w:lastColumn="0" w:oddVBand="0" w:evenVBand="0" w:oddHBand="0" w:evenHBand="0" w:firstRowFirstColumn="0" w:firstRowLastColumn="0" w:lastRowFirstColumn="0" w:lastRowLastColumn="0"/>
            <w:tcW w:w="3595" w:type="dxa"/>
            <w:vAlign w:val="bottom"/>
          </w:tcPr>
          <w:p w:rsidR="00F720EE" w:rsidRPr="00B21457" w:rsidRDefault="00F720EE" w:rsidP="00E94F2B">
            <w:pPr>
              <w:rPr>
                <w:rFonts w:asciiTheme="minorHAnsi" w:hAnsiTheme="minorHAnsi" w:cstheme="minorHAnsi"/>
                <w:b w:val="0"/>
                <w:sz w:val="18"/>
                <w:szCs w:val="18"/>
              </w:rPr>
            </w:pPr>
            <w:r w:rsidRPr="00B21457">
              <w:rPr>
                <w:rFonts w:ascii="Calibri" w:hAnsi="Calibri" w:cs="Calibri"/>
                <w:color w:val="000000"/>
                <w:sz w:val="18"/>
                <w:szCs w:val="18"/>
              </w:rPr>
              <w:t xml:space="preserve">Dhjamra dhe Vajra shtazore dhe vegjetale </w:t>
            </w:r>
          </w:p>
        </w:tc>
        <w:tc>
          <w:tcPr>
            <w:tcW w:w="1624" w:type="dxa"/>
            <w:vAlign w:val="bottom"/>
          </w:tcPr>
          <w:p w:rsidR="00F720EE" w:rsidRPr="00B21457" w:rsidRDefault="00F720EE" w:rsidP="00E94F2B">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rPr>
            </w:pPr>
            <w:r w:rsidRPr="00B21457">
              <w:rPr>
                <w:rFonts w:ascii="Calibri" w:hAnsi="Calibri" w:cs="Calibri"/>
                <w:color w:val="000000"/>
                <w:sz w:val="18"/>
                <w:szCs w:val="18"/>
              </w:rPr>
              <w:t>Ton</w:t>
            </w:r>
          </w:p>
        </w:tc>
        <w:tc>
          <w:tcPr>
            <w:tcW w:w="951" w:type="dxa"/>
            <w:vAlign w:val="bottom"/>
          </w:tcPr>
          <w:p w:rsidR="00F720EE" w:rsidRPr="00B21457" w:rsidRDefault="00F720EE" w:rsidP="00E94F2B">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rPr>
            </w:pPr>
            <w:r w:rsidRPr="00B21457">
              <w:rPr>
                <w:rFonts w:ascii="Calibri" w:hAnsi="Calibri" w:cs="Calibri"/>
                <w:color w:val="000000"/>
                <w:sz w:val="18"/>
                <w:szCs w:val="18"/>
              </w:rPr>
              <w:t>3,035</w:t>
            </w:r>
          </w:p>
        </w:tc>
        <w:tc>
          <w:tcPr>
            <w:tcW w:w="740" w:type="dxa"/>
            <w:vAlign w:val="bottom"/>
          </w:tcPr>
          <w:p w:rsidR="00F720EE" w:rsidRPr="00B21457" w:rsidRDefault="00F720EE" w:rsidP="00E94F2B">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rPr>
            </w:pPr>
            <w:r w:rsidRPr="00B21457">
              <w:rPr>
                <w:rFonts w:ascii="Calibri" w:hAnsi="Calibri" w:cs="Calibri"/>
                <w:color w:val="000000"/>
                <w:sz w:val="18"/>
                <w:szCs w:val="18"/>
              </w:rPr>
              <w:t>18.3%</w:t>
            </w:r>
          </w:p>
        </w:tc>
        <w:tc>
          <w:tcPr>
            <w:tcW w:w="1674" w:type="dxa"/>
            <w:vAlign w:val="bottom"/>
          </w:tcPr>
          <w:p w:rsidR="00F720EE" w:rsidRPr="00B21457" w:rsidRDefault="00F720EE" w:rsidP="00E94F2B">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rPr>
            </w:pPr>
            <w:r w:rsidRPr="00B21457">
              <w:rPr>
                <w:rFonts w:ascii="Calibri" w:hAnsi="Calibri" w:cs="Calibri"/>
                <w:color w:val="000000"/>
                <w:sz w:val="18"/>
                <w:szCs w:val="18"/>
              </w:rPr>
              <w:t>118</w:t>
            </w:r>
          </w:p>
        </w:tc>
        <w:tc>
          <w:tcPr>
            <w:tcW w:w="931" w:type="dxa"/>
            <w:vAlign w:val="bottom"/>
          </w:tcPr>
          <w:p w:rsidR="00F720EE" w:rsidRPr="00B21457" w:rsidRDefault="00F720EE" w:rsidP="00E94F2B">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rPr>
            </w:pPr>
            <w:r w:rsidRPr="00B21457">
              <w:rPr>
                <w:rFonts w:ascii="Calibri" w:hAnsi="Calibri" w:cs="Calibri"/>
                <w:color w:val="000000"/>
                <w:sz w:val="18"/>
                <w:szCs w:val="18"/>
              </w:rPr>
              <w:t>32.3%</w:t>
            </w:r>
          </w:p>
        </w:tc>
      </w:tr>
      <w:tr w:rsidR="00F720EE" w:rsidRPr="004E355C" w:rsidTr="00E94F2B">
        <w:trPr>
          <w:trHeight w:val="104"/>
          <w:jc w:val="center"/>
        </w:trPr>
        <w:tc>
          <w:tcPr>
            <w:cnfStyle w:val="001000000000" w:firstRow="0" w:lastRow="0" w:firstColumn="1" w:lastColumn="0" w:oddVBand="0" w:evenVBand="0" w:oddHBand="0" w:evenHBand="0" w:firstRowFirstColumn="0" w:firstRowLastColumn="0" w:lastRowFirstColumn="0" w:lastRowLastColumn="0"/>
            <w:tcW w:w="3595" w:type="dxa"/>
            <w:vAlign w:val="bottom"/>
          </w:tcPr>
          <w:p w:rsidR="00F720EE" w:rsidRPr="00B21457" w:rsidRDefault="00F720EE" w:rsidP="00E94F2B">
            <w:pPr>
              <w:rPr>
                <w:rFonts w:asciiTheme="minorHAnsi" w:hAnsiTheme="minorHAnsi" w:cstheme="minorHAnsi"/>
                <w:b w:val="0"/>
                <w:sz w:val="18"/>
                <w:szCs w:val="18"/>
              </w:rPr>
            </w:pPr>
            <w:r w:rsidRPr="00B21457">
              <w:rPr>
                <w:rFonts w:ascii="Calibri" w:hAnsi="Calibri" w:cs="Calibri"/>
                <w:color w:val="000000"/>
                <w:sz w:val="18"/>
                <w:szCs w:val="18"/>
              </w:rPr>
              <w:t>Sheqeri</w:t>
            </w:r>
          </w:p>
        </w:tc>
        <w:tc>
          <w:tcPr>
            <w:tcW w:w="1624" w:type="dxa"/>
            <w:vAlign w:val="bottom"/>
          </w:tcPr>
          <w:p w:rsidR="00F720EE" w:rsidRPr="00B21457" w:rsidRDefault="00F720EE" w:rsidP="00E94F2B">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rPr>
            </w:pPr>
            <w:r w:rsidRPr="00B21457">
              <w:rPr>
                <w:rFonts w:ascii="Calibri" w:hAnsi="Calibri" w:cs="Calibri"/>
                <w:color w:val="000000"/>
                <w:sz w:val="18"/>
                <w:szCs w:val="18"/>
              </w:rPr>
              <w:t>Ton</w:t>
            </w:r>
          </w:p>
        </w:tc>
        <w:tc>
          <w:tcPr>
            <w:tcW w:w="951" w:type="dxa"/>
            <w:vAlign w:val="bottom"/>
          </w:tcPr>
          <w:p w:rsidR="00F720EE" w:rsidRPr="00B21457" w:rsidRDefault="00F720EE" w:rsidP="00E94F2B">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rPr>
            </w:pPr>
            <w:r w:rsidRPr="00B21457">
              <w:rPr>
                <w:rFonts w:ascii="Calibri" w:hAnsi="Calibri" w:cs="Calibri"/>
                <w:color w:val="000000"/>
                <w:sz w:val="18"/>
                <w:szCs w:val="18"/>
              </w:rPr>
              <w:t>4,160</w:t>
            </w:r>
          </w:p>
        </w:tc>
        <w:tc>
          <w:tcPr>
            <w:tcW w:w="740" w:type="dxa"/>
            <w:vAlign w:val="bottom"/>
          </w:tcPr>
          <w:p w:rsidR="00F720EE" w:rsidRPr="00B21457" w:rsidRDefault="00F720EE" w:rsidP="00E94F2B">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rPr>
            </w:pPr>
            <w:r w:rsidRPr="00B21457">
              <w:rPr>
                <w:rFonts w:ascii="Calibri" w:hAnsi="Calibri" w:cs="Calibri"/>
                <w:color w:val="000000"/>
                <w:sz w:val="18"/>
                <w:szCs w:val="18"/>
              </w:rPr>
              <w:t>18.4%</w:t>
            </w:r>
          </w:p>
        </w:tc>
        <w:tc>
          <w:tcPr>
            <w:tcW w:w="1674" w:type="dxa"/>
            <w:vAlign w:val="bottom"/>
          </w:tcPr>
          <w:p w:rsidR="00F720EE" w:rsidRPr="00B21457" w:rsidRDefault="00F720EE" w:rsidP="00E94F2B">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rPr>
            </w:pPr>
            <w:r w:rsidRPr="00B21457">
              <w:rPr>
                <w:rFonts w:ascii="Calibri" w:hAnsi="Calibri" w:cs="Calibri"/>
                <w:color w:val="000000"/>
                <w:sz w:val="18"/>
                <w:szCs w:val="18"/>
              </w:rPr>
              <w:t>76</w:t>
            </w:r>
          </w:p>
        </w:tc>
        <w:tc>
          <w:tcPr>
            <w:tcW w:w="931" w:type="dxa"/>
            <w:vAlign w:val="bottom"/>
          </w:tcPr>
          <w:p w:rsidR="00F720EE" w:rsidRPr="00B21457" w:rsidRDefault="00F720EE" w:rsidP="00E94F2B">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rPr>
            </w:pPr>
            <w:r w:rsidRPr="00B21457">
              <w:rPr>
                <w:rFonts w:ascii="Calibri" w:hAnsi="Calibri" w:cs="Calibri"/>
                <w:color w:val="000000"/>
                <w:sz w:val="18"/>
                <w:szCs w:val="18"/>
              </w:rPr>
              <w:t>38.2%</w:t>
            </w:r>
          </w:p>
        </w:tc>
      </w:tr>
      <w:tr w:rsidR="00F720EE" w:rsidRPr="004E355C" w:rsidTr="00E94F2B">
        <w:trPr>
          <w:cnfStyle w:val="000000100000" w:firstRow="0" w:lastRow="0" w:firstColumn="0" w:lastColumn="0" w:oddVBand="0" w:evenVBand="0" w:oddHBand="1" w:evenHBand="0" w:firstRowFirstColumn="0" w:firstRowLastColumn="0" w:lastRowFirstColumn="0" w:lastRowLastColumn="0"/>
          <w:trHeight w:val="152"/>
          <w:jc w:val="center"/>
        </w:trPr>
        <w:tc>
          <w:tcPr>
            <w:cnfStyle w:val="001000000000" w:firstRow="0" w:lastRow="0" w:firstColumn="1" w:lastColumn="0" w:oddVBand="0" w:evenVBand="0" w:oddHBand="0" w:evenHBand="0" w:firstRowFirstColumn="0" w:firstRowLastColumn="0" w:lastRowFirstColumn="0" w:lastRowLastColumn="0"/>
            <w:tcW w:w="3595" w:type="dxa"/>
            <w:vAlign w:val="bottom"/>
          </w:tcPr>
          <w:p w:rsidR="00F720EE" w:rsidRPr="00B21457" w:rsidRDefault="00F720EE" w:rsidP="00E94F2B">
            <w:pPr>
              <w:rPr>
                <w:rFonts w:asciiTheme="minorHAnsi" w:hAnsiTheme="minorHAnsi" w:cstheme="minorHAnsi"/>
                <w:b w:val="0"/>
                <w:sz w:val="18"/>
                <w:szCs w:val="18"/>
              </w:rPr>
            </w:pPr>
            <w:r w:rsidRPr="00B21457">
              <w:rPr>
                <w:rFonts w:ascii="Calibri" w:hAnsi="Calibri" w:cs="Calibri"/>
                <w:color w:val="000000"/>
                <w:sz w:val="18"/>
                <w:szCs w:val="18"/>
              </w:rPr>
              <w:t>Fruta Perime</w:t>
            </w:r>
          </w:p>
        </w:tc>
        <w:tc>
          <w:tcPr>
            <w:tcW w:w="1624" w:type="dxa"/>
            <w:vAlign w:val="bottom"/>
          </w:tcPr>
          <w:p w:rsidR="00F720EE" w:rsidRPr="00B21457" w:rsidRDefault="00F720EE" w:rsidP="00E94F2B">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rPr>
            </w:pPr>
            <w:r w:rsidRPr="00B21457">
              <w:rPr>
                <w:rFonts w:ascii="Calibri" w:hAnsi="Calibri" w:cs="Calibri"/>
                <w:color w:val="000000"/>
                <w:sz w:val="18"/>
                <w:szCs w:val="18"/>
              </w:rPr>
              <w:t>Ton</w:t>
            </w:r>
          </w:p>
        </w:tc>
        <w:tc>
          <w:tcPr>
            <w:tcW w:w="951" w:type="dxa"/>
            <w:vAlign w:val="bottom"/>
          </w:tcPr>
          <w:p w:rsidR="00F720EE" w:rsidRPr="00B21457" w:rsidRDefault="00F720EE" w:rsidP="00E94F2B">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rPr>
            </w:pPr>
            <w:r w:rsidRPr="00B21457">
              <w:rPr>
                <w:rFonts w:ascii="Calibri" w:hAnsi="Calibri" w:cs="Calibri"/>
                <w:color w:val="000000"/>
                <w:sz w:val="18"/>
                <w:szCs w:val="18"/>
              </w:rPr>
              <w:t>(1,688)</w:t>
            </w:r>
          </w:p>
        </w:tc>
        <w:tc>
          <w:tcPr>
            <w:tcW w:w="740" w:type="dxa"/>
            <w:vAlign w:val="bottom"/>
          </w:tcPr>
          <w:p w:rsidR="00F720EE" w:rsidRPr="00B21457" w:rsidRDefault="00F720EE" w:rsidP="00E94F2B">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rPr>
            </w:pPr>
            <w:r w:rsidRPr="00B21457">
              <w:rPr>
                <w:rFonts w:ascii="Calibri" w:hAnsi="Calibri" w:cs="Calibri"/>
                <w:color w:val="000000"/>
                <w:sz w:val="18"/>
                <w:szCs w:val="18"/>
              </w:rPr>
              <w:t>-2.6%</w:t>
            </w:r>
          </w:p>
        </w:tc>
        <w:tc>
          <w:tcPr>
            <w:tcW w:w="1674" w:type="dxa"/>
            <w:vAlign w:val="bottom"/>
          </w:tcPr>
          <w:p w:rsidR="00F720EE" w:rsidRPr="00B21457" w:rsidRDefault="00F720EE" w:rsidP="00E94F2B">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rPr>
            </w:pPr>
            <w:r w:rsidRPr="00B21457">
              <w:rPr>
                <w:rFonts w:ascii="Calibri" w:hAnsi="Calibri" w:cs="Calibri"/>
                <w:color w:val="000000"/>
                <w:sz w:val="18"/>
                <w:szCs w:val="18"/>
              </w:rPr>
              <w:t>41</w:t>
            </w:r>
          </w:p>
        </w:tc>
        <w:tc>
          <w:tcPr>
            <w:tcW w:w="931" w:type="dxa"/>
            <w:vAlign w:val="bottom"/>
          </w:tcPr>
          <w:p w:rsidR="00F720EE" w:rsidRPr="00B21457" w:rsidRDefault="00F720EE" w:rsidP="00E94F2B">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rPr>
            </w:pPr>
            <w:r w:rsidRPr="00B21457">
              <w:rPr>
                <w:rFonts w:ascii="Calibri" w:hAnsi="Calibri" w:cs="Calibri"/>
                <w:color w:val="000000"/>
                <w:sz w:val="18"/>
                <w:szCs w:val="18"/>
              </w:rPr>
              <w:t>4.7%</w:t>
            </w:r>
          </w:p>
        </w:tc>
      </w:tr>
      <w:tr w:rsidR="00F720EE" w:rsidRPr="004E355C" w:rsidTr="00E94F2B">
        <w:trPr>
          <w:trHeight w:val="201"/>
          <w:jc w:val="center"/>
        </w:trPr>
        <w:tc>
          <w:tcPr>
            <w:cnfStyle w:val="001000000000" w:firstRow="0" w:lastRow="0" w:firstColumn="1" w:lastColumn="0" w:oddVBand="0" w:evenVBand="0" w:oddHBand="0" w:evenHBand="0" w:firstRowFirstColumn="0" w:firstRowLastColumn="0" w:lastRowFirstColumn="0" w:lastRowLastColumn="0"/>
            <w:tcW w:w="3595" w:type="dxa"/>
            <w:vAlign w:val="bottom"/>
          </w:tcPr>
          <w:p w:rsidR="00F720EE" w:rsidRPr="00B21457" w:rsidRDefault="00F720EE" w:rsidP="00E94F2B">
            <w:pPr>
              <w:rPr>
                <w:rFonts w:asciiTheme="minorHAnsi" w:hAnsiTheme="minorHAnsi" w:cstheme="minorHAnsi"/>
                <w:b w:val="0"/>
                <w:sz w:val="18"/>
                <w:szCs w:val="18"/>
              </w:rPr>
            </w:pPr>
            <w:r w:rsidRPr="00B21457">
              <w:rPr>
                <w:rFonts w:ascii="Calibri" w:hAnsi="Calibri" w:cs="Calibri"/>
                <w:color w:val="000000"/>
                <w:sz w:val="18"/>
                <w:szCs w:val="18"/>
              </w:rPr>
              <w:t xml:space="preserve">Bulmet, vezë, mjaltë </w:t>
            </w:r>
          </w:p>
        </w:tc>
        <w:tc>
          <w:tcPr>
            <w:tcW w:w="1624" w:type="dxa"/>
            <w:vAlign w:val="bottom"/>
          </w:tcPr>
          <w:p w:rsidR="00F720EE" w:rsidRPr="00B21457" w:rsidRDefault="00F720EE" w:rsidP="00E94F2B">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rPr>
            </w:pPr>
            <w:r w:rsidRPr="00B21457">
              <w:rPr>
                <w:rFonts w:ascii="Calibri" w:hAnsi="Calibri" w:cs="Calibri"/>
                <w:color w:val="000000"/>
                <w:sz w:val="18"/>
                <w:szCs w:val="18"/>
              </w:rPr>
              <w:t>Ton</w:t>
            </w:r>
          </w:p>
        </w:tc>
        <w:tc>
          <w:tcPr>
            <w:tcW w:w="951" w:type="dxa"/>
            <w:vAlign w:val="bottom"/>
          </w:tcPr>
          <w:p w:rsidR="00F720EE" w:rsidRPr="00B21457" w:rsidRDefault="00F720EE" w:rsidP="00E94F2B">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rPr>
            </w:pPr>
            <w:r w:rsidRPr="00B21457">
              <w:rPr>
                <w:rFonts w:ascii="Calibri" w:hAnsi="Calibri" w:cs="Calibri"/>
                <w:color w:val="000000"/>
                <w:sz w:val="18"/>
                <w:szCs w:val="18"/>
              </w:rPr>
              <w:t>(240)</w:t>
            </w:r>
          </w:p>
        </w:tc>
        <w:tc>
          <w:tcPr>
            <w:tcW w:w="740" w:type="dxa"/>
            <w:vAlign w:val="bottom"/>
          </w:tcPr>
          <w:p w:rsidR="00F720EE" w:rsidRPr="00B21457" w:rsidRDefault="00F720EE" w:rsidP="00E94F2B">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rPr>
            </w:pPr>
            <w:r w:rsidRPr="00B21457">
              <w:rPr>
                <w:rFonts w:ascii="Calibri" w:hAnsi="Calibri" w:cs="Calibri"/>
                <w:color w:val="000000"/>
                <w:sz w:val="18"/>
                <w:szCs w:val="18"/>
              </w:rPr>
              <w:t>-2.9%</w:t>
            </w:r>
          </w:p>
        </w:tc>
        <w:tc>
          <w:tcPr>
            <w:tcW w:w="1674" w:type="dxa"/>
            <w:vAlign w:val="bottom"/>
          </w:tcPr>
          <w:p w:rsidR="00F720EE" w:rsidRPr="00B21457" w:rsidRDefault="00F720EE" w:rsidP="00E94F2B">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rPr>
            </w:pPr>
            <w:r w:rsidRPr="00B21457">
              <w:rPr>
                <w:rFonts w:ascii="Calibri" w:hAnsi="Calibri" w:cs="Calibri"/>
                <w:color w:val="000000"/>
                <w:sz w:val="18"/>
                <w:szCs w:val="18"/>
              </w:rPr>
              <w:t>25</w:t>
            </w:r>
          </w:p>
        </w:tc>
        <w:tc>
          <w:tcPr>
            <w:tcW w:w="931" w:type="dxa"/>
            <w:vAlign w:val="bottom"/>
          </w:tcPr>
          <w:p w:rsidR="00F720EE" w:rsidRPr="00B21457" w:rsidRDefault="00F720EE" w:rsidP="00E94F2B">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rPr>
            </w:pPr>
            <w:r w:rsidRPr="00B21457">
              <w:rPr>
                <w:rFonts w:ascii="Calibri" w:hAnsi="Calibri" w:cs="Calibri"/>
                <w:color w:val="000000"/>
                <w:sz w:val="18"/>
                <w:szCs w:val="18"/>
              </w:rPr>
              <w:t>8.4%</w:t>
            </w:r>
          </w:p>
        </w:tc>
      </w:tr>
      <w:tr w:rsidR="00F720EE" w:rsidRPr="004E355C" w:rsidTr="00E94F2B">
        <w:trPr>
          <w:cnfStyle w:val="000000100000" w:firstRow="0" w:lastRow="0" w:firstColumn="0" w:lastColumn="0" w:oddVBand="0" w:evenVBand="0" w:oddHBand="1" w:evenHBand="0" w:firstRowFirstColumn="0" w:firstRowLastColumn="0" w:lastRowFirstColumn="0" w:lastRowLastColumn="0"/>
          <w:trHeight w:val="250"/>
          <w:jc w:val="center"/>
        </w:trPr>
        <w:tc>
          <w:tcPr>
            <w:cnfStyle w:val="001000000000" w:firstRow="0" w:lastRow="0" w:firstColumn="1" w:lastColumn="0" w:oddVBand="0" w:evenVBand="0" w:oddHBand="0" w:evenHBand="0" w:firstRowFirstColumn="0" w:firstRowLastColumn="0" w:lastRowFirstColumn="0" w:lastRowLastColumn="0"/>
            <w:tcW w:w="3595" w:type="dxa"/>
            <w:vAlign w:val="bottom"/>
          </w:tcPr>
          <w:p w:rsidR="00F720EE" w:rsidRPr="00B21457" w:rsidRDefault="00F720EE" w:rsidP="00E94F2B">
            <w:pPr>
              <w:rPr>
                <w:rFonts w:asciiTheme="minorHAnsi" w:hAnsiTheme="minorHAnsi" w:cstheme="minorHAnsi"/>
                <w:b w:val="0"/>
                <w:sz w:val="18"/>
                <w:szCs w:val="18"/>
              </w:rPr>
            </w:pPr>
          </w:p>
        </w:tc>
        <w:tc>
          <w:tcPr>
            <w:tcW w:w="1624" w:type="dxa"/>
            <w:vAlign w:val="bottom"/>
          </w:tcPr>
          <w:p w:rsidR="00F720EE" w:rsidRPr="00B21457" w:rsidRDefault="00F720EE" w:rsidP="00E94F2B">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rPr>
            </w:pPr>
          </w:p>
        </w:tc>
        <w:tc>
          <w:tcPr>
            <w:tcW w:w="951" w:type="dxa"/>
            <w:vAlign w:val="bottom"/>
          </w:tcPr>
          <w:p w:rsidR="00F720EE" w:rsidRPr="00B21457" w:rsidRDefault="00F720EE" w:rsidP="00E94F2B">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rPr>
            </w:pPr>
          </w:p>
        </w:tc>
        <w:tc>
          <w:tcPr>
            <w:tcW w:w="740" w:type="dxa"/>
            <w:vAlign w:val="bottom"/>
          </w:tcPr>
          <w:p w:rsidR="00F720EE" w:rsidRPr="00B21457" w:rsidRDefault="00F720EE" w:rsidP="00E94F2B">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rPr>
            </w:pPr>
          </w:p>
        </w:tc>
        <w:tc>
          <w:tcPr>
            <w:tcW w:w="1674" w:type="dxa"/>
            <w:vAlign w:val="bottom"/>
          </w:tcPr>
          <w:p w:rsidR="00F720EE" w:rsidRPr="00B21457" w:rsidRDefault="00F720EE" w:rsidP="00E94F2B">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sz w:val="18"/>
                <w:szCs w:val="18"/>
              </w:rPr>
            </w:pPr>
            <w:r w:rsidRPr="00B21457">
              <w:rPr>
                <w:rFonts w:asciiTheme="minorHAnsi" w:hAnsiTheme="minorHAnsi" w:cstheme="minorHAnsi"/>
                <w:b/>
                <w:bCs/>
                <w:sz w:val="18"/>
                <w:szCs w:val="18"/>
              </w:rPr>
              <w:t>517</w:t>
            </w:r>
          </w:p>
        </w:tc>
        <w:tc>
          <w:tcPr>
            <w:tcW w:w="931" w:type="dxa"/>
            <w:vAlign w:val="bottom"/>
          </w:tcPr>
          <w:p w:rsidR="00F720EE" w:rsidRPr="00B21457" w:rsidRDefault="00F720EE" w:rsidP="00E94F2B">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rPr>
            </w:pPr>
          </w:p>
        </w:tc>
      </w:tr>
    </w:tbl>
    <w:p w:rsidR="00F720EE" w:rsidRDefault="00F720EE" w:rsidP="00F720EE">
      <w:pPr>
        <w:spacing w:line="276" w:lineRule="auto"/>
        <w:jc w:val="both"/>
        <w:rPr>
          <w:rFonts w:asciiTheme="minorHAnsi" w:hAnsiTheme="minorHAnsi"/>
          <w:sz w:val="8"/>
          <w:szCs w:val="8"/>
          <w:lang w:val="sq-AL"/>
        </w:rPr>
      </w:pPr>
    </w:p>
    <w:p w:rsidR="00F720EE" w:rsidRDefault="00F720EE" w:rsidP="00F720EE">
      <w:pPr>
        <w:tabs>
          <w:tab w:val="left" w:pos="810"/>
          <w:tab w:val="center" w:pos="4680"/>
          <w:tab w:val="left" w:pos="9360"/>
        </w:tabs>
        <w:spacing w:line="276" w:lineRule="auto"/>
        <w:rPr>
          <w:rFonts w:asciiTheme="minorHAnsi" w:hAnsiTheme="minorHAnsi"/>
          <w:sz w:val="20"/>
          <w:szCs w:val="20"/>
          <w:lang w:val="sq-AL"/>
        </w:rPr>
      </w:pPr>
      <w:r w:rsidRPr="004E355C">
        <w:rPr>
          <w:rFonts w:asciiTheme="minorHAnsi" w:hAnsiTheme="minorHAnsi"/>
          <w:sz w:val="20"/>
          <w:szCs w:val="20"/>
          <w:lang w:val="sq-AL"/>
        </w:rPr>
        <w:t>Burimi: Ministria e Financave dhe Ekonomisë (2019)</w:t>
      </w:r>
    </w:p>
    <w:p w:rsidR="00F720EE" w:rsidRDefault="00F720EE" w:rsidP="00F720EE">
      <w:pPr>
        <w:spacing w:line="276" w:lineRule="auto"/>
        <w:ind w:firstLine="720"/>
        <w:jc w:val="both"/>
        <w:rPr>
          <w:rFonts w:asciiTheme="minorHAnsi" w:hAnsiTheme="minorHAnsi"/>
          <w:sz w:val="8"/>
          <w:szCs w:val="8"/>
          <w:lang w:val="sq-AL"/>
        </w:rPr>
      </w:pPr>
    </w:p>
    <w:p w:rsidR="00F720EE" w:rsidRPr="002326C7" w:rsidRDefault="00F720EE" w:rsidP="00F720EE">
      <w:pPr>
        <w:spacing w:line="276" w:lineRule="auto"/>
        <w:ind w:firstLine="720"/>
        <w:jc w:val="both"/>
        <w:rPr>
          <w:rFonts w:asciiTheme="minorHAnsi" w:hAnsiTheme="minorHAnsi"/>
          <w:sz w:val="8"/>
          <w:szCs w:val="8"/>
          <w:lang w:val="sq-AL"/>
        </w:rPr>
      </w:pPr>
    </w:p>
    <w:p w:rsidR="00F720EE" w:rsidRPr="004E355C" w:rsidRDefault="00F720EE" w:rsidP="00F720EE">
      <w:pPr>
        <w:pStyle w:val="Caption"/>
        <w:keepNext/>
        <w:spacing w:after="0"/>
        <w:jc w:val="both"/>
        <w:rPr>
          <w:rFonts w:asciiTheme="minorHAnsi" w:hAnsiTheme="minorHAnsi"/>
          <w:b w:val="0"/>
          <w:bCs w:val="0"/>
          <w:i/>
          <w:color w:val="auto"/>
          <w:sz w:val="24"/>
          <w:szCs w:val="24"/>
          <w:lang w:val="sq-AL"/>
        </w:rPr>
      </w:pPr>
      <w:bookmarkStart w:id="26" w:name="_Toc12449192"/>
      <w:bookmarkStart w:id="27" w:name="_Toc44404407"/>
      <w:r w:rsidRPr="004E355C">
        <w:rPr>
          <w:rFonts w:asciiTheme="minorHAnsi" w:hAnsiTheme="minorHAnsi"/>
          <w:b w:val="0"/>
          <w:bCs w:val="0"/>
          <w:i/>
          <w:color w:val="auto"/>
          <w:sz w:val="24"/>
          <w:szCs w:val="24"/>
          <w:lang w:val="sq-AL"/>
        </w:rPr>
        <w:t xml:space="preserve">Tabela </w:t>
      </w:r>
      <w:r w:rsidRPr="004E355C">
        <w:rPr>
          <w:rFonts w:asciiTheme="minorHAnsi" w:hAnsiTheme="minorHAnsi"/>
          <w:b w:val="0"/>
          <w:bCs w:val="0"/>
          <w:i/>
          <w:color w:val="auto"/>
          <w:sz w:val="24"/>
          <w:szCs w:val="24"/>
          <w:lang w:val="sq-AL"/>
        </w:rPr>
        <w:fldChar w:fldCharType="begin"/>
      </w:r>
      <w:r w:rsidRPr="004E355C">
        <w:rPr>
          <w:rFonts w:asciiTheme="minorHAnsi" w:hAnsiTheme="minorHAnsi"/>
          <w:b w:val="0"/>
          <w:bCs w:val="0"/>
          <w:i/>
          <w:color w:val="auto"/>
          <w:sz w:val="24"/>
          <w:szCs w:val="24"/>
          <w:lang w:val="sq-AL"/>
        </w:rPr>
        <w:instrText xml:space="preserve"> SEQ Tabela \* ARABIC </w:instrText>
      </w:r>
      <w:r w:rsidRPr="004E355C">
        <w:rPr>
          <w:rFonts w:asciiTheme="minorHAnsi" w:hAnsiTheme="minorHAnsi"/>
          <w:b w:val="0"/>
          <w:bCs w:val="0"/>
          <w:i/>
          <w:color w:val="auto"/>
          <w:sz w:val="24"/>
          <w:szCs w:val="24"/>
          <w:lang w:val="sq-AL"/>
        </w:rPr>
        <w:fldChar w:fldCharType="separate"/>
      </w:r>
      <w:r w:rsidR="00C342E2">
        <w:rPr>
          <w:rFonts w:asciiTheme="minorHAnsi" w:hAnsiTheme="minorHAnsi"/>
          <w:b w:val="0"/>
          <w:bCs w:val="0"/>
          <w:i/>
          <w:noProof/>
          <w:color w:val="auto"/>
          <w:sz w:val="24"/>
          <w:szCs w:val="24"/>
          <w:lang w:val="sq-AL"/>
        </w:rPr>
        <w:t>6</w:t>
      </w:r>
      <w:r w:rsidRPr="004E355C">
        <w:rPr>
          <w:rFonts w:asciiTheme="minorHAnsi" w:hAnsiTheme="minorHAnsi"/>
          <w:b w:val="0"/>
          <w:bCs w:val="0"/>
          <w:i/>
          <w:color w:val="auto"/>
          <w:sz w:val="24"/>
          <w:szCs w:val="24"/>
          <w:lang w:val="sq-AL"/>
        </w:rPr>
        <w:fldChar w:fldCharType="end"/>
      </w:r>
      <w:r w:rsidRPr="004E355C">
        <w:rPr>
          <w:rFonts w:asciiTheme="minorHAnsi" w:hAnsiTheme="minorHAnsi"/>
          <w:b w:val="0"/>
          <w:bCs w:val="0"/>
          <w:i/>
          <w:color w:val="auto"/>
          <w:sz w:val="24"/>
          <w:szCs w:val="24"/>
          <w:lang w:val="sq-AL"/>
        </w:rPr>
        <w:t>: Kontribuesit negativë në të ardhurat nga TVSH/ Diferencat Janar-Maj 20</w:t>
      </w:r>
      <w:r>
        <w:rPr>
          <w:rFonts w:asciiTheme="minorHAnsi" w:hAnsiTheme="minorHAnsi"/>
          <w:b w:val="0"/>
          <w:bCs w:val="0"/>
          <w:i/>
          <w:color w:val="auto"/>
          <w:sz w:val="24"/>
          <w:szCs w:val="24"/>
          <w:lang w:val="sq-AL"/>
        </w:rPr>
        <w:t>20</w:t>
      </w:r>
      <w:r w:rsidRPr="004E355C">
        <w:rPr>
          <w:rFonts w:asciiTheme="minorHAnsi" w:hAnsiTheme="minorHAnsi"/>
          <w:b w:val="0"/>
          <w:bCs w:val="0"/>
          <w:i/>
          <w:color w:val="auto"/>
          <w:sz w:val="24"/>
          <w:szCs w:val="24"/>
          <w:lang w:val="sq-AL"/>
        </w:rPr>
        <w:t>/201</w:t>
      </w:r>
      <w:bookmarkEnd w:id="26"/>
      <w:r>
        <w:rPr>
          <w:rFonts w:asciiTheme="minorHAnsi" w:hAnsiTheme="minorHAnsi"/>
          <w:b w:val="0"/>
          <w:bCs w:val="0"/>
          <w:i/>
          <w:color w:val="auto"/>
          <w:sz w:val="24"/>
          <w:szCs w:val="24"/>
          <w:lang w:val="sq-AL"/>
        </w:rPr>
        <w:t>9</w:t>
      </w:r>
      <w:bookmarkEnd w:id="27"/>
    </w:p>
    <w:tbl>
      <w:tblPr>
        <w:tblStyle w:val="ListTable3-Accent52"/>
        <w:tblW w:w="9515" w:type="dxa"/>
        <w:jc w:val="center"/>
        <w:tblLayout w:type="fixed"/>
        <w:tblLook w:val="04A0" w:firstRow="1" w:lastRow="0" w:firstColumn="1" w:lastColumn="0" w:noHBand="0" w:noVBand="1"/>
      </w:tblPr>
      <w:tblGrid>
        <w:gridCol w:w="3505"/>
        <w:gridCol w:w="1170"/>
        <w:gridCol w:w="1350"/>
        <w:gridCol w:w="885"/>
        <w:gridCol w:w="1674"/>
        <w:gridCol w:w="931"/>
      </w:tblGrid>
      <w:tr w:rsidR="00F720EE" w:rsidRPr="004E355C" w:rsidTr="00E94F2B">
        <w:trPr>
          <w:cnfStyle w:val="100000000000" w:firstRow="1" w:lastRow="0" w:firstColumn="0" w:lastColumn="0" w:oddVBand="0" w:evenVBand="0" w:oddHBand="0" w:evenHBand="0" w:firstRowFirstColumn="0" w:firstRowLastColumn="0" w:lastRowFirstColumn="0" w:lastRowLastColumn="0"/>
          <w:trHeight w:val="387"/>
          <w:jc w:val="center"/>
        </w:trPr>
        <w:tc>
          <w:tcPr>
            <w:cnfStyle w:val="001000000100" w:firstRow="0" w:lastRow="0" w:firstColumn="1" w:lastColumn="0" w:oddVBand="0" w:evenVBand="0" w:oddHBand="0" w:evenHBand="0" w:firstRowFirstColumn="1" w:firstRowLastColumn="0" w:lastRowFirstColumn="0" w:lastRowLastColumn="0"/>
            <w:tcW w:w="9515" w:type="dxa"/>
            <w:gridSpan w:val="6"/>
            <w:hideMark/>
          </w:tcPr>
          <w:p w:rsidR="00F720EE" w:rsidRPr="004E355C" w:rsidRDefault="00F720EE" w:rsidP="00E94F2B">
            <w:pPr>
              <w:jc w:val="center"/>
              <w:rPr>
                <w:rFonts w:asciiTheme="minorHAnsi" w:hAnsiTheme="minorHAnsi" w:cstheme="minorHAnsi"/>
                <w:b w:val="0"/>
                <w:color w:val="auto"/>
                <w:sz w:val="18"/>
                <w:szCs w:val="18"/>
              </w:rPr>
            </w:pPr>
            <w:r w:rsidRPr="004E355C">
              <w:rPr>
                <w:rFonts w:asciiTheme="minorHAnsi" w:hAnsiTheme="minorHAnsi" w:cstheme="minorHAnsi"/>
                <w:color w:val="auto"/>
                <w:sz w:val="20"/>
                <w:szCs w:val="18"/>
              </w:rPr>
              <w:t>Produktet me kontribut negativ</w:t>
            </w:r>
          </w:p>
        </w:tc>
      </w:tr>
      <w:tr w:rsidR="00F720EE" w:rsidRPr="004E355C" w:rsidTr="00E94F2B">
        <w:trPr>
          <w:cnfStyle w:val="000000100000" w:firstRow="0" w:lastRow="0" w:firstColumn="0" w:lastColumn="0" w:oddVBand="0" w:evenVBand="0" w:oddHBand="1" w:evenHBand="0" w:firstRowFirstColumn="0" w:firstRowLastColumn="0" w:lastRowFirstColumn="0" w:lastRowLastColumn="0"/>
          <w:trHeight w:val="204"/>
          <w:jc w:val="center"/>
        </w:trPr>
        <w:tc>
          <w:tcPr>
            <w:cnfStyle w:val="001000000000" w:firstRow="0" w:lastRow="0" w:firstColumn="1" w:lastColumn="0" w:oddVBand="0" w:evenVBand="0" w:oddHBand="0" w:evenHBand="0" w:firstRowFirstColumn="0" w:firstRowLastColumn="0" w:lastRowFirstColumn="0" w:lastRowLastColumn="0"/>
            <w:tcW w:w="3505" w:type="dxa"/>
            <w:hideMark/>
          </w:tcPr>
          <w:p w:rsidR="00F720EE" w:rsidRPr="004E355C" w:rsidRDefault="00F720EE" w:rsidP="00E94F2B">
            <w:pPr>
              <w:rPr>
                <w:rFonts w:asciiTheme="minorHAnsi" w:hAnsiTheme="minorHAnsi" w:cstheme="minorHAnsi"/>
                <w:b w:val="0"/>
                <w:bCs w:val="0"/>
                <w:sz w:val="18"/>
                <w:szCs w:val="18"/>
              </w:rPr>
            </w:pPr>
            <w:r w:rsidRPr="004E355C">
              <w:rPr>
                <w:rFonts w:asciiTheme="minorHAnsi" w:hAnsiTheme="minorHAnsi" w:cstheme="minorHAnsi"/>
                <w:sz w:val="18"/>
                <w:szCs w:val="18"/>
              </w:rPr>
              <w:t> </w:t>
            </w:r>
          </w:p>
        </w:tc>
        <w:tc>
          <w:tcPr>
            <w:tcW w:w="1170" w:type="dxa"/>
            <w:hideMark/>
          </w:tcPr>
          <w:p w:rsidR="00F720EE" w:rsidRPr="004E355C" w:rsidRDefault="00F720EE" w:rsidP="00E94F2B">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sz w:val="18"/>
                <w:szCs w:val="18"/>
              </w:rPr>
            </w:pPr>
            <w:r w:rsidRPr="004E355C">
              <w:rPr>
                <w:rFonts w:asciiTheme="minorHAnsi" w:hAnsiTheme="minorHAnsi" w:cstheme="minorHAnsi"/>
                <w:b/>
                <w:bCs/>
                <w:sz w:val="18"/>
                <w:szCs w:val="18"/>
              </w:rPr>
              <w:t>Njësia</w:t>
            </w:r>
          </w:p>
        </w:tc>
        <w:tc>
          <w:tcPr>
            <w:tcW w:w="1350" w:type="dxa"/>
            <w:hideMark/>
          </w:tcPr>
          <w:p w:rsidR="00F720EE" w:rsidRPr="004E355C" w:rsidRDefault="00F720EE" w:rsidP="00E94F2B">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sz w:val="18"/>
                <w:szCs w:val="18"/>
              </w:rPr>
            </w:pPr>
            <w:r w:rsidRPr="004E355C">
              <w:rPr>
                <w:rFonts w:asciiTheme="minorHAnsi" w:hAnsiTheme="minorHAnsi" w:cstheme="minorHAnsi"/>
                <w:b/>
                <w:bCs/>
                <w:sz w:val="18"/>
                <w:szCs w:val="18"/>
              </w:rPr>
              <w:t>Sasi</w:t>
            </w:r>
          </w:p>
        </w:tc>
        <w:tc>
          <w:tcPr>
            <w:tcW w:w="885" w:type="dxa"/>
            <w:hideMark/>
          </w:tcPr>
          <w:p w:rsidR="00F720EE" w:rsidRPr="004E355C" w:rsidRDefault="00F720EE" w:rsidP="00E94F2B">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sz w:val="18"/>
                <w:szCs w:val="18"/>
              </w:rPr>
            </w:pPr>
            <w:r w:rsidRPr="004E355C">
              <w:rPr>
                <w:rFonts w:asciiTheme="minorHAnsi" w:hAnsiTheme="minorHAnsi" w:cstheme="minorHAnsi"/>
                <w:b/>
                <w:bCs/>
                <w:sz w:val="18"/>
                <w:szCs w:val="18"/>
              </w:rPr>
              <w:t>%</w:t>
            </w:r>
          </w:p>
        </w:tc>
        <w:tc>
          <w:tcPr>
            <w:tcW w:w="1674" w:type="dxa"/>
            <w:hideMark/>
          </w:tcPr>
          <w:p w:rsidR="00F720EE" w:rsidRPr="004E355C" w:rsidRDefault="00F720EE" w:rsidP="00E94F2B">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sz w:val="18"/>
                <w:szCs w:val="18"/>
              </w:rPr>
            </w:pPr>
            <w:r w:rsidRPr="004E355C">
              <w:rPr>
                <w:rFonts w:asciiTheme="minorHAnsi" w:hAnsiTheme="minorHAnsi" w:cstheme="minorHAnsi"/>
                <w:b/>
                <w:bCs/>
                <w:sz w:val="18"/>
                <w:szCs w:val="18"/>
              </w:rPr>
              <w:t>TVSH/milionë lekë</w:t>
            </w:r>
          </w:p>
        </w:tc>
        <w:tc>
          <w:tcPr>
            <w:tcW w:w="931" w:type="dxa"/>
            <w:hideMark/>
          </w:tcPr>
          <w:p w:rsidR="00F720EE" w:rsidRPr="004E355C" w:rsidRDefault="00F720EE" w:rsidP="00E94F2B">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sz w:val="18"/>
                <w:szCs w:val="18"/>
              </w:rPr>
            </w:pPr>
            <w:r w:rsidRPr="004E355C">
              <w:rPr>
                <w:rFonts w:asciiTheme="minorHAnsi" w:hAnsiTheme="minorHAnsi" w:cstheme="minorHAnsi"/>
                <w:b/>
                <w:bCs/>
                <w:sz w:val="18"/>
                <w:szCs w:val="18"/>
              </w:rPr>
              <w:t>%</w:t>
            </w:r>
          </w:p>
        </w:tc>
      </w:tr>
      <w:tr w:rsidR="00F720EE" w:rsidRPr="004E355C" w:rsidTr="00E94F2B">
        <w:trPr>
          <w:trHeight w:val="184"/>
          <w:jc w:val="center"/>
        </w:trPr>
        <w:tc>
          <w:tcPr>
            <w:cnfStyle w:val="001000000000" w:firstRow="0" w:lastRow="0" w:firstColumn="1" w:lastColumn="0" w:oddVBand="0" w:evenVBand="0" w:oddHBand="0" w:evenHBand="0" w:firstRowFirstColumn="0" w:firstRowLastColumn="0" w:lastRowFirstColumn="0" w:lastRowLastColumn="0"/>
            <w:tcW w:w="3505" w:type="dxa"/>
            <w:vAlign w:val="bottom"/>
          </w:tcPr>
          <w:p w:rsidR="00F720EE" w:rsidRPr="00B21457" w:rsidRDefault="00F720EE" w:rsidP="00E94F2B">
            <w:pPr>
              <w:rPr>
                <w:rFonts w:asciiTheme="minorHAnsi" w:hAnsiTheme="minorHAnsi" w:cstheme="minorHAnsi"/>
                <w:b w:val="0"/>
                <w:sz w:val="20"/>
                <w:szCs w:val="20"/>
              </w:rPr>
            </w:pPr>
            <w:r w:rsidRPr="00B21457">
              <w:rPr>
                <w:rFonts w:ascii="Calibri" w:hAnsi="Calibri" w:cs="Calibri"/>
                <w:color w:val="000000"/>
                <w:sz w:val="20"/>
                <w:szCs w:val="20"/>
              </w:rPr>
              <w:t>Energji Elektrike</w:t>
            </w:r>
          </w:p>
        </w:tc>
        <w:tc>
          <w:tcPr>
            <w:tcW w:w="1170" w:type="dxa"/>
            <w:vAlign w:val="bottom"/>
          </w:tcPr>
          <w:p w:rsidR="00F720EE" w:rsidRPr="00B21457" w:rsidRDefault="00F720EE" w:rsidP="00E94F2B">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B21457">
              <w:rPr>
                <w:rFonts w:ascii="Calibri" w:hAnsi="Calibri" w:cs="Calibri"/>
                <w:color w:val="000000"/>
                <w:sz w:val="20"/>
                <w:szCs w:val="20"/>
              </w:rPr>
              <w:t>MV/orë</w:t>
            </w:r>
          </w:p>
        </w:tc>
        <w:tc>
          <w:tcPr>
            <w:tcW w:w="1350" w:type="dxa"/>
            <w:vAlign w:val="bottom"/>
          </w:tcPr>
          <w:p w:rsidR="00F720EE" w:rsidRPr="00B21457" w:rsidRDefault="00F720EE" w:rsidP="00E94F2B">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B21457">
              <w:rPr>
                <w:rFonts w:ascii="Calibri" w:hAnsi="Calibri" w:cs="Calibri"/>
                <w:color w:val="000000"/>
                <w:sz w:val="20"/>
                <w:szCs w:val="20"/>
              </w:rPr>
              <w:t>(596,636)</w:t>
            </w:r>
          </w:p>
        </w:tc>
        <w:tc>
          <w:tcPr>
            <w:tcW w:w="885" w:type="dxa"/>
            <w:vAlign w:val="bottom"/>
          </w:tcPr>
          <w:p w:rsidR="00F720EE" w:rsidRPr="00B21457" w:rsidRDefault="00F720EE" w:rsidP="00E94F2B">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B21457">
              <w:rPr>
                <w:rFonts w:ascii="Calibri" w:hAnsi="Calibri" w:cs="Calibri"/>
                <w:color w:val="000000"/>
                <w:sz w:val="20"/>
                <w:szCs w:val="20"/>
              </w:rPr>
              <w:t>-38.9%</w:t>
            </w:r>
          </w:p>
        </w:tc>
        <w:tc>
          <w:tcPr>
            <w:tcW w:w="1674" w:type="dxa"/>
            <w:vAlign w:val="bottom"/>
          </w:tcPr>
          <w:p w:rsidR="00F720EE" w:rsidRPr="00B21457" w:rsidRDefault="00F720EE" w:rsidP="00E94F2B">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B21457">
              <w:rPr>
                <w:rFonts w:ascii="Calibri" w:hAnsi="Calibri" w:cs="Calibri"/>
                <w:color w:val="000000"/>
                <w:sz w:val="20"/>
                <w:szCs w:val="20"/>
              </w:rPr>
              <w:t>(1,342)</w:t>
            </w:r>
          </w:p>
        </w:tc>
        <w:tc>
          <w:tcPr>
            <w:tcW w:w="931" w:type="dxa"/>
            <w:vAlign w:val="bottom"/>
          </w:tcPr>
          <w:p w:rsidR="00F720EE" w:rsidRPr="00B21457" w:rsidRDefault="00F720EE" w:rsidP="00E94F2B">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B21457">
              <w:rPr>
                <w:rFonts w:ascii="Calibri" w:hAnsi="Calibri" w:cs="Calibri"/>
                <w:color w:val="000000"/>
                <w:sz w:val="20"/>
                <w:szCs w:val="20"/>
              </w:rPr>
              <w:t>-53.7%</w:t>
            </w:r>
          </w:p>
        </w:tc>
      </w:tr>
      <w:tr w:rsidR="00F720EE" w:rsidRPr="004E355C" w:rsidTr="00E94F2B">
        <w:trPr>
          <w:cnfStyle w:val="000000100000" w:firstRow="0" w:lastRow="0" w:firstColumn="0" w:lastColumn="0" w:oddVBand="0" w:evenVBand="0" w:oddHBand="1" w:evenHBand="0" w:firstRowFirstColumn="0" w:firstRowLastColumn="0" w:lastRowFirstColumn="0" w:lastRowLastColumn="0"/>
          <w:trHeight w:val="205"/>
          <w:jc w:val="center"/>
        </w:trPr>
        <w:tc>
          <w:tcPr>
            <w:cnfStyle w:val="001000000000" w:firstRow="0" w:lastRow="0" w:firstColumn="1" w:lastColumn="0" w:oddVBand="0" w:evenVBand="0" w:oddHBand="0" w:evenHBand="0" w:firstRowFirstColumn="0" w:firstRowLastColumn="0" w:lastRowFirstColumn="0" w:lastRowLastColumn="0"/>
            <w:tcW w:w="3505" w:type="dxa"/>
            <w:vAlign w:val="bottom"/>
          </w:tcPr>
          <w:p w:rsidR="00F720EE" w:rsidRPr="00B21457" w:rsidRDefault="00F720EE" w:rsidP="00E94F2B">
            <w:pPr>
              <w:rPr>
                <w:rFonts w:asciiTheme="minorHAnsi" w:hAnsiTheme="minorHAnsi" w:cstheme="minorHAnsi"/>
                <w:b w:val="0"/>
                <w:sz w:val="20"/>
                <w:szCs w:val="20"/>
              </w:rPr>
            </w:pPr>
            <w:r w:rsidRPr="00B21457">
              <w:rPr>
                <w:rFonts w:ascii="Calibri" w:hAnsi="Calibri" w:cs="Calibri"/>
                <w:color w:val="000000"/>
                <w:sz w:val="20"/>
                <w:szCs w:val="20"/>
              </w:rPr>
              <w:t>Metalet bazë dhe artikujt prej tyre</w:t>
            </w:r>
          </w:p>
        </w:tc>
        <w:tc>
          <w:tcPr>
            <w:tcW w:w="1170" w:type="dxa"/>
            <w:vAlign w:val="bottom"/>
          </w:tcPr>
          <w:p w:rsidR="00F720EE" w:rsidRPr="00B21457" w:rsidRDefault="00F720EE" w:rsidP="00E94F2B">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r w:rsidRPr="00B21457">
              <w:rPr>
                <w:rFonts w:ascii="Calibri" w:hAnsi="Calibri" w:cs="Calibri"/>
                <w:color w:val="000000"/>
                <w:sz w:val="20"/>
                <w:szCs w:val="20"/>
              </w:rPr>
              <w:t>Ton</w:t>
            </w:r>
          </w:p>
        </w:tc>
        <w:tc>
          <w:tcPr>
            <w:tcW w:w="1350" w:type="dxa"/>
            <w:vAlign w:val="bottom"/>
          </w:tcPr>
          <w:p w:rsidR="00F720EE" w:rsidRPr="00B21457" w:rsidRDefault="00F720EE" w:rsidP="00E94F2B">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r w:rsidRPr="00B21457">
              <w:rPr>
                <w:rFonts w:ascii="Calibri" w:hAnsi="Calibri" w:cs="Calibri"/>
                <w:color w:val="000000"/>
                <w:sz w:val="20"/>
                <w:szCs w:val="20"/>
              </w:rPr>
              <w:t>28,200</w:t>
            </w:r>
          </w:p>
        </w:tc>
        <w:tc>
          <w:tcPr>
            <w:tcW w:w="885" w:type="dxa"/>
            <w:vAlign w:val="bottom"/>
          </w:tcPr>
          <w:p w:rsidR="00F720EE" w:rsidRPr="00B21457" w:rsidRDefault="00F720EE" w:rsidP="00E94F2B">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r w:rsidRPr="00B21457">
              <w:rPr>
                <w:rFonts w:ascii="Calibri" w:hAnsi="Calibri" w:cs="Calibri"/>
                <w:color w:val="000000"/>
                <w:sz w:val="20"/>
                <w:szCs w:val="20"/>
              </w:rPr>
              <w:t>18.0%</w:t>
            </w:r>
          </w:p>
        </w:tc>
        <w:tc>
          <w:tcPr>
            <w:tcW w:w="1674" w:type="dxa"/>
            <w:vAlign w:val="bottom"/>
          </w:tcPr>
          <w:p w:rsidR="00F720EE" w:rsidRPr="00B21457" w:rsidRDefault="00F720EE" w:rsidP="00E94F2B">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r w:rsidRPr="00B21457">
              <w:rPr>
                <w:rFonts w:ascii="Calibri" w:hAnsi="Calibri" w:cs="Calibri"/>
                <w:color w:val="000000"/>
                <w:sz w:val="20"/>
                <w:szCs w:val="20"/>
              </w:rPr>
              <w:t>(543)</w:t>
            </w:r>
          </w:p>
        </w:tc>
        <w:tc>
          <w:tcPr>
            <w:tcW w:w="931" w:type="dxa"/>
            <w:vAlign w:val="bottom"/>
          </w:tcPr>
          <w:p w:rsidR="00F720EE" w:rsidRPr="00B21457" w:rsidRDefault="00F720EE" w:rsidP="00E94F2B">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r w:rsidRPr="00B21457">
              <w:rPr>
                <w:rFonts w:ascii="Calibri" w:hAnsi="Calibri" w:cs="Calibri"/>
                <w:color w:val="000000"/>
                <w:sz w:val="20"/>
                <w:szCs w:val="20"/>
              </w:rPr>
              <w:t>-16.3%</w:t>
            </w:r>
          </w:p>
        </w:tc>
      </w:tr>
      <w:tr w:rsidR="00F720EE" w:rsidRPr="004E355C" w:rsidTr="00E94F2B">
        <w:trPr>
          <w:trHeight w:val="233"/>
          <w:jc w:val="center"/>
        </w:trPr>
        <w:tc>
          <w:tcPr>
            <w:cnfStyle w:val="001000000000" w:firstRow="0" w:lastRow="0" w:firstColumn="1" w:lastColumn="0" w:oddVBand="0" w:evenVBand="0" w:oddHBand="0" w:evenHBand="0" w:firstRowFirstColumn="0" w:firstRowLastColumn="0" w:lastRowFirstColumn="0" w:lastRowLastColumn="0"/>
            <w:tcW w:w="3505" w:type="dxa"/>
            <w:vAlign w:val="bottom"/>
          </w:tcPr>
          <w:p w:rsidR="00F720EE" w:rsidRPr="00B21457" w:rsidRDefault="00F720EE" w:rsidP="00E94F2B">
            <w:pPr>
              <w:rPr>
                <w:rFonts w:asciiTheme="minorHAnsi" w:hAnsiTheme="minorHAnsi" w:cstheme="minorHAnsi"/>
                <w:b w:val="0"/>
                <w:sz w:val="20"/>
                <w:szCs w:val="20"/>
              </w:rPr>
            </w:pPr>
            <w:r w:rsidRPr="00B21457">
              <w:rPr>
                <w:rFonts w:ascii="Calibri" w:hAnsi="Calibri" w:cs="Calibri"/>
                <w:color w:val="000000"/>
                <w:sz w:val="20"/>
                <w:szCs w:val="20"/>
              </w:rPr>
              <w:t>Automjeteve të perdorura</w:t>
            </w:r>
          </w:p>
        </w:tc>
        <w:tc>
          <w:tcPr>
            <w:tcW w:w="1170" w:type="dxa"/>
            <w:vAlign w:val="bottom"/>
          </w:tcPr>
          <w:p w:rsidR="00F720EE" w:rsidRPr="00B21457" w:rsidRDefault="00F720EE" w:rsidP="00E94F2B">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B21457">
              <w:rPr>
                <w:rFonts w:ascii="Calibri" w:hAnsi="Calibri" w:cs="Calibri"/>
                <w:color w:val="000000"/>
                <w:sz w:val="20"/>
                <w:szCs w:val="20"/>
              </w:rPr>
              <w:t>Ton</w:t>
            </w:r>
          </w:p>
        </w:tc>
        <w:tc>
          <w:tcPr>
            <w:tcW w:w="1350" w:type="dxa"/>
            <w:vAlign w:val="bottom"/>
          </w:tcPr>
          <w:p w:rsidR="00F720EE" w:rsidRPr="00B21457" w:rsidRDefault="00F720EE" w:rsidP="00E94F2B">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B21457">
              <w:rPr>
                <w:rFonts w:ascii="Calibri" w:hAnsi="Calibri" w:cs="Calibri"/>
                <w:color w:val="000000"/>
                <w:sz w:val="20"/>
                <w:szCs w:val="20"/>
              </w:rPr>
              <w:t>1,652</w:t>
            </w:r>
          </w:p>
        </w:tc>
        <w:tc>
          <w:tcPr>
            <w:tcW w:w="885" w:type="dxa"/>
            <w:vAlign w:val="bottom"/>
          </w:tcPr>
          <w:p w:rsidR="00F720EE" w:rsidRPr="00B21457" w:rsidRDefault="00F720EE" w:rsidP="00E94F2B">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B21457">
              <w:rPr>
                <w:rFonts w:ascii="Calibri" w:hAnsi="Calibri" w:cs="Calibri"/>
                <w:color w:val="000000"/>
                <w:sz w:val="20"/>
                <w:szCs w:val="20"/>
              </w:rPr>
              <w:t>12.5%</w:t>
            </w:r>
          </w:p>
        </w:tc>
        <w:tc>
          <w:tcPr>
            <w:tcW w:w="1674" w:type="dxa"/>
            <w:vAlign w:val="bottom"/>
          </w:tcPr>
          <w:p w:rsidR="00F720EE" w:rsidRPr="00B21457" w:rsidRDefault="00F720EE" w:rsidP="00E94F2B">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B21457">
              <w:rPr>
                <w:rFonts w:ascii="Calibri" w:hAnsi="Calibri" w:cs="Calibri"/>
                <w:color w:val="000000"/>
                <w:sz w:val="20"/>
                <w:szCs w:val="20"/>
              </w:rPr>
              <w:t>(490)</w:t>
            </w:r>
          </w:p>
        </w:tc>
        <w:tc>
          <w:tcPr>
            <w:tcW w:w="931" w:type="dxa"/>
            <w:vAlign w:val="bottom"/>
          </w:tcPr>
          <w:p w:rsidR="00F720EE" w:rsidRPr="00B21457" w:rsidRDefault="00F720EE" w:rsidP="00E94F2B">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B21457">
              <w:rPr>
                <w:rFonts w:ascii="Calibri" w:hAnsi="Calibri" w:cs="Calibri"/>
                <w:color w:val="000000"/>
                <w:sz w:val="20"/>
                <w:szCs w:val="20"/>
              </w:rPr>
              <w:t>-23.1%</w:t>
            </w:r>
          </w:p>
        </w:tc>
      </w:tr>
      <w:tr w:rsidR="00F720EE" w:rsidRPr="004E355C" w:rsidTr="00E94F2B">
        <w:trPr>
          <w:cnfStyle w:val="000000100000" w:firstRow="0" w:lastRow="0" w:firstColumn="0" w:lastColumn="0" w:oddVBand="0" w:evenVBand="0" w:oddHBand="1" w:evenHBand="0" w:firstRowFirstColumn="0" w:firstRowLastColumn="0" w:lastRowFirstColumn="0" w:lastRowLastColumn="0"/>
          <w:trHeight w:val="152"/>
          <w:jc w:val="center"/>
        </w:trPr>
        <w:tc>
          <w:tcPr>
            <w:cnfStyle w:val="001000000000" w:firstRow="0" w:lastRow="0" w:firstColumn="1" w:lastColumn="0" w:oddVBand="0" w:evenVBand="0" w:oddHBand="0" w:evenHBand="0" w:firstRowFirstColumn="0" w:firstRowLastColumn="0" w:lastRowFirstColumn="0" w:lastRowLastColumn="0"/>
            <w:tcW w:w="3505" w:type="dxa"/>
            <w:vAlign w:val="bottom"/>
          </w:tcPr>
          <w:p w:rsidR="00F720EE" w:rsidRPr="00B21457" w:rsidRDefault="00F720EE" w:rsidP="00E94F2B">
            <w:pPr>
              <w:rPr>
                <w:rFonts w:asciiTheme="minorHAnsi" w:hAnsiTheme="minorHAnsi" w:cstheme="minorHAnsi"/>
                <w:b w:val="0"/>
                <w:sz w:val="20"/>
                <w:szCs w:val="20"/>
              </w:rPr>
            </w:pPr>
            <w:r w:rsidRPr="00B21457">
              <w:rPr>
                <w:rFonts w:ascii="Calibri" w:hAnsi="Calibri" w:cs="Calibri"/>
                <w:color w:val="000000"/>
                <w:sz w:val="20"/>
                <w:szCs w:val="20"/>
              </w:rPr>
              <w:t>Veshje, Tekstile</w:t>
            </w:r>
          </w:p>
        </w:tc>
        <w:tc>
          <w:tcPr>
            <w:tcW w:w="1170" w:type="dxa"/>
            <w:vAlign w:val="bottom"/>
          </w:tcPr>
          <w:p w:rsidR="00F720EE" w:rsidRPr="00B21457" w:rsidRDefault="00F720EE" w:rsidP="00E94F2B">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r w:rsidRPr="00B21457">
              <w:rPr>
                <w:rFonts w:ascii="Calibri" w:hAnsi="Calibri" w:cs="Calibri"/>
                <w:color w:val="000000"/>
                <w:sz w:val="20"/>
                <w:szCs w:val="20"/>
              </w:rPr>
              <w:t>Ton</w:t>
            </w:r>
          </w:p>
        </w:tc>
        <w:tc>
          <w:tcPr>
            <w:tcW w:w="1350" w:type="dxa"/>
            <w:vAlign w:val="bottom"/>
          </w:tcPr>
          <w:p w:rsidR="00F720EE" w:rsidRPr="00B21457" w:rsidRDefault="00F720EE" w:rsidP="00E94F2B">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r w:rsidRPr="00B21457">
              <w:rPr>
                <w:rFonts w:ascii="Calibri" w:hAnsi="Calibri" w:cs="Calibri"/>
                <w:color w:val="000000"/>
                <w:sz w:val="20"/>
                <w:szCs w:val="20"/>
              </w:rPr>
              <w:t>(2,918)</w:t>
            </w:r>
          </w:p>
        </w:tc>
        <w:tc>
          <w:tcPr>
            <w:tcW w:w="885" w:type="dxa"/>
            <w:vAlign w:val="bottom"/>
          </w:tcPr>
          <w:p w:rsidR="00F720EE" w:rsidRPr="00B21457" w:rsidRDefault="00F720EE" w:rsidP="00E94F2B">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r w:rsidRPr="00B21457">
              <w:rPr>
                <w:rFonts w:ascii="Calibri" w:hAnsi="Calibri" w:cs="Calibri"/>
                <w:color w:val="000000"/>
                <w:sz w:val="20"/>
                <w:szCs w:val="20"/>
              </w:rPr>
              <w:t>-30.3%</w:t>
            </w:r>
          </w:p>
        </w:tc>
        <w:tc>
          <w:tcPr>
            <w:tcW w:w="1674" w:type="dxa"/>
            <w:vAlign w:val="bottom"/>
          </w:tcPr>
          <w:p w:rsidR="00F720EE" w:rsidRPr="00B21457" w:rsidRDefault="00F720EE" w:rsidP="00E94F2B">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r w:rsidRPr="00B21457">
              <w:rPr>
                <w:rFonts w:ascii="Calibri" w:hAnsi="Calibri" w:cs="Calibri"/>
                <w:color w:val="000000"/>
                <w:sz w:val="20"/>
                <w:szCs w:val="20"/>
              </w:rPr>
              <w:t>(439)</w:t>
            </w:r>
          </w:p>
        </w:tc>
        <w:tc>
          <w:tcPr>
            <w:tcW w:w="931" w:type="dxa"/>
            <w:vAlign w:val="bottom"/>
          </w:tcPr>
          <w:p w:rsidR="00F720EE" w:rsidRPr="00B21457" w:rsidRDefault="00F720EE" w:rsidP="00E94F2B">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r w:rsidRPr="00B21457">
              <w:rPr>
                <w:rFonts w:ascii="Calibri" w:hAnsi="Calibri" w:cs="Calibri"/>
                <w:color w:val="000000"/>
                <w:sz w:val="20"/>
                <w:szCs w:val="20"/>
              </w:rPr>
              <w:t>-27.6%</w:t>
            </w:r>
          </w:p>
        </w:tc>
      </w:tr>
      <w:tr w:rsidR="00F720EE" w:rsidRPr="004E355C" w:rsidTr="00E94F2B">
        <w:trPr>
          <w:trHeight w:val="201"/>
          <w:jc w:val="center"/>
        </w:trPr>
        <w:tc>
          <w:tcPr>
            <w:cnfStyle w:val="001000000000" w:firstRow="0" w:lastRow="0" w:firstColumn="1" w:lastColumn="0" w:oddVBand="0" w:evenVBand="0" w:oddHBand="0" w:evenHBand="0" w:firstRowFirstColumn="0" w:firstRowLastColumn="0" w:lastRowFirstColumn="0" w:lastRowLastColumn="0"/>
            <w:tcW w:w="3505" w:type="dxa"/>
            <w:vAlign w:val="bottom"/>
          </w:tcPr>
          <w:p w:rsidR="00F720EE" w:rsidRPr="00B21457" w:rsidRDefault="00F720EE" w:rsidP="00E94F2B">
            <w:pPr>
              <w:rPr>
                <w:rFonts w:asciiTheme="minorHAnsi" w:hAnsiTheme="minorHAnsi" w:cstheme="minorHAnsi"/>
                <w:b w:val="0"/>
                <w:sz w:val="20"/>
                <w:szCs w:val="20"/>
              </w:rPr>
            </w:pPr>
            <w:r w:rsidRPr="00B21457">
              <w:rPr>
                <w:rFonts w:ascii="Calibri" w:hAnsi="Calibri" w:cs="Calibri"/>
                <w:color w:val="000000"/>
                <w:sz w:val="20"/>
                <w:szCs w:val="20"/>
              </w:rPr>
              <w:t>Elektro shtepiake</w:t>
            </w:r>
          </w:p>
        </w:tc>
        <w:tc>
          <w:tcPr>
            <w:tcW w:w="1170" w:type="dxa"/>
            <w:vAlign w:val="bottom"/>
          </w:tcPr>
          <w:p w:rsidR="00F720EE" w:rsidRPr="00B21457" w:rsidRDefault="00F720EE" w:rsidP="00E94F2B">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B21457">
              <w:rPr>
                <w:rFonts w:ascii="Calibri" w:hAnsi="Calibri" w:cs="Calibri"/>
                <w:color w:val="000000"/>
                <w:sz w:val="20"/>
                <w:szCs w:val="20"/>
              </w:rPr>
              <w:t>Ton</w:t>
            </w:r>
          </w:p>
        </w:tc>
        <w:tc>
          <w:tcPr>
            <w:tcW w:w="1350" w:type="dxa"/>
            <w:vAlign w:val="bottom"/>
          </w:tcPr>
          <w:p w:rsidR="00F720EE" w:rsidRPr="00B21457" w:rsidRDefault="00F720EE" w:rsidP="00E94F2B">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B21457">
              <w:rPr>
                <w:rFonts w:ascii="Calibri" w:hAnsi="Calibri" w:cs="Calibri"/>
                <w:color w:val="000000"/>
                <w:sz w:val="20"/>
                <w:szCs w:val="20"/>
              </w:rPr>
              <w:t>(2,185)</w:t>
            </w:r>
          </w:p>
        </w:tc>
        <w:tc>
          <w:tcPr>
            <w:tcW w:w="885" w:type="dxa"/>
            <w:vAlign w:val="bottom"/>
          </w:tcPr>
          <w:p w:rsidR="00F720EE" w:rsidRPr="00B21457" w:rsidRDefault="00F720EE" w:rsidP="00E94F2B">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B21457">
              <w:rPr>
                <w:rFonts w:ascii="Calibri" w:hAnsi="Calibri" w:cs="Calibri"/>
                <w:color w:val="000000"/>
                <w:sz w:val="20"/>
                <w:szCs w:val="20"/>
              </w:rPr>
              <w:t>-29.5%</w:t>
            </w:r>
          </w:p>
        </w:tc>
        <w:tc>
          <w:tcPr>
            <w:tcW w:w="1674" w:type="dxa"/>
            <w:vAlign w:val="bottom"/>
          </w:tcPr>
          <w:p w:rsidR="00F720EE" w:rsidRPr="00B21457" w:rsidRDefault="00F720EE" w:rsidP="00E94F2B">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B21457">
              <w:rPr>
                <w:rFonts w:ascii="Calibri" w:hAnsi="Calibri" w:cs="Calibri"/>
                <w:color w:val="000000"/>
                <w:sz w:val="20"/>
                <w:szCs w:val="20"/>
              </w:rPr>
              <w:t>(249)</w:t>
            </w:r>
          </w:p>
        </w:tc>
        <w:tc>
          <w:tcPr>
            <w:tcW w:w="931" w:type="dxa"/>
            <w:vAlign w:val="bottom"/>
          </w:tcPr>
          <w:p w:rsidR="00F720EE" w:rsidRPr="00B21457" w:rsidRDefault="00F720EE" w:rsidP="00E94F2B">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B21457">
              <w:rPr>
                <w:rFonts w:ascii="Calibri" w:hAnsi="Calibri" w:cs="Calibri"/>
                <w:color w:val="000000"/>
                <w:sz w:val="20"/>
                <w:szCs w:val="20"/>
              </w:rPr>
              <w:t>-28.2%</w:t>
            </w:r>
          </w:p>
        </w:tc>
      </w:tr>
      <w:tr w:rsidR="00F720EE" w:rsidRPr="004E355C" w:rsidTr="00E94F2B">
        <w:trPr>
          <w:cnfStyle w:val="000000100000" w:firstRow="0" w:lastRow="0" w:firstColumn="0" w:lastColumn="0" w:oddVBand="0" w:evenVBand="0" w:oddHBand="1" w:evenHBand="0" w:firstRowFirstColumn="0" w:firstRowLastColumn="0" w:lastRowFirstColumn="0" w:lastRowLastColumn="0"/>
          <w:trHeight w:val="250"/>
          <w:jc w:val="center"/>
        </w:trPr>
        <w:tc>
          <w:tcPr>
            <w:cnfStyle w:val="001000000000" w:firstRow="0" w:lastRow="0" w:firstColumn="1" w:lastColumn="0" w:oddVBand="0" w:evenVBand="0" w:oddHBand="0" w:evenHBand="0" w:firstRowFirstColumn="0" w:firstRowLastColumn="0" w:lastRowFirstColumn="0" w:lastRowLastColumn="0"/>
            <w:tcW w:w="3505" w:type="dxa"/>
            <w:vAlign w:val="bottom"/>
          </w:tcPr>
          <w:p w:rsidR="00F720EE" w:rsidRPr="00B21457" w:rsidRDefault="00F720EE" w:rsidP="00E94F2B">
            <w:pPr>
              <w:jc w:val="center"/>
              <w:rPr>
                <w:rFonts w:asciiTheme="minorHAnsi" w:hAnsiTheme="minorHAnsi" w:cstheme="minorHAnsi"/>
                <w:b w:val="0"/>
                <w:sz w:val="20"/>
                <w:szCs w:val="20"/>
              </w:rPr>
            </w:pPr>
          </w:p>
        </w:tc>
        <w:tc>
          <w:tcPr>
            <w:tcW w:w="1170" w:type="dxa"/>
            <w:vAlign w:val="bottom"/>
          </w:tcPr>
          <w:p w:rsidR="00F720EE" w:rsidRPr="00B21457" w:rsidRDefault="00F720EE" w:rsidP="00E94F2B">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p>
        </w:tc>
        <w:tc>
          <w:tcPr>
            <w:tcW w:w="1350" w:type="dxa"/>
            <w:vAlign w:val="bottom"/>
          </w:tcPr>
          <w:p w:rsidR="00F720EE" w:rsidRPr="00B21457" w:rsidRDefault="00F720EE" w:rsidP="00E94F2B">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p>
        </w:tc>
        <w:tc>
          <w:tcPr>
            <w:tcW w:w="885" w:type="dxa"/>
            <w:vAlign w:val="bottom"/>
          </w:tcPr>
          <w:p w:rsidR="00F720EE" w:rsidRPr="00B21457" w:rsidRDefault="00F720EE" w:rsidP="00E94F2B">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p>
        </w:tc>
        <w:tc>
          <w:tcPr>
            <w:tcW w:w="1674" w:type="dxa"/>
            <w:vAlign w:val="bottom"/>
          </w:tcPr>
          <w:p w:rsidR="00F720EE" w:rsidRPr="00B21457" w:rsidRDefault="00F720EE" w:rsidP="00E94F2B">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sz w:val="20"/>
                <w:szCs w:val="20"/>
              </w:rPr>
            </w:pPr>
            <w:r w:rsidRPr="00B21457">
              <w:rPr>
                <w:rFonts w:asciiTheme="minorHAnsi" w:hAnsiTheme="minorHAnsi" w:cstheme="minorHAnsi"/>
                <w:b/>
                <w:bCs/>
                <w:sz w:val="20"/>
                <w:szCs w:val="20"/>
              </w:rPr>
              <w:t>(3,063)</w:t>
            </w:r>
          </w:p>
        </w:tc>
        <w:tc>
          <w:tcPr>
            <w:tcW w:w="931" w:type="dxa"/>
            <w:vAlign w:val="bottom"/>
          </w:tcPr>
          <w:p w:rsidR="00F720EE" w:rsidRPr="00B21457" w:rsidRDefault="00F720EE" w:rsidP="00E94F2B">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p>
        </w:tc>
      </w:tr>
    </w:tbl>
    <w:p w:rsidR="00F720EE" w:rsidRDefault="00F720EE" w:rsidP="00F720EE">
      <w:pPr>
        <w:tabs>
          <w:tab w:val="left" w:pos="810"/>
          <w:tab w:val="center" w:pos="4680"/>
          <w:tab w:val="left" w:pos="9360"/>
        </w:tabs>
        <w:spacing w:line="276" w:lineRule="auto"/>
        <w:rPr>
          <w:rFonts w:asciiTheme="minorHAnsi" w:hAnsiTheme="minorHAnsi"/>
          <w:sz w:val="20"/>
          <w:szCs w:val="20"/>
          <w:lang w:val="sq-AL"/>
        </w:rPr>
      </w:pPr>
      <w:r w:rsidRPr="004E355C">
        <w:rPr>
          <w:rFonts w:asciiTheme="minorHAnsi" w:hAnsiTheme="minorHAnsi"/>
          <w:sz w:val="20"/>
          <w:szCs w:val="20"/>
          <w:lang w:val="sq-AL"/>
        </w:rPr>
        <w:tab/>
        <w:t>Burimi: Ministria e Financave dhe Ekonomisë (2019)</w:t>
      </w:r>
    </w:p>
    <w:p w:rsidR="00F720EE" w:rsidRPr="00A04FC6" w:rsidRDefault="00F720EE" w:rsidP="00F720EE">
      <w:pPr>
        <w:spacing w:line="276" w:lineRule="auto"/>
        <w:jc w:val="both"/>
        <w:rPr>
          <w:rFonts w:asciiTheme="minorHAnsi" w:hAnsiTheme="minorHAnsi"/>
          <w:color w:val="FF0000"/>
          <w:lang w:val="sq-AL"/>
        </w:rPr>
      </w:pPr>
      <w:r w:rsidRPr="004E355C">
        <w:rPr>
          <w:rFonts w:asciiTheme="minorHAnsi" w:hAnsiTheme="minorHAnsi" w:cstheme="minorHAnsi"/>
          <w:i/>
        </w:rPr>
        <w:lastRenderedPageBreak/>
        <w:t>Të ardhurat nga renta minerare</w:t>
      </w:r>
      <w:r w:rsidRPr="004E355C">
        <w:rPr>
          <w:rFonts w:asciiTheme="minorHAnsi" w:hAnsiTheme="minorHAnsi" w:cstheme="minorHAnsi"/>
        </w:rPr>
        <w:t xml:space="preserve"> në eksport janë realizuar në vlerën </w:t>
      </w:r>
      <w:r>
        <w:rPr>
          <w:rFonts w:asciiTheme="minorHAnsi" w:hAnsiTheme="minorHAnsi" w:cstheme="minorHAnsi"/>
        </w:rPr>
        <w:t>791</w:t>
      </w:r>
      <w:r w:rsidRPr="004E355C">
        <w:rPr>
          <w:rFonts w:asciiTheme="minorHAnsi" w:hAnsiTheme="minorHAnsi" w:cstheme="minorHAnsi"/>
        </w:rPr>
        <w:t xml:space="preserve"> mili</w:t>
      </w:r>
      <w:r>
        <w:rPr>
          <w:rFonts w:asciiTheme="minorHAnsi" w:hAnsiTheme="minorHAnsi" w:cstheme="minorHAnsi"/>
        </w:rPr>
        <w:t>on</w:t>
      </w:r>
      <w:r w:rsidRPr="004E355C">
        <w:rPr>
          <w:rFonts w:asciiTheme="minorHAnsi" w:hAnsiTheme="minorHAnsi" w:cstheme="minorHAnsi"/>
        </w:rPr>
        <w:t xml:space="preserve">ë lekë, </w:t>
      </w:r>
      <w:r>
        <w:rPr>
          <w:rFonts w:asciiTheme="minorHAnsi" w:hAnsiTheme="minorHAnsi" w:cstheme="minorHAnsi"/>
        </w:rPr>
        <w:t>22</w:t>
      </w:r>
      <w:r w:rsidRPr="004E355C">
        <w:rPr>
          <w:rFonts w:asciiTheme="minorHAnsi" w:hAnsiTheme="minorHAnsi" w:cstheme="minorHAnsi"/>
        </w:rPr>
        <w:t xml:space="preserve">.2% ose </w:t>
      </w:r>
      <w:r>
        <w:rPr>
          <w:rFonts w:asciiTheme="minorHAnsi" w:hAnsiTheme="minorHAnsi" w:cstheme="minorHAnsi"/>
        </w:rPr>
        <w:t>226</w:t>
      </w:r>
      <w:r w:rsidRPr="004E355C">
        <w:rPr>
          <w:rFonts w:asciiTheme="minorHAnsi" w:hAnsiTheme="minorHAnsi" w:cstheme="minorHAnsi"/>
        </w:rPr>
        <w:t xml:space="preserve"> milionë lekë më </w:t>
      </w:r>
      <w:r>
        <w:rPr>
          <w:rFonts w:asciiTheme="minorHAnsi" w:hAnsiTheme="minorHAnsi" w:cstheme="minorHAnsi"/>
        </w:rPr>
        <w:t>pak</w:t>
      </w:r>
      <w:r w:rsidRPr="004E355C">
        <w:rPr>
          <w:rFonts w:asciiTheme="minorHAnsi" w:hAnsiTheme="minorHAnsi" w:cstheme="minorHAnsi"/>
        </w:rPr>
        <w:t xml:space="preserve"> </w:t>
      </w:r>
      <w:r w:rsidRPr="00E337DA">
        <w:rPr>
          <w:rFonts w:asciiTheme="minorHAnsi" w:hAnsiTheme="minorHAnsi" w:cstheme="minorHAnsi"/>
        </w:rPr>
        <w:t>krahasuar me 5 mujorin e vitit 2019, dhe 34.5% ose 416 milionë lekë më pak se plani.</w:t>
      </w:r>
      <w:r w:rsidRPr="00E337DA">
        <w:rPr>
          <w:rFonts w:asciiTheme="minorHAnsi" w:hAnsiTheme="minorHAnsi" w:cstheme="minorHAnsi"/>
          <w:lang w:val="it-IT"/>
        </w:rPr>
        <w:t xml:space="preserve"> </w:t>
      </w:r>
      <w:r w:rsidRPr="00E337DA">
        <w:rPr>
          <w:rFonts w:asciiTheme="minorHAnsi" w:hAnsiTheme="minorHAnsi" w:cstheme="minorHAnsi"/>
        </w:rPr>
        <w:t>Të ardhurat nga renta minerare për naftën bruto janë rritur me 49 milionë lekë, si rezultat i rritjes së sasisë së eksportuar me rreth 14 mijë ton dhe janë ulur me 251 milionë lekë si rezultat i rënies së çmimit të naftës bruto në tregjet ndërkombëtare krahasuar me të njëjtën periudhë të vitit të kaluar, duke sjellë rritje të rentës për njësi nga 3.51 lekë/kg në 2.51 lekë/kg. Ndërkohë, të ardhurat nga mineralet e eksportuara kanë pësuar rënie në masën 35 milionë lekë për shkak të rënies së sasisë së eksportuar, me rreth 166 mijë ton si dhe janë rritur me 4 milionë lekë, për shkak të rritjes së lehtë të çmimit të mineraleve në tregjet ndërkombëtare, krahasuar me të njëjtën periudhë të vitit të kaluar</w:t>
      </w:r>
      <w:r w:rsidRPr="00E337DA">
        <w:rPr>
          <w:rFonts w:asciiTheme="minorHAnsi" w:hAnsiTheme="minorHAnsi"/>
          <w:lang w:val="sq-AL"/>
        </w:rPr>
        <w:t>.</w:t>
      </w:r>
    </w:p>
    <w:p w:rsidR="00F720EE" w:rsidRPr="002326C7" w:rsidRDefault="00F720EE" w:rsidP="00F720EE">
      <w:pPr>
        <w:spacing w:line="276" w:lineRule="auto"/>
        <w:jc w:val="both"/>
        <w:rPr>
          <w:rFonts w:asciiTheme="minorHAnsi" w:hAnsiTheme="minorHAnsi"/>
          <w:sz w:val="8"/>
          <w:szCs w:val="8"/>
          <w:lang w:val="sq-AL"/>
        </w:rPr>
      </w:pPr>
    </w:p>
    <w:p w:rsidR="002334F6" w:rsidRPr="002334F6" w:rsidRDefault="00F720EE" w:rsidP="002334F6">
      <w:pPr>
        <w:pStyle w:val="Caption"/>
        <w:keepNext/>
        <w:spacing w:after="0"/>
        <w:jc w:val="both"/>
        <w:rPr>
          <w:rFonts w:asciiTheme="minorHAnsi" w:hAnsiTheme="minorHAnsi"/>
          <w:b w:val="0"/>
          <w:bCs w:val="0"/>
          <w:i/>
          <w:color w:val="auto"/>
          <w:sz w:val="24"/>
          <w:szCs w:val="24"/>
          <w:lang w:val="sq-AL"/>
        </w:rPr>
      </w:pPr>
      <w:bookmarkStart w:id="28" w:name="_Toc12449193"/>
      <w:bookmarkStart w:id="29" w:name="_Toc44404408"/>
      <w:r w:rsidRPr="004E355C">
        <w:rPr>
          <w:rFonts w:asciiTheme="minorHAnsi" w:hAnsiTheme="minorHAnsi"/>
          <w:b w:val="0"/>
          <w:bCs w:val="0"/>
          <w:i/>
          <w:color w:val="auto"/>
          <w:sz w:val="24"/>
          <w:szCs w:val="24"/>
          <w:lang w:val="sq-AL"/>
        </w:rPr>
        <w:t xml:space="preserve">Tabela </w:t>
      </w:r>
      <w:r w:rsidRPr="004E355C">
        <w:rPr>
          <w:rFonts w:asciiTheme="minorHAnsi" w:hAnsiTheme="minorHAnsi"/>
          <w:b w:val="0"/>
          <w:bCs w:val="0"/>
          <w:i/>
          <w:color w:val="auto"/>
          <w:sz w:val="24"/>
          <w:szCs w:val="24"/>
          <w:lang w:val="sq-AL"/>
        </w:rPr>
        <w:fldChar w:fldCharType="begin"/>
      </w:r>
      <w:r w:rsidRPr="004E355C">
        <w:rPr>
          <w:rFonts w:asciiTheme="minorHAnsi" w:hAnsiTheme="minorHAnsi"/>
          <w:b w:val="0"/>
          <w:bCs w:val="0"/>
          <w:i/>
          <w:color w:val="auto"/>
          <w:sz w:val="24"/>
          <w:szCs w:val="24"/>
          <w:lang w:val="sq-AL"/>
        </w:rPr>
        <w:instrText xml:space="preserve"> SEQ Tabela \* ARABIC </w:instrText>
      </w:r>
      <w:r w:rsidRPr="004E355C">
        <w:rPr>
          <w:rFonts w:asciiTheme="minorHAnsi" w:hAnsiTheme="minorHAnsi"/>
          <w:b w:val="0"/>
          <w:bCs w:val="0"/>
          <w:i/>
          <w:color w:val="auto"/>
          <w:sz w:val="24"/>
          <w:szCs w:val="24"/>
          <w:lang w:val="sq-AL"/>
        </w:rPr>
        <w:fldChar w:fldCharType="separate"/>
      </w:r>
      <w:r w:rsidR="00C342E2">
        <w:rPr>
          <w:rFonts w:asciiTheme="minorHAnsi" w:hAnsiTheme="minorHAnsi"/>
          <w:b w:val="0"/>
          <w:bCs w:val="0"/>
          <w:i/>
          <w:noProof/>
          <w:color w:val="auto"/>
          <w:sz w:val="24"/>
          <w:szCs w:val="24"/>
          <w:lang w:val="sq-AL"/>
        </w:rPr>
        <w:t>7</w:t>
      </w:r>
      <w:r w:rsidRPr="004E355C">
        <w:rPr>
          <w:rFonts w:asciiTheme="minorHAnsi" w:hAnsiTheme="minorHAnsi"/>
          <w:b w:val="0"/>
          <w:bCs w:val="0"/>
          <w:i/>
          <w:color w:val="auto"/>
          <w:sz w:val="24"/>
          <w:szCs w:val="24"/>
          <w:lang w:val="sq-AL"/>
        </w:rPr>
        <w:fldChar w:fldCharType="end"/>
      </w:r>
      <w:r w:rsidRPr="004E355C">
        <w:rPr>
          <w:rFonts w:asciiTheme="minorHAnsi" w:hAnsiTheme="minorHAnsi"/>
          <w:b w:val="0"/>
          <w:bCs w:val="0"/>
          <w:i/>
          <w:color w:val="auto"/>
          <w:sz w:val="24"/>
          <w:szCs w:val="24"/>
          <w:lang w:val="sq-AL"/>
        </w:rPr>
        <w:t>: Të dhëna për Rentën Minerare, naftë bruto dhe minerale të tjera (në mi</w:t>
      </w:r>
      <w:r>
        <w:rPr>
          <w:rFonts w:asciiTheme="minorHAnsi" w:hAnsiTheme="minorHAnsi"/>
          <w:b w:val="0"/>
          <w:bCs w:val="0"/>
          <w:i/>
          <w:color w:val="auto"/>
          <w:sz w:val="24"/>
          <w:szCs w:val="24"/>
          <w:lang w:val="sq-AL"/>
        </w:rPr>
        <w:t>j</w:t>
      </w:r>
      <w:r w:rsidRPr="004E355C">
        <w:rPr>
          <w:rFonts w:asciiTheme="minorHAnsi" w:hAnsiTheme="minorHAnsi"/>
          <w:b w:val="0"/>
          <w:bCs w:val="0"/>
          <w:i/>
          <w:color w:val="auto"/>
          <w:sz w:val="24"/>
          <w:szCs w:val="24"/>
          <w:lang w:val="sq-AL"/>
        </w:rPr>
        <w:t>ë lekë)</w:t>
      </w:r>
      <w:bookmarkEnd w:id="28"/>
      <w:bookmarkEnd w:id="29"/>
    </w:p>
    <w:p w:rsidR="00F720EE" w:rsidRDefault="00F720EE" w:rsidP="00F720EE">
      <w:pPr>
        <w:tabs>
          <w:tab w:val="left" w:pos="2511"/>
          <w:tab w:val="center" w:pos="4680"/>
          <w:tab w:val="left" w:pos="9360"/>
        </w:tabs>
        <w:spacing w:line="276" w:lineRule="auto"/>
        <w:jc w:val="center"/>
        <w:rPr>
          <w:rFonts w:asciiTheme="minorHAnsi" w:hAnsiTheme="minorHAnsi"/>
          <w:sz w:val="20"/>
          <w:szCs w:val="20"/>
          <w:lang w:val="sq-AL"/>
        </w:rPr>
      </w:pPr>
      <w:r>
        <w:rPr>
          <w:rFonts w:asciiTheme="minorHAnsi" w:hAnsiTheme="minorHAnsi"/>
          <w:noProof/>
          <w:sz w:val="20"/>
          <w:szCs w:val="20"/>
        </w:rPr>
        <w:drawing>
          <wp:inline distT="0" distB="0" distL="0" distR="0" wp14:anchorId="2D5684B8" wp14:editId="6B2E4974">
            <wp:extent cx="6147457" cy="1569720"/>
            <wp:effectExtent l="0" t="0" r="5715" b="0"/>
            <wp:docPr id="323" name="Picture 3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6230579" cy="1590945"/>
                    </a:xfrm>
                    <a:prstGeom prst="rect">
                      <a:avLst/>
                    </a:prstGeom>
                    <a:noFill/>
                  </pic:spPr>
                </pic:pic>
              </a:graphicData>
            </a:graphic>
          </wp:inline>
        </w:drawing>
      </w:r>
    </w:p>
    <w:p w:rsidR="00F720EE" w:rsidRPr="004E355C" w:rsidRDefault="00F720EE" w:rsidP="00F720EE">
      <w:pPr>
        <w:tabs>
          <w:tab w:val="left" w:pos="2511"/>
          <w:tab w:val="center" w:pos="4680"/>
          <w:tab w:val="left" w:pos="9360"/>
        </w:tabs>
        <w:spacing w:line="276" w:lineRule="auto"/>
        <w:jc w:val="both"/>
        <w:rPr>
          <w:rFonts w:asciiTheme="minorHAnsi" w:hAnsiTheme="minorHAnsi"/>
          <w:sz w:val="20"/>
          <w:szCs w:val="20"/>
          <w:lang w:val="sq-AL"/>
        </w:rPr>
      </w:pPr>
      <w:r w:rsidRPr="004E355C">
        <w:rPr>
          <w:rFonts w:asciiTheme="minorHAnsi" w:hAnsiTheme="minorHAnsi"/>
          <w:sz w:val="20"/>
          <w:szCs w:val="20"/>
          <w:lang w:val="sq-AL"/>
        </w:rPr>
        <w:t>Burimi: Ministria e Financave dhe Ekonomisë (20</w:t>
      </w:r>
      <w:r>
        <w:rPr>
          <w:rFonts w:asciiTheme="minorHAnsi" w:hAnsiTheme="minorHAnsi"/>
          <w:sz w:val="20"/>
          <w:szCs w:val="20"/>
          <w:lang w:val="sq-AL"/>
        </w:rPr>
        <w:t>20</w:t>
      </w:r>
      <w:r w:rsidRPr="004E355C">
        <w:rPr>
          <w:rFonts w:asciiTheme="minorHAnsi" w:hAnsiTheme="minorHAnsi"/>
          <w:sz w:val="20"/>
          <w:szCs w:val="20"/>
          <w:lang w:val="sq-AL"/>
        </w:rPr>
        <w:t>)</w:t>
      </w:r>
    </w:p>
    <w:p w:rsidR="00F720EE" w:rsidRPr="004E355C" w:rsidRDefault="00F720EE" w:rsidP="00F720EE">
      <w:pPr>
        <w:spacing w:before="240" w:line="276" w:lineRule="auto"/>
        <w:jc w:val="both"/>
        <w:rPr>
          <w:rFonts w:asciiTheme="minorHAnsi" w:hAnsiTheme="minorHAnsi"/>
          <w:lang w:val="sq-AL"/>
        </w:rPr>
      </w:pPr>
      <w:r w:rsidRPr="004E355C">
        <w:rPr>
          <w:rFonts w:asciiTheme="minorHAnsi" w:hAnsiTheme="minorHAnsi"/>
          <w:b/>
          <w:bCs/>
          <w:lang w:val="sq-AL"/>
        </w:rPr>
        <w:t xml:space="preserve">Të Ardhurat nga Drejtoria e Përgjithshme e Tatimeve </w:t>
      </w:r>
      <w:r w:rsidRPr="004E355C">
        <w:rPr>
          <w:rFonts w:asciiTheme="minorHAnsi" w:hAnsiTheme="minorHAnsi"/>
          <w:bCs/>
          <w:lang w:val="sq-AL"/>
        </w:rPr>
        <w:t>–</w:t>
      </w:r>
      <w:r w:rsidRPr="004E355C">
        <w:rPr>
          <w:rFonts w:asciiTheme="minorHAnsi" w:hAnsiTheme="minorHAnsi"/>
          <w:lang w:val="sq-AL"/>
        </w:rPr>
        <w:t xml:space="preserve"> </w:t>
      </w:r>
      <w:r w:rsidRPr="004E355C">
        <w:rPr>
          <w:rFonts w:asciiTheme="minorHAnsi" w:hAnsiTheme="minorHAnsi" w:cstheme="minorHAnsi"/>
        </w:rPr>
        <w:t>Të ardhurat e mbledhura nga administrata tatimore (përfshirë kontributet) për 5 mujorin e vitit 20</w:t>
      </w:r>
      <w:r>
        <w:rPr>
          <w:rFonts w:asciiTheme="minorHAnsi" w:hAnsiTheme="minorHAnsi" w:cstheme="minorHAnsi"/>
        </w:rPr>
        <w:t>20</w:t>
      </w:r>
      <w:r w:rsidRPr="004E355C">
        <w:rPr>
          <w:rFonts w:asciiTheme="minorHAnsi" w:hAnsiTheme="minorHAnsi" w:cstheme="minorHAnsi"/>
        </w:rPr>
        <w:t xml:space="preserve"> janë realizuar në vlerën </w:t>
      </w:r>
      <w:r>
        <w:rPr>
          <w:rFonts w:asciiTheme="minorHAnsi" w:hAnsiTheme="minorHAnsi" w:cstheme="minorHAnsi"/>
        </w:rPr>
        <w:t>86.8</w:t>
      </w:r>
      <w:r w:rsidRPr="004E355C">
        <w:rPr>
          <w:rFonts w:asciiTheme="minorHAnsi" w:hAnsiTheme="minorHAnsi" w:cstheme="minorHAnsi"/>
        </w:rPr>
        <w:t xml:space="preserve"> miliardë lekë, </w:t>
      </w:r>
      <w:r>
        <w:rPr>
          <w:rFonts w:asciiTheme="minorHAnsi" w:hAnsiTheme="minorHAnsi" w:cstheme="minorHAnsi"/>
        </w:rPr>
        <w:t>14.1</w:t>
      </w:r>
      <w:r w:rsidRPr="004E355C">
        <w:rPr>
          <w:rFonts w:asciiTheme="minorHAnsi" w:hAnsiTheme="minorHAnsi" w:cstheme="minorHAnsi"/>
        </w:rPr>
        <w:t xml:space="preserve">% ose </w:t>
      </w:r>
      <w:r>
        <w:rPr>
          <w:rFonts w:asciiTheme="minorHAnsi" w:hAnsiTheme="minorHAnsi" w:cstheme="minorHAnsi"/>
        </w:rPr>
        <w:t>14.2</w:t>
      </w:r>
      <w:r w:rsidRPr="004E355C">
        <w:rPr>
          <w:rFonts w:asciiTheme="minorHAnsi" w:hAnsiTheme="minorHAnsi" w:cstheme="minorHAnsi"/>
        </w:rPr>
        <w:t xml:space="preserve"> miliardë lekë më </w:t>
      </w:r>
      <w:r>
        <w:rPr>
          <w:rFonts w:asciiTheme="minorHAnsi" w:hAnsiTheme="minorHAnsi" w:cstheme="minorHAnsi"/>
        </w:rPr>
        <w:t>pak</w:t>
      </w:r>
      <w:r w:rsidRPr="004E355C">
        <w:rPr>
          <w:rFonts w:asciiTheme="minorHAnsi" w:hAnsiTheme="minorHAnsi" w:cstheme="minorHAnsi"/>
        </w:rPr>
        <w:t xml:space="preserve"> se e njëjta periudhë e një viti më parë dhe </w:t>
      </w:r>
      <w:r>
        <w:rPr>
          <w:rFonts w:asciiTheme="minorHAnsi" w:hAnsiTheme="minorHAnsi" w:cstheme="minorHAnsi"/>
        </w:rPr>
        <w:t>8</w:t>
      </w:r>
      <w:r w:rsidRPr="004E355C">
        <w:rPr>
          <w:rFonts w:asciiTheme="minorHAnsi" w:hAnsiTheme="minorHAnsi" w:cstheme="minorHAnsi"/>
        </w:rPr>
        <w:t xml:space="preserve">.8% ose </w:t>
      </w:r>
      <w:r>
        <w:rPr>
          <w:rFonts w:asciiTheme="minorHAnsi" w:hAnsiTheme="minorHAnsi" w:cstheme="minorHAnsi"/>
        </w:rPr>
        <w:t>8.4</w:t>
      </w:r>
      <w:r w:rsidRPr="004E355C">
        <w:rPr>
          <w:rFonts w:asciiTheme="minorHAnsi" w:hAnsiTheme="minorHAnsi" w:cstheme="minorHAnsi"/>
        </w:rPr>
        <w:t xml:space="preserve"> mili</w:t>
      </w:r>
      <w:r>
        <w:rPr>
          <w:rFonts w:asciiTheme="minorHAnsi" w:hAnsiTheme="minorHAnsi" w:cstheme="minorHAnsi"/>
        </w:rPr>
        <w:t>ard</w:t>
      </w:r>
      <w:r w:rsidRPr="004E355C">
        <w:rPr>
          <w:rFonts w:asciiTheme="minorHAnsi" w:hAnsiTheme="minorHAnsi" w:cstheme="minorHAnsi"/>
        </w:rPr>
        <w:t>ë lekë më pak se plani i vitit 20</w:t>
      </w:r>
      <w:r>
        <w:rPr>
          <w:rFonts w:asciiTheme="minorHAnsi" w:hAnsiTheme="minorHAnsi" w:cstheme="minorHAnsi"/>
        </w:rPr>
        <w:t>20</w:t>
      </w:r>
      <w:r w:rsidRPr="004E355C">
        <w:rPr>
          <w:rFonts w:asciiTheme="minorHAnsi" w:hAnsiTheme="minorHAnsi"/>
          <w:lang w:val="sq-AL"/>
        </w:rPr>
        <w:t>.</w:t>
      </w:r>
    </w:p>
    <w:p w:rsidR="00F720EE" w:rsidRDefault="00F720EE" w:rsidP="00F720EE">
      <w:pPr>
        <w:pStyle w:val="Caption"/>
        <w:keepNext/>
        <w:spacing w:before="240"/>
        <w:jc w:val="both"/>
        <w:rPr>
          <w:rFonts w:asciiTheme="minorHAnsi" w:hAnsiTheme="minorHAnsi"/>
          <w:b w:val="0"/>
          <w:bCs w:val="0"/>
          <w:i/>
          <w:color w:val="auto"/>
          <w:sz w:val="24"/>
          <w:szCs w:val="24"/>
          <w:lang w:val="sq-AL"/>
        </w:rPr>
      </w:pPr>
      <w:bookmarkStart w:id="30" w:name="_Toc12448431"/>
      <w:bookmarkStart w:id="31" w:name="_Toc44404445"/>
      <w:r w:rsidRPr="004E355C">
        <w:rPr>
          <w:rFonts w:asciiTheme="minorHAnsi" w:hAnsiTheme="minorHAnsi"/>
          <w:b w:val="0"/>
          <w:bCs w:val="0"/>
          <w:i/>
          <w:color w:val="auto"/>
          <w:sz w:val="24"/>
          <w:szCs w:val="24"/>
          <w:lang w:val="sq-AL"/>
        </w:rPr>
        <w:t xml:space="preserve">Grafiku </w:t>
      </w:r>
      <w:r w:rsidRPr="004E355C">
        <w:rPr>
          <w:rFonts w:asciiTheme="minorHAnsi" w:hAnsiTheme="minorHAnsi"/>
          <w:b w:val="0"/>
          <w:bCs w:val="0"/>
          <w:i/>
          <w:color w:val="auto"/>
          <w:sz w:val="24"/>
          <w:szCs w:val="24"/>
          <w:lang w:val="sq-AL"/>
        </w:rPr>
        <w:fldChar w:fldCharType="begin"/>
      </w:r>
      <w:r w:rsidRPr="004E355C">
        <w:rPr>
          <w:rFonts w:asciiTheme="minorHAnsi" w:hAnsiTheme="minorHAnsi"/>
          <w:b w:val="0"/>
          <w:bCs w:val="0"/>
          <w:i/>
          <w:color w:val="auto"/>
          <w:sz w:val="24"/>
          <w:szCs w:val="24"/>
          <w:lang w:val="sq-AL"/>
        </w:rPr>
        <w:instrText xml:space="preserve"> SEQ Grafiku \* ARABIC </w:instrText>
      </w:r>
      <w:r w:rsidRPr="004E355C">
        <w:rPr>
          <w:rFonts w:asciiTheme="minorHAnsi" w:hAnsiTheme="minorHAnsi"/>
          <w:b w:val="0"/>
          <w:bCs w:val="0"/>
          <w:i/>
          <w:color w:val="auto"/>
          <w:sz w:val="24"/>
          <w:szCs w:val="24"/>
          <w:lang w:val="sq-AL"/>
        </w:rPr>
        <w:fldChar w:fldCharType="separate"/>
      </w:r>
      <w:r w:rsidR="00C342E2">
        <w:rPr>
          <w:rFonts w:asciiTheme="minorHAnsi" w:hAnsiTheme="minorHAnsi"/>
          <w:b w:val="0"/>
          <w:bCs w:val="0"/>
          <w:i/>
          <w:noProof/>
          <w:color w:val="auto"/>
          <w:sz w:val="24"/>
          <w:szCs w:val="24"/>
          <w:lang w:val="sq-AL"/>
        </w:rPr>
        <w:t>5</w:t>
      </w:r>
      <w:r w:rsidRPr="004E355C">
        <w:rPr>
          <w:rFonts w:asciiTheme="minorHAnsi" w:hAnsiTheme="minorHAnsi"/>
          <w:b w:val="0"/>
          <w:bCs w:val="0"/>
          <w:i/>
          <w:color w:val="auto"/>
          <w:sz w:val="24"/>
          <w:szCs w:val="24"/>
          <w:lang w:val="sq-AL"/>
        </w:rPr>
        <w:fldChar w:fldCharType="end"/>
      </w:r>
      <w:r w:rsidRPr="004E355C">
        <w:rPr>
          <w:rFonts w:asciiTheme="minorHAnsi" w:hAnsiTheme="minorHAnsi"/>
          <w:b w:val="0"/>
          <w:bCs w:val="0"/>
          <w:i/>
          <w:color w:val="auto"/>
          <w:sz w:val="24"/>
          <w:szCs w:val="24"/>
          <w:lang w:val="sq-AL"/>
        </w:rPr>
        <w:t>: Të ardhurat  nga Tatimet Janar- Maj 20</w:t>
      </w:r>
      <w:r>
        <w:rPr>
          <w:rFonts w:asciiTheme="minorHAnsi" w:hAnsiTheme="minorHAnsi"/>
          <w:b w:val="0"/>
          <w:bCs w:val="0"/>
          <w:i/>
          <w:color w:val="auto"/>
          <w:sz w:val="24"/>
          <w:szCs w:val="24"/>
          <w:lang w:val="sq-AL"/>
        </w:rPr>
        <w:t>20</w:t>
      </w:r>
      <w:r w:rsidRPr="004E355C">
        <w:rPr>
          <w:rFonts w:asciiTheme="minorHAnsi" w:hAnsiTheme="minorHAnsi"/>
          <w:b w:val="0"/>
          <w:bCs w:val="0"/>
          <w:i/>
          <w:color w:val="auto"/>
          <w:sz w:val="24"/>
          <w:szCs w:val="24"/>
          <w:lang w:val="sq-AL"/>
        </w:rPr>
        <w:t>, Mujore dhe Progresive (në milionë lekë)</w:t>
      </w:r>
      <w:bookmarkEnd w:id="30"/>
      <w:bookmarkEnd w:id="31"/>
    </w:p>
    <w:p w:rsidR="00F720EE" w:rsidRPr="000C2A10" w:rsidRDefault="00F720EE" w:rsidP="00F720EE">
      <w:pPr>
        <w:rPr>
          <w:lang w:val="sq-AL"/>
        </w:rPr>
      </w:pPr>
      <w:r>
        <w:rPr>
          <w:noProof/>
        </w:rPr>
        <w:drawing>
          <wp:inline distT="0" distB="0" distL="0" distR="0" wp14:anchorId="69C4D356" wp14:editId="3EEC6F2C">
            <wp:extent cx="2847975" cy="1666875"/>
            <wp:effectExtent l="0" t="0" r="9525" b="9525"/>
            <wp:docPr id="16" name="Chart 16">
              <a:extLst xmlns:a="http://schemas.openxmlformats.org/drawingml/2006/main">
                <a:ext uri="{FF2B5EF4-FFF2-40B4-BE49-F238E27FC236}">
                  <a16:creationId xmlns:a16="http://schemas.microsoft.com/office/drawing/2014/main" xmlns:w16se="http://schemas.microsoft.com/office/word/2015/wordml/symex"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3D1D79C6-A7B2-4A0A-B786-BE39F3B7A688}"/>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r>
        <w:rPr>
          <w:noProof/>
        </w:rPr>
        <w:t xml:space="preserve"> </w:t>
      </w:r>
      <w:r>
        <w:rPr>
          <w:noProof/>
        </w:rPr>
        <w:drawing>
          <wp:anchor distT="0" distB="0" distL="114300" distR="114300" simplePos="0" relativeHeight="251718656" behindDoc="0" locked="0" layoutInCell="1" allowOverlap="1" wp14:anchorId="0F71B82A" wp14:editId="18B2DA2F">
            <wp:simplePos x="742950" y="4743450"/>
            <wp:positionH relativeFrom="column">
              <wp:align>left</wp:align>
            </wp:positionH>
            <wp:positionV relativeFrom="paragraph">
              <wp:align>top</wp:align>
            </wp:positionV>
            <wp:extent cx="2990850" cy="1680845"/>
            <wp:effectExtent l="0" t="0" r="0" b="14605"/>
            <wp:wrapSquare wrapText="bothSides"/>
            <wp:docPr id="7" name="Chart 7">
              <a:extLst xmlns:a="http://schemas.openxmlformats.org/drawingml/2006/main">
                <a:ext uri="{FF2B5EF4-FFF2-40B4-BE49-F238E27FC236}">
                  <a16:creationId xmlns:a16="http://schemas.microsoft.com/office/drawing/2014/main" xmlns:w16se="http://schemas.microsoft.com/office/word/2015/wordml/symex"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CB3E3C4D-B430-463C-8936-18B7F94BB407}"/>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anchor>
        </w:drawing>
      </w:r>
      <w:r>
        <w:rPr>
          <w:lang w:val="sq-AL"/>
        </w:rPr>
        <w:br w:type="textWrapping" w:clear="all"/>
      </w:r>
      <w:r w:rsidRPr="004E355C">
        <w:rPr>
          <w:rFonts w:asciiTheme="minorHAnsi" w:hAnsiTheme="minorHAnsi"/>
          <w:sz w:val="20"/>
          <w:szCs w:val="20"/>
          <w:lang w:val="sq-AL"/>
        </w:rPr>
        <w:t>Burimi: Ministria e Financave dhe Ekonomisë (20</w:t>
      </w:r>
      <w:r>
        <w:rPr>
          <w:rFonts w:asciiTheme="minorHAnsi" w:hAnsiTheme="minorHAnsi"/>
          <w:sz w:val="20"/>
          <w:szCs w:val="20"/>
          <w:lang w:val="sq-AL"/>
        </w:rPr>
        <w:t>20</w:t>
      </w:r>
      <w:r w:rsidRPr="004E355C">
        <w:rPr>
          <w:rFonts w:asciiTheme="minorHAnsi" w:hAnsiTheme="minorHAnsi"/>
          <w:sz w:val="20"/>
          <w:szCs w:val="20"/>
          <w:lang w:val="sq-AL"/>
        </w:rPr>
        <w:t>)</w:t>
      </w:r>
    </w:p>
    <w:p w:rsidR="00F720EE" w:rsidRPr="004E355C" w:rsidRDefault="00F720EE" w:rsidP="00F720EE">
      <w:pPr>
        <w:spacing w:before="240" w:line="276" w:lineRule="auto"/>
        <w:jc w:val="both"/>
        <w:rPr>
          <w:rFonts w:asciiTheme="minorHAnsi" w:hAnsiTheme="minorHAnsi"/>
          <w:lang w:val="sq-AL"/>
        </w:rPr>
      </w:pPr>
      <w:r w:rsidRPr="004E355C">
        <w:rPr>
          <w:rFonts w:asciiTheme="minorHAnsi" w:hAnsiTheme="minorHAnsi" w:cstheme="minorHAnsi"/>
          <w:i/>
        </w:rPr>
        <w:t>Të ardhurat nga TVSH-ja neto brenda vendit</w:t>
      </w:r>
      <w:r w:rsidRPr="004E355C">
        <w:rPr>
          <w:rFonts w:asciiTheme="minorHAnsi" w:hAnsiTheme="minorHAnsi" w:cstheme="minorHAnsi"/>
        </w:rPr>
        <w:t xml:space="preserve"> janë realizuar në vlerën 1</w:t>
      </w:r>
      <w:r>
        <w:rPr>
          <w:rFonts w:asciiTheme="minorHAnsi" w:hAnsiTheme="minorHAnsi" w:cstheme="minorHAnsi"/>
        </w:rPr>
        <w:t>1.8</w:t>
      </w:r>
      <w:r w:rsidRPr="004E355C">
        <w:rPr>
          <w:rFonts w:asciiTheme="minorHAnsi" w:hAnsiTheme="minorHAnsi" w:cstheme="minorHAnsi"/>
        </w:rPr>
        <w:t xml:space="preserve"> miliardë lekë, </w:t>
      </w:r>
      <w:r>
        <w:rPr>
          <w:rFonts w:asciiTheme="minorHAnsi" w:hAnsiTheme="minorHAnsi" w:cstheme="minorHAnsi"/>
        </w:rPr>
        <w:t>6.9</w:t>
      </w:r>
      <w:r w:rsidRPr="004E355C">
        <w:rPr>
          <w:rFonts w:asciiTheme="minorHAnsi" w:hAnsiTheme="minorHAnsi" w:cstheme="minorHAnsi"/>
        </w:rPr>
        <w:t xml:space="preserve">% ose </w:t>
      </w:r>
      <w:r>
        <w:rPr>
          <w:rFonts w:asciiTheme="minorHAnsi" w:hAnsiTheme="minorHAnsi" w:cstheme="minorHAnsi"/>
        </w:rPr>
        <w:t>878</w:t>
      </w:r>
      <w:r w:rsidRPr="004E355C">
        <w:rPr>
          <w:rFonts w:asciiTheme="minorHAnsi" w:hAnsiTheme="minorHAnsi" w:cstheme="minorHAnsi"/>
        </w:rPr>
        <w:t xml:space="preserve"> mili</w:t>
      </w:r>
      <w:r>
        <w:rPr>
          <w:rFonts w:asciiTheme="minorHAnsi" w:hAnsiTheme="minorHAnsi" w:cstheme="minorHAnsi"/>
        </w:rPr>
        <w:t>on</w:t>
      </w:r>
      <w:r w:rsidRPr="004E355C">
        <w:rPr>
          <w:rFonts w:asciiTheme="minorHAnsi" w:hAnsiTheme="minorHAnsi" w:cstheme="minorHAnsi"/>
        </w:rPr>
        <w:t>ë lekë më pak se 5 mujori i vitit 201</w:t>
      </w:r>
      <w:r>
        <w:rPr>
          <w:rFonts w:asciiTheme="minorHAnsi" w:hAnsiTheme="minorHAnsi" w:cstheme="minorHAnsi"/>
        </w:rPr>
        <w:t>9</w:t>
      </w:r>
      <w:r w:rsidRPr="004E355C">
        <w:rPr>
          <w:rFonts w:asciiTheme="minorHAnsi" w:hAnsiTheme="minorHAnsi" w:cstheme="minorHAnsi"/>
        </w:rPr>
        <w:t xml:space="preserve"> dhe me një realizim të planit të periudhës në masën </w:t>
      </w:r>
      <w:r>
        <w:rPr>
          <w:rFonts w:asciiTheme="minorHAnsi" w:hAnsiTheme="minorHAnsi" w:cstheme="minorHAnsi"/>
        </w:rPr>
        <w:t>91.8</w:t>
      </w:r>
      <w:r w:rsidRPr="004E355C">
        <w:rPr>
          <w:rFonts w:asciiTheme="minorHAnsi" w:hAnsiTheme="minorHAnsi" w:cstheme="minorHAnsi"/>
        </w:rPr>
        <w:t xml:space="preserve">% ose rreth </w:t>
      </w:r>
      <w:r>
        <w:rPr>
          <w:rFonts w:asciiTheme="minorHAnsi" w:hAnsiTheme="minorHAnsi" w:cstheme="minorHAnsi"/>
        </w:rPr>
        <w:t>1</w:t>
      </w:r>
      <w:r w:rsidRPr="004E355C">
        <w:rPr>
          <w:rFonts w:asciiTheme="minorHAnsi" w:hAnsiTheme="minorHAnsi" w:cstheme="minorHAnsi"/>
        </w:rPr>
        <w:t xml:space="preserve"> miliardë lekë më pak. Rimbursimi i TVSH-së krahasuar me 5 mujorin e vitit të kaluar është </w:t>
      </w:r>
      <w:r>
        <w:rPr>
          <w:rFonts w:asciiTheme="minorHAnsi" w:hAnsiTheme="minorHAnsi" w:cstheme="minorHAnsi"/>
        </w:rPr>
        <w:t>85.1</w:t>
      </w:r>
      <w:r w:rsidRPr="004E355C">
        <w:rPr>
          <w:rFonts w:asciiTheme="minorHAnsi" w:hAnsiTheme="minorHAnsi" w:cstheme="minorHAnsi"/>
        </w:rPr>
        <w:t>%, ose 1 miliardë lekë</w:t>
      </w:r>
      <w:r>
        <w:rPr>
          <w:rFonts w:asciiTheme="minorHAnsi" w:hAnsiTheme="minorHAnsi"/>
          <w:lang w:val="sq-AL"/>
        </w:rPr>
        <w:t xml:space="preserve"> m</w:t>
      </w:r>
      <w:r w:rsidRPr="004E355C">
        <w:rPr>
          <w:rFonts w:asciiTheme="minorHAnsi" w:hAnsiTheme="minorHAnsi" w:cstheme="minorHAnsi"/>
        </w:rPr>
        <w:t>ë</w:t>
      </w:r>
      <w:r>
        <w:rPr>
          <w:rFonts w:asciiTheme="minorHAnsi" w:hAnsiTheme="minorHAnsi" w:cstheme="minorHAnsi"/>
        </w:rPr>
        <w:t xml:space="preserve"> pak dhe 30.3% ose 2.6 miliard</w:t>
      </w:r>
      <w:r w:rsidRPr="004E355C">
        <w:rPr>
          <w:rFonts w:asciiTheme="minorHAnsi" w:hAnsiTheme="minorHAnsi" w:cstheme="minorHAnsi"/>
        </w:rPr>
        <w:t>ë</w:t>
      </w:r>
      <w:r>
        <w:rPr>
          <w:rFonts w:asciiTheme="minorHAnsi" w:hAnsiTheme="minorHAnsi" w:cstheme="minorHAnsi"/>
        </w:rPr>
        <w:t xml:space="preserve"> lek</w:t>
      </w:r>
      <w:r w:rsidRPr="004E355C">
        <w:rPr>
          <w:rFonts w:asciiTheme="minorHAnsi" w:hAnsiTheme="minorHAnsi" w:cstheme="minorHAnsi"/>
        </w:rPr>
        <w:t>ë</w:t>
      </w:r>
      <w:r>
        <w:rPr>
          <w:rFonts w:asciiTheme="minorHAnsi" w:hAnsiTheme="minorHAnsi" w:cstheme="minorHAnsi"/>
        </w:rPr>
        <w:t xml:space="preserve"> m</w:t>
      </w:r>
      <w:r w:rsidRPr="004E355C">
        <w:rPr>
          <w:rFonts w:asciiTheme="minorHAnsi" w:hAnsiTheme="minorHAnsi" w:cstheme="minorHAnsi"/>
        </w:rPr>
        <w:t>ë</w:t>
      </w:r>
      <w:r>
        <w:rPr>
          <w:rFonts w:asciiTheme="minorHAnsi" w:hAnsiTheme="minorHAnsi" w:cstheme="minorHAnsi"/>
        </w:rPr>
        <w:t xml:space="preserve"> pak krahasuar me planin e vitit 2020.</w:t>
      </w:r>
    </w:p>
    <w:p w:rsidR="00F720EE" w:rsidRPr="004E355C" w:rsidRDefault="00F720EE" w:rsidP="00F720EE">
      <w:pPr>
        <w:tabs>
          <w:tab w:val="left" w:pos="1530"/>
          <w:tab w:val="center" w:pos="4680"/>
          <w:tab w:val="left" w:pos="9360"/>
        </w:tabs>
        <w:spacing w:line="276" w:lineRule="auto"/>
        <w:jc w:val="both"/>
        <w:rPr>
          <w:rFonts w:asciiTheme="minorHAnsi" w:eastAsia="SimSun" w:hAnsiTheme="minorHAnsi"/>
          <w:sz w:val="8"/>
          <w:szCs w:val="8"/>
          <w:lang w:val="sq-AL"/>
        </w:rPr>
      </w:pPr>
    </w:p>
    <w:p w:rsidR="00F720EE" w:rsidRPr="0053764B" w:rsidRDefault="00F720EE" w:rsidP="00F720EE">
      <w:pPr>
        <w:pStyle w:val="Caption"/>
        <w:keepNext/>
        <w:spacing w:after="0"/>
        <w:jc w:val="both"/>
        <w:rPr>
          <w:rFonts w:asciiTheme="minorHAnsi" w:hAnsiTheme="minorHAnsi"/>
          <w:b w:val="0"/>
          <w:bCs w:val="0"/>
          <w:i/>
          <w:color w:val="auto"/>
          <w:sz w:val="24"/>
          <w:szCs w:val="24"/>
          <w:lang w:val="sq-AL"/>
        </w:rPr>
      </w:pPr>
      <w:bookmarkStart w:id="32" w:name="_Toc12448432"/>
      <w:bookmarkStart w:id="33" w:name="_Toc44404446"/>
      <w:r w:rsidRPr="004E355C">
        <w:rPr>
          <w:rFonts w:asciiTheme="minorHAnsi" w:hAnsiTheme="minorHAnsi"/>
          <w:b w:val="0"/>
          <w:bCs w:val="0"/>
          <w:i/>
          <w:color w:val="auto"/>
          <w:sz w:val="24"/>
          <w:szCs w:val="24"/>
          <w:lang w:val="sq-AL"/>
        </w:rPr>
        <w:lastRenderedPageBreak/>
        <w:t xml:space="preserve">Grafiku </w:t>
      </w:r>
      <w:r w:rsidRPr="004E355C">
        <w:rPr>
          <w:rFonts w:asciiTheme="minorHAnsi" w:hAnsiTheme="minorHAnsi"/>
          <w:b w:val="0"/>
          <w:bCs w:val="0"/>
          <w:i/>
          <w:color w:val="auto"/>
          <w:sz w:val="24"/>
          <w:szCs w:val="24"/>
          <w:lang w:val="sq-AL"/>
        </w:rPr>
        <w:fldChar w:fldCharType="begin"/>
      </w:r>
      <w:r w:rsidRPr="004E355C">
        <w:rPr>
          <w:rFonts w:asciiTheme="minorHAnsi" w:hAnsiTheme="minorHAnsi"/>
          <w:b w:val="0"/>
          <w:bCs w:val="0"/>
          <w:i/>
          <w:color w:val="auto"/>
          <w:sz w:val="24"/>
          <w:szCs w:val="24"/>
          <w:lang w:val="sq-AL"/>
        </w:rPr>
        <w:instrText xml:space="preserve"> SEQ Grafiku \* ARABIC </w:instrText>
      </w:r>
      <w:r w:rsidRPr="004E355C">
        <w:rPr>
          <w:rFonts w:asciiTheme="minorHAnsi" w:hAnsiTheme="minorHAnsi"/>
          <w:b w:val="0"/>
          <w:bCs w:val="0"/>
          <w:i/>
          <w:color w:val="auto"/>
          <w:sz w:val="24"/>
          <w:szCs w:val="24"/>
          <w:lang w:val="sq-AL"/>
        </w:rPr>
        <w:fldChar w:fldCharType="separate"/>
      </w:r>
      <w:r w:rsidR="00C342E2">
        <w:rPr>
          <w:rFonts w:asciiTheme="minorHAnsi" w:hAnsiTheme="minorHAnsi"/>
          <w:b w:val="0"/>
          <w:bCs w:val="0"/>
          <w:i/>
          <w:noProof/>
          <w:color w:val="auto"/>
          <w:sz w:val="24"/>
          <w:szCs w:val="24"/>
          <w:lang w:val="sq-AL"/>
        </w:rPr>
        <w:t>6</w:t>
      </w:r>
      <w:r w:rsidRPr="004E355C">
        <w:rPr>
          <w:rFonts w:asciiTheme="minorHAnsi" w:hAnsiTheme="minorHAnsi"/>
          <w:b w:val="0"/>
          <w:bCs w:val="0"/>
          <w:i/>
          <w:color w:val="auto"/>
          <w:sz w:val="24"/>
          <w:szCs w:val="24"/>
          <w:lang w:val="sq-AL"/>
        </w:rPr>
        <w:fldChar w:fldCharType="end"/>
      </w:r>
      <w:r w:rsidRPr="004E355C">
        <w:rPr>
          <w:rFonts w:asciiTheme="minorHAnsi" w:hAnsiTheme="minorHAnsi"/>
          <w:b w:val="0"/>
          <w:bCs w:val="0"/>
          <w:i/>
          <w:color w:val="auto"/>
          <w:sz w:val="24"/>
          <w:szCs w:val="24"/>
          <w:lang w:val="sq-AL"/>
        </w:rPr>
        <w:t>: Të ardhura nga TVSH dhe rimbursimi i TVSH, 5 mujori në vite (në miliardë lekë)</w:t>
      </w:r>
      <w:bookmarkEnd w:id="32"/>
      <w:bookmarkEnd w:id="33"/>
    </w:p>
    <w:p w:rsidR="00F720EE" w:rsidRPr="0053764B" w:rsidRDefault="00F720EE" w:rsidP="00F720EE">
      <w:pPr>
        <w:jc w:val="center"/>
        <w:rPr>
          <w:lang w:val="sq-AL"/>
        </w:rPr>
      </w:pPr>
      <w:r>
        <w:rPr>
          <w:noProof/>
        </w:rPr>
        <w:drawing>
          <wp:inline distT="0" distB="0" distL="0" distR="0" wp14:anchorId="2068F606" wp14:editId="75B2F973">
            <wp:extent cx="6029325" cy="1775460"/>
            <wp:effectExtent l="0" t="0" r="9525" b="15240"/>
            <wp:docPr id="6" name="Chart 6">
              <a:extLst xmlns:a="http://schemas.openxmlformats.org/drawingml/2006/main">
                <a:ext uri="{FF2B5EF4-FFF2-40B4-BE49-F238E27FC236}">
                  <a16:creationId xmlns:a16="http://schemas.microsoft.com/office/drawing/2014/main" xmlns:w16se="http://schemas.microsoft.com/office/word/2015/wordml/symex"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FAC828DE-335E-47CB-9342-E404C94E4E2D}"/>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p>
    <w:p w:rsidR="00F720EE" w:rsidRPr="0053764B" w:rsidRDefault="00F720EE" w:rsidP="00F720EE">
      <w:pPr>
        <w:tabs>
          <w:tab w:val="left" w:pos="540"/>
          <w:tab w:val="center" w:pos="4680"/>
          <w:tab w:val="left" w:pos="9360"/>
        </w:tabs>
        <w:spacing w:line="276" w:lineRule="auto"/>
        <w:rPr>
          <w:rFonts w:asciiTheme="minorHAnsi" w:hAnsiTheme="minorHAnsi"/>
          <w:sz w:val="20"/>
          <w:szCs w:val="20"/>
          <w:lang w:val="sq-AL"/>
        </w:rPr>
      </w:pPr>
      <w:r w:rsidRPr="004E355C">
        <w:rPr>
          <w:rFonts w:asciiTheme="minorHAnsi" w:hAnsiTheme="minorHAnsi"/>
          <w:sz w:val="20"/>
          <w:szCs w:val="20"/>
          <w:lang w:val="sq-AL"/>
        </w:rPr>
        <w:t>Burimi: Ministria e Financave dhe Ekonomisë (20</w:t>
      </w:r>
      <w:r>
        <w:rPr>
          <w:rFonts w:asciiTheme="minorHAnsi" w:hAnsiTheme="minorHAnsi"/>
          <w:sz w:val="20"/>
          <w:szCs w:val="20"/>
          <w:lang w:val="sq-AL"/>
        </w:rPr>
        <w:t>20</w:t>
      </w:r>
      <w:r w:rsidRPr="004E355C">
        <w:rPr>
          <w:rFonts w:asciiTheme="minorHAnsi" w:hAnsiTheme="minorHAnsi"/>
          <w:sz w:val="20"/>
          <w:szCs w:val="20"/>
          <w:lang w:val="sq-AL"/>
        </w:rPr>
        <w:t>)</w:t>
      </w:r>
    </w:p>
    <w:p w:rsidR="00F720EE" w:rsidRPr="004E355C" w:rsidRDefault="00F720EE" w:rsidP="00F720EE">
      <w:pPr>
        <w:spacing w:line="276" w:lineRule="auto"/>
        <w:jc w:val="both"/>
        <w:rPr>
          <w:rFonts w:asciiTheme="minorHAnsi" w:hAnsiTheme="minorHAnsi"/>
          <w:b/>
          <w:i/>
          <w:sz w:val="16"/>
          <w:lang w:val="sq-AL"/>
        </w:rPr>
      </w:pPr>
    </w:p>
    <w:p w:rsidR="00F720EE" w:rsidRPr="00DD6D17" w:rsidRDefault="00F720EE" w:rsidP="00F720EE">
      <w:pPr>
        <w:spacing w:before="80" w:line="276" w:lineRule="auto"/>
        <w:jc w:val="both"/>
        <w:rPr>
          <w:rFonts w:asciiTheme="minorHAnsi" w:hAnsiTheme="minorHAnsi"/>
          <w:lang w:val="sq-AL"/>
        </w:rPr>
      </w:pPr>
      <w:r w:rsidRPr="00C21C2C">
        <w:rPr>
          <w:rFonts w:asciiTheme="minorHAnsi" w:hAnsiTheme="minorHAnsi" w:cstheme="minorHAnsi"/>
          <w:b/>
          <w:bCs/>
          <w:i/>
        </w:rPr>
        <w:t>Të ardhurat nga tatimi mbi fitimin</w:t>
      </w:r>
      <w:r w:rsidRPr="004E355C">
        <w:rPr>
          <w:rFonts w:asciiTheme="minorHAnsi" w:hAnsiTheme="minorHAnsi" w:cstheme="minorHAnsi"/>
        </w:rPr>
        <w:t xml:space="preserve"> janë realizuar në vler</w:t>
      </w:r>
      <w:bookmarkStart w:id="34" w:name="_Hlk43285693"/>
      <w:r w:rsidRPr="004E355C">
        <w:rPr>
          <w:rFonts w:asciiTheme="minorHAnsi" w:hAnsiTheme="minorHAnsi" w:cstheme="minorHAnsi"/>
        </w:rPr>
        <w:t>ë</w:t>
      </w:r>
      <w:bookmarkEnd w:id="34"/>
      <w:r w:rsidRPr="004E355C">
        <w:rPr>
          <w:rFonts w:asciiTheme="minorHAnsi" w:hAnsiTheme="minorHAnsi" w:cstheme="minorHAnsi"/>
        </w:rPr>
        <w:t>n 1</w:t>
      </w:r>
      <w:r>
        <w:rPr>
          <w:rFonts w:asciiTheme="minorHAnsi" w:hAnsiTheme="minorHAnsi" w:cstheme="minorHAnsi"/>
        </w:rPr>
        <w:t>1.4</w:t>
      </w:r>
      <w:r w:rsidRPr="004E355C">
        <w:rPr>
          <w:rFonts w:asciiTheme="minorHAnsi" w:hAnsiTheme="minorHAnsi" w:cstheme="minorHAnsi"/>
        </w:rPr>
        <w:t xml:space="preserve"> miliardë lekë, </w:t>
      </w:r>
      <w:r>
        <w:rPr>
          <w:rFonts w:asciiTheme="minorHAnsi" w:hAnsiTheme="minorHAnsi" w:cstheme="minorHAnsi"/>
        </w:rPr>
        <w:t>35.3</w:t>
      </w:r>
      <w:r w:rsidRPr="004E355C">
        <w:rPr>
          <w:rFonts w:asciiTheme="minorHAnsi" w:hAnsiTheme="minorHAnsi" w:cstheme="minorHAnsi"/>
        </w:rPr>
        <w:t xml:space="preserve">% ose </w:t>
      </w:r>
      <w:r>
        <w:rPr>
          <w:rFonts w:asciiTheme="minorHAnsi" w:hAnsiTheme="minorHAnsi" w:cstheme="minorHAnsi"/>
        </w:rPr>
        <w:t>6.2</w:t>
      </w:r>
      <w:r w:rsidRPr="004E355C">
        <w:rPr>
          <w:rFonts w:asciiTheme="minorHAnsi" w:hAnsiTheme="minorHAnsi" w:cstheme="minorHAnsi"/>
        </w:rPr>
        <w:t xml:space="preserve"> miliardë lekë më </w:t>
      </w:r>
      <w:r>
        <w:rPr>
          <w:rFonts w:asciiTheme="minorHAnsi" w:hAnsiTheme="minorHAnsi" w:cstheme="minorHAnsi"/>
        </w:rPr>
        <w:t>pak</w:t>
      </w:r>
      <w:r w:rsidRPr="004E355C">
        <w:rPr>
          <w:rFonts w:asciiTheme="minorHAnsi" w:hAnsiTheme="minorHAnsi" w:cstheme="minorHAnsi"/>
        </w:rPr>
        <w:t xml:space="preserve"> se e njëjta periudhë e vitit të kaluar dhe 1</w:t>
      </w:r>
      <w:r>
        <w:rPr>
          <w:rFonts w:asciiTheme="minorHAnsi" w:hAnsiTheme="minorHAnsi" w:cstheme="minorHAnsi"/>
        </w:rPr>
        <w:t>8.5</w:t>
      </w:r>
      <w:r w:rsidRPr="004E355C">
        <w:rPr>
          <w:rFonts w:asciiTheme="minorHAnsi" w:hAnsiTheme="minorHAnsi" w:cstheme="minorHAnsi"/>
        </w:rPr>
        <w:t>% ose 2</w:t>
      </w:r>
      <w:r>
        <w:rPr>
          <w:rFonts w:asciiTheme="minorHAnsi" w:hAnsiTheme="minorHAnsi" w:cstheme="minorHAnsi"/>
        </w:rPr>
        <w:t>.6</w:t>
      </w:r>
      <w:r w:rsidRPr="004E355C">
        <w:rPr>
          <w:rFonts w:asciiTheme="minorHAnsi" w:hAnsiTheme="minorHAnsi" w:cstheme="minorHAnsi"/>
        </w:rPr>
        <w:t xml:space="preserve"> miliardë lek</w:t>
      </w:r>
      <w:bookmarkStart w:id="35" w:name="_Hlk43285754"/>
      <w:r w:rsidRPr="004E355C">
        <w:rPr>
          <w:rFonts w:asciiTheme="minorHAnsi" w:hAnsiTheme="minorHAnsi" w:cstheme="minorHAnsi"/>
        </w:rPr>
        <w:t>ë</w:t>
      </w:r>
      <w:bookmarkEnd w:id="35"/>
      <w:r w:rsidRPr="004E355C">
        <w:rPr>
          <w:rFonts w:asciiTheme="minorHAnsi" w:hAnsiTheme="minorHAnsi" w:cstheme="minorHAnsi"/>
        </w:rPr>
        <w:t xml:space="preserve"> më </w:t>
      </w:r>
      <w:r>
        <w:rPr>
          <w:rFonts w:asciiTheme="minorHAnsi" w:hAnsiTheme="minorHAnsi" w:cstheme="minorHAnsi"/>
        </w:rPr>
        <w:t>pak</w:t>
      </w:r>
      <w:r w:rsidRPr="004E355C">
        <w:rPr>
          <w:rFonts w:asciiTheme="minorHAnsi" w:hAnsiTheme="minorHAnsi" w:cstheme="minorHAnsi"/>
        </w:rPr>
        <w:t xml:space="preserve"> se plani i periudhës. </w:t>
      </w:r>
      <w:r w:rsidRPr="00DD6D17">
        <w:rPr>
          <w:rFonts w:asciiTheme="minorHAnsi" w:hAnsiTheme="minorHAnsi" w:cstheme="minorHAnsi"/>
        </w:rPr>
        <w:t>Situata e pandemisë Covid 19 dhe masat e marra nga qeveria në ndihmë të bi</w:t>
      </w:r>
      <w:r w:rsidR="00C154C8">
        <w:rPr>
          <w:rFonts w:asciiTheme="minorHAnsi" w:hAnsiTheme="minorHAnsi" w:cstheme="minorHAnsi"/>
        </w:rPr>
        <w:t>znesit, janë reflektuar në rë</w:t>
      </w:r>
      <w:r w:rsidRPr="00DD6D17">
        <w:rPr>
          <w:rFonts w:asciiTheme="minorHAnsi" w:hAnsiTheme="minorHAnsi" w:cstheme="minorHAnsi"/>
        </w:rPr>
        <w:t>nien e tatim fitimit të paguar nga ana e biznesit nga muaji mars 2020</w:t>
      </w:r>
      <w:r w:rsidRPr="00DD6D17">
        <w:rPr>
          <w:rFonts w:asciiTheme="minorHAnsi" w:hAnsiTheme="minorHAnsi"/>
          <w:lang w:val="sq-AL"/>
        </w:rPr>
        <w:t>.</w:t>
      </w:r>
    </w:p>
    <w:p w:rsidR="00F720EE" w:rsidRDefault="00F720EE" w:rsidP="00F720EE">
      <w:pPr>
        <w:pStyle w:val="Caption"/>
        <w:keepNext/>
        <w:spacing w:before="240" w:after="0"/>
        <w:jc w:val="both"/>
        <w:rPr>
          <w:rFonts w:asciiTheme="minorHAnsi" w:hAnsiTheme="minorHAnsi"/>
          <w:b w:val="0"/>
          <w:bCs w:val="0"/>
          <w:i/>
          <w:color w:val="auto"/>
          <w:sz w:val="24"/>
          <w:szCs w:val="24"/>
          <w:lang w:val="sq-AL"/>
        </w:rPr>
      </w:pPr>
      <w:bookmarkStart w:id="36" w:name="_Toc12448433"/>
      <w:bookmarkStart w:id="37" w:name="_Toc44404447"/>
      <w:r w:rsidRPr="004E355C">
        <w:rPr>
          <w:rFonts w:asciiTheme="minorHAnsi" w:hAnsiTheme="minorHAnsi"/>
          <w:b w:val="0"/>
          <w:bCs w:val="0"/>
          <w:i/>
          <w:color w:val="auto"/>
          <w:sz w:val="24"/>
          <w:szCs w:val="24"/>
          <w:lang w:val="sq-AL"/>
        </w:rPr>
        <w:t xml:space="preserve">Grafiku </w:t>
      </w:r>
      <w:r w:rsidRPr="004E355C">
        <w:rPr>
          <w:rFonts w:asciiTheme="minorHAnsi" w:hAnsiTheme="minorHAnsi"/>
          <w:b w:val="0"/>
          <w:bCs w:val="0"/>
          <w:i/>
          <w:color w:val="auto"/>
          <w:sz w:val="24"/>
          <w:szCs w:val="24"/>
          <w:lang w:val="sq-AL"/>
        </w:rPr>
        <w:fldChar w:fldCharType="begin"/>
      </w:r>
      <w:r w:rsidRPr="004E355C">
        <w:rPr>
          <w:rFonts w:asciiTheme="minorHAnsi" w:hAnsiTheme="minorHAnsi"/>
          <w:b w:val="0"/>
          <w:bCs w:val="0"/>
          <w:i/>
          <w:color w:val="auto"/>
          <w:sz w:val="24"/>
          <w:szCs w:val="24"/>
          <w:lang w:val="sq-AL"/>
        </w:rPr>
        <w:instrText xml:space="preserve"> SEQ Grafiku \* ARABIC </w:instrText>
      </w:r>
      <w:r w:rsidRPr="004E355C">
        <w:rPr>
          <w:rFonts w:asciiTheme="minorHAnsi" w:hAnsiTheme="minorHAnsi"/>
          <w:b w:val="0"/>
          <w:bCs w:val="0"/>
          <w:i/>
          <w:color w:val="auto"/>
          <w:sz w:val="24"/>
          <w:szCs w:val="24"/>
          <w:lang w:val="sq-AL"/>
        </w:rPr>
        <w:fldChar w:fldCharType="separate"/>
      </w:r>
      <w:r w:rsidR="00C342E2">
        <w:rPr>
          <w:rFonts w:asciiTheme="minorHAnsi" w:hAnsiTheme="minorHAnsi"/>
          <w:b w:val="0"/>
          <w:bCs w:val="0"/>
          <w:i/>
          <w:noProof/>
          <w:color w:val="auto"/>
          <w:sz w:val="24"/>
          <w:szCs w:val="24"/>
          <w:lang w:val="sq-AL"/>
        </w:rPr>
        <w:t>7</w:t>
      </w:r>
      <w:r w:rsidRPr="004E355C">
        <w:rPr>
          <w:rFonts w:asciiTheme="minorHAnsi" w:hAnsiTheme="minorHAnsi"/>
          <w:b w:val="0"/>
          <w:bCs w:val="0"/>
          <w:i/>
          <w:color w:val="auto"/>
          <w:sz w:val="24"/>
          <w:szCs w:val="24"/>
          <w:lang w:val="sq-AL"/>
        </w:rPr>
        <w:fldChar w:fldCharType="end"/>
      </w:r>
      <w:r w:rsidRPr="004E355C">
        <w:rPr>
          <w:rFonts w:asciiTheme="minorHAnsi" w:hAnsiTheme="minorHAnsi"/>
          <w:b w:val="0"/>
          <w:bCs w:val="0"/>
          <w:i/>
          <w:color w:val="auto"/>
          <w:sz w:val="24"/>
          <w:szCs w:val="24"/>
          <w:lang w:val="sq-AL"/>
        </w:rPr>
        <w:t>: Të ardhurat nga Tatim Fitimi, 5 mujori në vite (në miliardë lekë)</w:t>
      </w:r>
      <w:bookmarkEnd w:id="36"/>
      <w:bookmarkEnd w:id="37"/>
    </w:p>
    <w:p w:rsidR="00F720EE" w:rsidRDefault="00F720EE" w:rsidP="00F720EE">
      <w:pPr>
        <w:rPr>
          <w:lang w:val="sq-AL"/>
        </w:rPr>
      </w:pPr>
      <w:r>
        <w:rPr>
          <w:noProof/>
        </w:rPr>
        <w:drawing>
          <wp:inline distT="0" distB="0" distL="0" distR="0" wp14:anchorId="6E18B699" wp14:editId="4521F528">
            <wp:extent cx="5991225" cy="1767840"/>
            <wp:effectExtent l="0" t="0" r="9525" b="3810"/>
            <wp:docPr id="324" name="Chart 324">
              <a:extLst xmlns:a="http://schemas.openxmlformats.org/drawingml/2006/main">
                <a:ext uri="{FF2B5EF4-FFF2-40B4-BE49-F238E27FC236}">
                  <a16:creationId xmlns:a16="http://schemas.microsoft.com/office/drawing/2014/main" xmlns:w16se="http://schemas.microsoft.com/office/word/2015/wordml/symex"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620185E6-030B-4638-BDBD-D969CC73FA92}"/>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inline>
        </w:drawing>
      </w:r>
    </w:p>
    <w:p w:rsidR="00F720EE" w:rsidRPr="004E355C" w:rsidRDefault="00F720EE" w:rsidP="00F720EE">
      <w:pPr>
        <w:tabs>
          <w:tab w:val="left" w:pos="540"/>
          <w:tab w:val="center" w:pos="4680"/>
        </w:tabs>
        <w:spacing w:line="276" w:lineRule="auto"/>
        <w:rPr>
          <w:rFonts w:asciiTheme="minorHAnsi" w:hAnsiTheme="minorHAnsi"/>
          <w:sz w:val="20"/>
          <w:szCs w:val="20"/>
          <w:lang w:val="sq-AL"/>
        </w:rPr>
      </w:pPr>
      <w:r w:rsidRPr="004E355C">
        <w:rPr>
          <w:rFonts w:asciiTheme="minorHAnsi" w:hAnsiTheme="minorHAnsi"/>
          <w:sz w:val="20"/>
          <w:szCs w:val="20"/>
          <w:lang w:val="sq-AL"/>
        </w:rPr>
        <w:t>Burimi: Ministria e Financave dhe Ekonomisë (20</w:t>
      </w:r>
      <w:r>
        <w:rPr>
          <w:rFonts w:asciiTheme="minorHAnsi" w:hAnsiTheme="minorHAnsi"/>
          <w:sz w:val="20"/>
          <w:szCs w:val="20"/>
          <w:lang w:val="sq-AL"/>
        </w:rPr>
        <w:t>20</w:t>
      </w:r>
      <w:r w:rsidRPr="004E355C">
        <w:rPr>
          <w:rFonts w:asciiTheme="minorHAnsi" w:hAnsiTheme="minorHAnsi"/>
          <w:sz w:val="20"/>
          <w:szCs w:val="20"/>
          <w:lang w:val="sq-AL"/>
        </w:rPr>
        <w:t>)</w:t>
      </w:r>
    </w:p>
    <w:p w:rsidR="00F720EE" w:rsidRPr="00E337DA" w:rsidRDefault="00F720EE" w:rsidP="00F720EE">
      <w:pPr>
        <w:spacing w:before="240" w:line="276" w:lineRule="auto"/>
        <w:jc w:val="both"/>
        <w:rPr>
          <w:rFonts w:asciiTheme="minorHAnsi" w:eastAsia="SimSun" w:hAnsiTheme="minorHAnsi"/>
          <w:i/>
          <w:lang w:val="sq-AL"/>
        </w:rPr>
      </w:pPr>
      <w:r w:rsidRPr="004E355C">
        <w:rPr>
          <w:rFonts w:asciiTheme="minorHAnsi" w:hAnsiTheme="minorHAnsi"/>
          <w:b/>
          <w:i/>
          <w:lang w:val="sq-AL"/>
        </w:rPr>
        <w:t>Nga tatimi mbi të ardhurat personale</w:t>
      </w:r>
      <w:r w:rsidRPr="004E355C">
        <w:rPr>
          <w:rFonts w:asciiTheme="minorHAnsi" w:hAnsiTheme="minorHAnsi"/>
          <w:lang w:val="sq-AL"/>
        </w:rPr>
        <w:t xml:space="preserve"> </w:t>
      </w:r>
      <w:r w:rsidRPr="004E355C">
        <w:rPr>
          <w:rFonts w:asciiTheme="minorHAnsi" w:hAnsiTheme="minorHAnsi" w:cstheme="minorHAnsi"/>
          <w:lang w:val="it-IT"/>
        </w:rPr>
        <w:t>janë realizuar 1</w:t>
      </w:r>
      <w:r>
        <w:rPr>
          <w:rFonts w:asciiTheme="minorHAnsi" w:hAnsiTheme="minorHAnsi" w:cstheme="minorHAnsi"/>
          <w:lang w:val="it-IT"/>
        </w:rPr>
        <w:t>3.5</w:t>
      </w:r>
      <w:r w:rsidRPr="004E355C">
        <w:rPr>
          <w:rFonts w:asciiTheme="minorHAnsi" w:hAnsiTheme="minorHAnsi" w:cstheme="minorHAnsi"/>
          <w:lang w:val="it-IT"/>
        </w:rPr>
        <w:t xml:space="preserve"> miliardë lekë</w:t>
      </w:r>
      <w:r>
        <w:rPr>
          <w:rFonts w:asciiTheme="minorHAnsi" w:hAnsiTheme="minorHAnsi" w:cstheme="minorHAnsi"/>
          <w:lang w:val="it-IT"/>
        </w:rPr>
        <w:t>,</w:t>
      </w:r>
      <w:r w:rsidRPr="004E355C">
        <w:rPr>
          <w:rFonts w:asciiTheme="minorHAnsi" w:hAnsiTheme="minorHAnsi" w:cstheme="minorHAnsi"/>
          <w:lang w:val="it-IT"/>
        </w:rPr>
        <w:t xml:space="preserve"> </w:t>
      </w:r>
      <w:r>
        <w:rPr>
          <w:rFonts w:asciiTheme="minorHAnsi" w:hAnsiTheme="minorHAnsi" w:cstheme="minorHAnsi"/>
        </w:rPr>
        <w:t>26.6</w:t>
      </w:r>
      <w:r w:rsidRPr="004E355C">
        <w:rPr>
          <w:rFonts w:asciiTheme="minorHAnsi" w:hAnsiTheme="minorHAnsi" w:cstheme="minorHAnsi"/>
        </w:rPr>
        <w:t xml:space="preserve">% ose </w:t>
      </w:r>
      <w:r>
        <w:rPr>
          <w:rFonts w:asciiTheme="minorHAnsi" w:hAnsiTheme="minorHAnsi" w:cstheme="minorHAnsi"/>
        </w:rPr>
        <w:t>4.9</w:t>
      </w:r>
      <w:r w:rsidRPr="004E355C">
        <w:rPr>
          <w:rFonts w:asciiTheme="minorHAnsi" w:hAnsiTheme="minorHAnsi" w:cstheme="minorHAnsi"/>
        </w:rPr>
        <w:t xml:space="preserve"> miliardë lekë më </w:t>
      </w:r>
      <w:r>
        <w:rPr>
          <w:rFonts w:asciiTheme="minorHAnsi" w:hAnsiTheme="minorHAnsi" w:cstheme="minorHAnsi"/>
        </w:rPr>
        <w:t>pak</w:t>
      </w:r>
      <w:r w:rsidRPr="004E355C">
        <w:rPr>
          <w:rFonts w:asciiTheme="minorHAnsi" w:hAnsiTheme="minorHAnsi" w:cstheme="minorHAnsi"/>
        </w:rPr>
        <w:t xml:space="preserve"> se e njëjta periudhë e vitit të kaluar </w:t>
      </w:r>
      <w:r w:rsidRPr="00E337DA">
        <w:rPr>
          <w:rFonts w:asciiTheme="minorHAnsi" w:hAnsiTheme="minorHAnsi" w:cstheme="minorHAnsi"/>
        </w:rPr>
        <w:t>dhe 4.3% ose 600 milionë lekë më pak se plani i periudhës.</w:t>
      </w:r>
      <w:r w:rsidRPr="00E337DA">
        <w:rPr>
          <w:rFonts w:asciiTheme="minorHAnsi" w:hAnsiTheme="minorHAnsi" w:cstheme="minorHAnsi"/>
          <w:lang w:val="it-IT"/>
        </w:rPr>
        <w:t xml:space="preserve"> Rritja m</w:t>
      </w:r>
      <w:r w:rsidRPr="00E337DA">
        <w:rPr>
          <w:rFonts w:asciiTheme="minorHAnsi" w:hAnsiTheme="minorHAnsi" w:cstheme="minorHAnsi"/>
          <w:lang w:val="it-IT" w:eastAsia="ja-JP"/>
        </w:rPr>
        <w:t>ë e madhe ka ardhur për shkak të tatimit mbi dividendin</w:t>
      </w:r>
      <w:r w:rsidRPr="00E337DA">
        <w:rPr>
          <w:rFonts w:asciiTheme="minorHAnsi" w:hAnsiTheme="minorHAnsi" w:cstheme="minorHAnsi"/>
          <w:lang w:val="it-IT"/>
        </w:rPr>
        <w:t xml:space="preserve">. </w:t>
      </w:r>
      <w:r w:rsidRPr="00E337DA">
        <w:rPr>
          <w:rFonts w:asciiTheme="minorHAnsi" w:hAnsiTheme="minorHAnsi" w:cstheme="minorHAnsi"/>
        </w:rPr>
        <w:t>Të ardhurat e të punësuarve në sektorin publik e privat kan</w:t>
      </w:r>
      <w:r w:rsidRPr="00E337DA">
        <w:rPr>
          <w:rFonts w:ascii="Calibri" w:hAnsi="Calibri" w:cs="Calibri"/>
        </w:rPr>
        <w:t>ë ndryshuar</w:t>
      </w:r>
      <w:r w:rsidRPr="00E337DA">
        <w:rPr>
          <w:rFonts w:asciiTheme="minorHAnsi" w:hAnsiTheme="minorHAnsi" w:cstheme="minorHAnsi"/>
        </w:rPr>
        <w:t xml:space="preserve"> përkatësisht me 3.5% dhe -5.6%. Me p</w:t>
      </w:r>
      <w:r w:rsidRPr="00E337DA">
        <w:rPr>
          <w:rFonts w:ascii="Calibri" w:hAnsi="Calibri" w:cs="Calibri"/>
        </w:rPr>
        <w:t>ërjashtim të të ardhurave nga interesat, t</w:t>
      </w:r>
      <w:r>
        <w:rPr>
          <w:rFonts w:ascii="Calibri" w:hAnsi="Calibri" w:cs="Calibri"/>
        </w:rPr>
        <w:t>ë</w:t>
      </w:r>
      <w:r w:rsidRPr="00E337DA">
        <w:rPr>
          <w:rFonts w:ascii="Calibri" w:hAnsi="Calibri" w:cs="Calibri"/>
        </w:rPr>
        <w:t xml:space="preserve"> cilat janë rritur me 3.2%, të gjitha zërat e tjerë të të ardhurave personale kanë pësuar rënie.</w:t>
      </w:r>
    </w:p>
    <w:p w:rsidR="00F720EE" w:rsidRPr="004E355C" w:rsidRDefault="00F720EE" w:rsidP="00F720EE">
      <w:pPr>
        <w:spacing w:line="276" w:lineRule="auto"/>
        <w:jc w:val="both"/>
        <w:rPr>
          <w:rFonts w:asciiTheme="minorHAnsi" w:hAnsiTheme="minorHAnsi"/>
          <w:sz w:val="8"/>
          <w:szCs w:val="8"/>
          <w:lang w:val="sq-AL"/>
        </w:rPr>
      </w:pPr>
    </w:p>
    <w:p w:rsidR="00F720EE" w:rsidRDefault="00F720EE" w:rsidP="00F720EE">
      <w:pPr>
        <w:pStyle w:val="Caption"/>
        <w:keepNext/>
        <w:jc w:val="both"/>
        <w:rPr>
          <w:rFonts w:asciiTheme="minorHAnsi" w:hAnsiTheme="minorHAnsi"/>
          <w:b w:val="0"/>
          <w:bCs w:val="0"/>
          <w:i/>
          <w:color w:val="auto"/>
          <w:sz w:val="24"/>
          <w:szCs w:val="24"/>
          <w:lang w:val="sq-AL"/>
        </w:rPr>
      </w:pPr>
      <w:bookmarkStart w:id="38" w:name="_Toc12448434"/>
      <w:bookmarkStart w:id="39" w:name="_Toc44404448"/>
      <w:r w:rsidRPr="004E355C">
        <w:rPr>
          <w:rFonts w:asciiTheme="minorHAnsi" w:hAnsiTheme="minorHAnsi"/>
          <w:b w:val="0"/>
          <w:bCs w:val="0"/>
          <w:i/>
          <w:color w:val="auto"/>
          <w:sz w:val="24"/>
          <w:szCs w:val="24"/>
          <w:lang w:val="sq-AL"/>
        </w:rPr>
        <w:t xml:space="preserve">Grafiku </w:t>
      </w:r>
      <w:r w:rsidRPr="004E355C">
        <w:rPr>
          <w:rFonts w:asciiTheme="minorHAnsi" w:hAnsiTheme="minorHAnsi"/>
          <w:b w:val="0"/>
          <w:bCs w:val="0"/>
          <w:i/>
          <w:color w:val="auto"/>
          <w:sz w:val="24"/>
          <w:szCs w:val="24"/>
          <w:lang w:val="sq-AL"/>
        </w:rPr>
        <w:fldChar w:fldCharType="begin"/>
      </w:r>
      <w:r w:rsidRPr="004E355C">
        <w:rPr>
          <w:rFonts w:asciiTheme="minorHAnsi" w:hAnsiTheme="minorHAnsi"/>
          <w:b w:val="0"/>
          <w:bCs w:val="0"/>
          <w:i/>
          <w:color w:val="auto"/>
          <w:sz w:val="24"/>
          <w:szCs w:val="24"/>
          <w:lang w:val="sq-AL"/>
        </w:rPr>
        <w:instrText xml:space="preserve"> SEQ Grafiku \* ARABIC </w:instrText>
      </w:r>
      <w:r w:rsidRPr="004E355C">
        <w:rPr>
          <w:rFonts w:asciiTheme="minorHAnsi" w:hAnsiTheme="minorHAnsi"/>
          <w:b w:val="0"/>
          <w:bCs w:val="0"/>
          <w:i/>
          <w:color w:val="auto"/>
          <w:sz w:val="24"/>
          <w:szCs w:val="24"/>
          <w:lang w:val="sq-AL"/>
        </w:rPr>
        <w:fldChar w:fldCharType="separate"/>
      </w:r>
      <w:r w:rsidR="00C342E2">
        <w:rPr>
          <w:rFonts w:asciiTheme="minorHAnsi" w:hAnsiTheme="minorHAnsi"/>
          <w:b w:val="0"/>
          <w:bCs w:val="0"/>
          <w:i/>
          <w:noProof/>
          <w:color w:val="auto"/>
          <w:sz w:val="24"/>
          <w:szCs w:val="24"/>
          <w:lang w:val="sq-AL"/>
        </w:rPr>
        <w:t>8</w:t>
      </w:r>
      <w:r w:rsidRPr="004E355C">
        <w:rPr>
          <w:rFonts w:asciiTheme="minorHAnsi" w:hAnsiTheme="minorHAnsi"/>
          <w:b w:val="0"/>
          <w:bCs w:val="0"/>
          <w:i/>
          <w:color w:val="auto"/>
          <w:sz w:val="24"/>
          <w:szCs w:val="24"/>
          <w:lang w:val="sq-AL"/>
        </w:rPr>
        <w:fldChar w:fldCharType="end"/>
      </w:r>
      <w:r w:rsidRPr="004E355C">
        <w:rPr>
          <w:rFonts w:asciiTheme="minorHAnsi" w:hAnsiTheme="minorHAnsi"/>
          <w:b w:val="0"/>
          <w:bCs w:val="0"/>
          <w:i/>
          <w:color w:val="auto"/>
          <w:sz w:val="24"/>
          <w:szCs w:val="24"/>
          <w:lang w:val="sq-AL"/>
        </w:rPr>
        <w:t>: Të ardhurat nga Tatimi mbi të Ardhurat Personale, në vite (në milion lekë)</w:t>
      </w:r>
      <w:bookmarkEnd w:id="38"/>
      <w:bookmarkEnd w:id="39"/>
    </w:p>
    <w:p w:rsidR="00F720EE" w:rsidRDefault="00F720EE" w:rsidP="00F720EE">
      <w:pPr>
        <w:jc w:val="center"/>
        <w:rPr>
          <w:lang w:val="sq-AL"/>
        </w:rPr>
      </w:pPr>
      <w:r>
        <w:rPr>
          <w:noProof/>
        </w:rPr>
        <w:drawing>
          <wp:inline distT="0" distB="0" distL="0" distR="0" wp14:anchorId="42C6D6D3" wp14:editId="612C2794">
            <wp:extent cx="6062345" cy="1615440"/>
            <wp:effectExtent l="0" t="0" r="14605" b="3810"/>
            <wp:docPr id="325" name="Chart 325">
              <a:extLst xmlns:a="http://schemas.openxmlformats.org/drawingml/2006/main">
                <a:ext uri="{FF2B5EF4-FFF2-40B4-BE49-F238E27FC236}">
                  <a16:creationId xmlns:a16="http://schemas.microsoft.com/office/drawing/2014/main" xmlns:w16se="http://schemas.microsoft.com/office/word/2015/wordml/symex"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D33FE583-5FC9-481E-B294-EC4D6C7D3EF2}"/>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2"/>
              </a:graphicData>
            </a:graphic>
          </wp:inline>
        </w:drawing>
      </w:r>
    </w:p>
    <w:p w:rsidR="00F720EE" w:rsidRPr="004E355C" w:rsidRDefault="00F720EE" w:rsidP="00F720EE">
      <w:pPr>
        <w:spacing w:line="276" w:lineRule="auto"/>
        <w:jc w:val="both"/>
        <w:rPr>
          <w:rFonts w:asciiTheme="minorHAnsi" w:eastAsia="SimSun" w:hAnsiTheme="minorHAnsi"/>
          <w:i/>
          <w:lang w:val="sq-AL"/>
        </w:rPr>
      </w:pPr>
      <w:r w:rsidRPr="004E355C">
        <w:rPr>
          <w:rFonts w:asciiTheme="minorHAnsi" w:hAnsiTheme="minorHAnsi"/>
          <w:sz w:val="20"/>
          <w:szCs w:val="20"/>
          <w:lang w:val="sq-AL"/>
        </w:rPr>
        <w:t>Burimi: Ministria e Financave dhe Ekonomisë (20</w:t>
      </w:r>
      <w:r>
        <w:rPr>
          <w:rFonts w:asciiTheme="minorHAnsi" w:hAnsiTheme="minorHAnsi"/>
          <w:sz w:val="20"/>
          <w:szCs w:val="20"/>
          <w:lang w:val="sq-AL"/>
        </w:rPr>
        <w:t>20</w:t>
      </w:r>
      <w:r w:rsidRPr="004E355C">
        <w:rPr>
          <w:rFonts w:asciiTheme="minorHAnsi" w:hAnsiTheme="minorHAnsi"/>
          <w:sz w:val="20"/>
          <w:szCs w:val="20"/>
          <w:lang w:val="sq-AL"/>
        </w:rPr>
        <w:t>)</w:t>
      </w:r>
      <w:r w:rsidRPr="004E355C">
        <w:rPr>
          <w:rFonts w:asciiTheme="minorHAnsi" w:eastAsia="SimSun" w:hAnsiTheme="minorHAnsi"/>
          <w:i/>
          <w:lang w:val="sq-AL"/>
        </w:rPr>
        <w:tab/>
      </w:r>
    </w:p>
    <w:p w:rsidR="00F720EE" w:rsidRPr="004E355C" w:rsidRDefault="00F720EE" w:rsidP="00F720EE">
      <w:pPr>
        <w:spacing w:line="276" w:lineRule="auto"/>
        <w:jc w:val="both"/>
        <w:rPr>
          <w:rFonts w:asciiTheme="minorHAnsi" w:hAnsiTheme="minorHAnsi" w:cstheme="minorHAnsi"/>
          <w:sz w:val="8"/>
          <w:szCs w:val="8"/>
          <w:lang w:val="it-IT"/>
        </w:rPr>
      </w:pPr>
    </w:p>
    <w:p w:rsidR="00F720EE" w:rsidRDefault="00F720EE" w:rsidP="00F720EE">
      <w:pPr>
        <w:spacing w:line="276" w:lineRule="auto"/>
        <w:jc w:val="both"/>
        <w:rPr>
          <w:rFonts w:asciiTheme="minorHAnsi" w:hAnsiTheme="minorHAnsi"/>
          <w:i/>
          <w:lang w:val="sq-AL"/>
        </w:rPr>
      </w:pPr>
      <w:r w:rsidRPr="00C21C2C">
        <w:rPr>
          <w:rFonts w:asciiTheme="minorHAnsi" w:hAnsiTheme="minorHAnsi" w:cstheme="minorHAnsi"/>
          <w:b/>
          <w:bCs/>
          <w:i/>
          <w:iCs/>
          <w:lang w:val="it-IT"/>
        </w:rPr>
        <w:lastRenderedPageBreak/>
        <w:t>Nga “Taksat Kombëtare”</w:t>
      </w:r>
      <w:r w:rsidRPr="004E355C">
        <w:rPr>
          <w:rFonts w:asciiTheme="minorHAnsi" w:hAnsiTheme="minorHAnsi" w:cstheme="minorHAnsi"/>
          <w:lang w:val="it-IT"/>
        </w:rPr>
        <w:t xml:space="preserve"> janë realizuar 1</w:t>
      </w:r>
      <w:r>
        <w:rPr>
          <w:rFonts w:asciiTheme="minorHAnsi" w:hAnsiTheme="minorHAnsi" w:cstheme="minorHAnsi"/>
          <w:lang w:val="it-IT"/>
        </w:rPr>
        <w:t>1.6</w:t>
      </w:r>
      <w:r w:rsidRPr="004E355C">
        <w:rPr>
          <w:rFonts w:asciiTheme="minorHAnsi" w:hAnsiTheme="minorHAnsi" w:cstheme="minorHAnsi"/>
          <w:lang w:val="it-IT"/>
        </w:rPr>
        <w:t xml:space="preserve"> miliardë lekë,</w:t>
      </w:r>
      <w:r>
        <w:rPr>
          <w:rFonts w:asciiTheme="minorHAnsi" w:hAnsiTheme="minorHAnsi" w:cstheme="minorHAnsi"/>
          <w:lang w:val="it-IT"/>
        </w:rPr>
        <w:t xml:space="preserve"> 11.3</w:t>
      </w:r>
      <w:r w:rsidRPr="004E355C">
        <w:rPr>
          <w:rFonts w:asciiTheme="minorHAnsi" w:hAnsiTheme="minorHAnsi" w:cstheme="minorHAnsi"/>
          <w:lang w:val="it-IT"/>
        </w:rPr>
        <w:t>% ose  1.</w:t>
      </w:r>
      <w:r>
        <w:rPr>
          <w:rFonts w:asciiTheme="minorHAnsi" w:hAnsiTheme="minorHAnsi" w:cstheme="minorHAnsi"/>
          <w:lang w:val="it-IT"/>
        </w:rPr>
        <w:t>5</w:t>
      </w:r>
      <w:r w:rsidRPr="004E355C">
        <w:rPr>
          <w:rFonts w:asciiTheme="minorHAnsi" w:hAnsiTheme="minorHAnsi" w:cstheme="minorHAnsi"/>
          <w:lang w:val="it-IT"/>
        </w:rPr>
        <w:t xml:space="preserve"> miliardë lekë më pak se 5-mujori i vitit 2019 dhe 12.</w:t>
      </w:r>
      <w:r>
        <w:rPr>
          <w:rFonts w:asciiTheme="minorHAnsi" w:hAnsiTheme="minorHAnsi" w:cstheme="minorHAnsi"/>
          <w:lang w:val="it-IT"/>
        </w:rPr>
        <w:t>1</w:t>
      </w:r>
      <w:r w:rsidRPr="004E355C">
        <w:rPr>
          <w:rFonts w:asciiTheme="minorHAnsi" w:hAnsiTheme="minorHAnsi" w:cstheme="minorHAnsi"/>
          <w:lang w:val="it-IT"/>
        </w:rPr>
        <w:t>% ose 1.</w:t>
      </w:r>
      <w:r>
        <w:rPr>
          <w:rFonts w:asciiTheme="minorHAnsi" w:hAnsiTheme="minorHAnsi" w:cstheme="minorHAnsi"/>
          <w:lang w:val="it-IT"/>
        </w:rPr>
        <w:t>6</w:t>
      </w:r>
      <w:r w:rsidRPr="004E355C">
        <w:rPr>
          <w:rFonts w:asciiTheme="minorHAnsi" w:hAnsiTheme="minorHAnsi" w:cstheme="minorHAnsi"/>
          <w:lang w:val="it-IT"/>
        </w:rPr>
        <w:t xml:space="preserve"> miliardë lekë më pak s</w:t>
      </w:r>
      <w:r w:rsidRPr="004E355C">
        <w:rPr>
          <w:rFonts w:asciiTheme="minorHAnsi" w:eastAsia="Calibri" w:hAnsiTheme="minorHAnsi" w:cstheme="minorHAnsi"/>
          <w:lang w:val="it-IT"/>
        </w:rPr>
        <w:t>e plani</w:t>
      </w:r>
      <w:r w:rsidRPr="004E355C">
        <w:rPr>
          <w:rFonts w:asciiTheme="minorHAnsi" w:hAnsiTheme="minorHAnsi"/>
          <w:lang w:val="sq-AL"/>
        </w:rPr>
        <w:t xml:space="preserve">.    </w:t>
      </w:r>
      <w:r w:rsidRPr="004E355C">
        <w:rPr>
          <w:rFonts w:asciiTheme="minorHAnsi" w:hAnsiTheme="minorHAnsi"/>
          <w:i/>
          <w:lang w:val="sq-AL"/>
        </w:rPr>
        <w:t xml:space="preserve"> </w:t>
      </w:r>
    </w:p>
    <w:p w:rsidR="00C154C8" w:rsidRPr="00C154C8" w:rsidRDefault="00C154C8" w:rsidP="00F720EE">
      <w:pPr>
        <w:spacing w:line="276" w:lineRule="auto"/>
        <w:jc w:val="both"/>
        <w:rPr>
          <w:rFonts w:asciiTheme="minorHAnsi" w:hAnsiTheme="minorHAnsi"/>
          <w:sz w:val="8"/>
          <w:szCs w:val="8"/>
          <w:lang w:val="sq-AL"/>
        </w:rPr>
      </w:pPr>
    </w:p>
    <w:p w:rsidR="00F720EE" w:rsidRDefault="00F720EE" w:rsidP="00F720EE">
      <w:pPr>
        <w:pStyle w:val="Caption"/>
        <w:keepNext/>
        <w:rPr>
          <w:rFonts w:asciiTheme="minorHAnsi" w:hAnsiTheme="minorHAnsi"/>
          <w:b w:val="0"/>
          <w:bCs w:val="0"/>
          <w:i/>
          <w:color w:val="auto"/>
          <w:sz w:val="24"/>
          <w:szCs w:val="24"/>
          <w:lang w:val="sq-AL"/>
        </w:rPr>
      </w:pPr>
      <w:bookmarkStart w:id="40" w:name="_Toc12448435"/>
      <w:bookmarkStart w:id="41" w:name="_Toc44404449"/>
      <w:r w:rsidRPr="004E355C">
        <w:rPr>
          <w:rFonts w:asciiTheme="minorHAnsi" w:hAnsiTheme="minorHAnsi"/>
          <w:b w:val="0"/>
          <w:bCs w:val="0"/>
          <w:i/>
          <w:color w:val="auto"/>
          <w:sz w:val="24"/>
          <w:szCs w:val="24"/>
          <w:lang w:val="sq-AL"/>
        </w:rPr>
        <w:t xml:space="preserve">Grafiku </w:t>
      </w:r>
      <w:r w:rsidRPr="004E355C">
        <w:rPr>
          <w:rFonts w:asciiTheme="minorHAnsi" w:hAnsiTheme="minorHAnsi"/>
          <w:b w:val="0"/>
          <w:bCs w:val="0"/>
          <w:i/>
          <w:color w:val="auto"/>
          <w:sz w:val="24"/>
          <w:szCs w:val="24"/>
          <w:lang w:val="sq-AL"/>
        </w:rPr>
        <w:fldChar w:fldCharType="begin"/>
      </w:r>
      <w:r w:rsidRPr="004E355C">
        <w:rPr>
          <w:rFonts w:asciiTheme="minorHAnsi" w:hAnsiTheme="minorHAnsi"/>
          <w:b w:val="0"/>
          <w:bCs w:val="0"/>
          <w:i/>
          <w:color w:val="auto"/>
          <w:sz w:val="24"/>
          <w:szCs w:val="24"/>
          <w:lang w:val="sq-AL"/>
        </w:rPr>
        <w:instrText xml:space="preserve"> SEQ Grafiku \* ARABIC </w:instrText>
      </w:r>
      <w:r w:rsidRPr="004E355C">
        <w:rPr>
          <w:rFonts w:asciiTheme="minorHAnsi" w:hAnsiTheme="minorHAnsi"/>
          <w:b w:val="0"/>
          <w:bCs w:val="0"/>
          <w:i/>
          <w:color w:val="auto"/>
          <w:sz w:val="24"/>
          <w:szCs w:val="24"/>
          <w:lang w:val="sq-AL"/>
        </w:rPr>
        <w:fldChar w:fldCharType="separate"/>
      </w:r>
      <w:r w:rsidR="00C342E2">
        <w:rPr>
          <w:rFonts w:asciiTheme="minorHAnsi" w:hAnsiTheme="minorHAnsi"/>
          <w:b w:val="0"/>
          <w:bCs w:val="0"/>
          <w:i/>
          <w:noProof/>
          <w:color w:val="auto"/>
          <w:sz w:val="24"/>
          <w:szCs w:val="24"/>
          <w:lang w:val="sq-AL"/>
        </w:rPr>
        <w:t>9</w:t>
      </w:r>
      <w:r w:rsidRPr="004E355C">
        <w:rPr>
          <w:rFonts w:asciiTheme="minorHAnsi" w:hAnsiTheme="minorHAnsi"/>
          <w:b w:val="0"/>
          <w:bCs w:val="0"/>
          <w:i/>
          <w:color w:val="auto"/>
          <w:sz w:val="24"/>
          <w:szCs w:val="24"/>
          <w:lang w:val="sq-AL"/>
        </w:rPr>
        <w:fldChar w:fldCharType="end"/>
      </w:r>
      <w:r w:rsidRPr="004E355C">
        <w:rPr>
          <w:rFonts w:asciiTheme="minorHAnsi" w:hAnsiTheme="minorHAnsi"/>
          <w:b w:val="0"/>
          <w:bCs w:val="0"/>
          <w:i/>
          <w:color w:val="auto"/>
          <w:sz w:val="24"/>
          <w:szCs w:val="24"/>
          <w:lang w:val="sq-AL"/>
        </w:rPr>
        <w:t>: Të ardhurat 5 mujore nga Taksat nacionale, në vite (në miliardë lekë)</w:t>
      </w:r>
      <w:bookmarkEnd w:id="40"/>
      <w:bookmarkEnd w:id="41"/>
    </w:p>
    <w:p w:rsidR="00F720EE" w:rsidRPr="00AD4B08" w:rsidRDefault="00F720EE" w:rsidP="00F720EE">
      <w:pPr>
        <w:jc w:val="center"/>
        <w:rPr>
          <w:lang w:val="sq-AL"/>
        </w:rPr>
      </w:pPr>
      <w:r>
        <w:rPr>
          <w:noProof/>
        </w:rPr>
        <w:drawing>
          <wp:inline distT="0" distB="0" distL="0" distR="0" wp14:anchorId="75F74B2E" wp14:editId="2B0C0B90">
            <wp:extent cx="6062345" cy="1623060"/>
            <wp:effectExtent l="0" t="0" r="14605" b="15240"/>
            <wp:docPr id="326" name="Chart 326">
              <a:extLst xmlns:a="http://schemas.openxmlformats.org/drawingml/2006/main">
                <a:ext uri="{FF2B5EF4-FFF2-40B4-BE49-F238E27FC236}">
                  <a16:creationId xmlns:a16="http://schemas.microsoft.com/office/drawing/2014/main" xmlns:w16se="http://schemas.microsoft.com/office/word/2015/wordml/symex"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4229EC19-03CA-492A-B1F7-3846A8237857}"/>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3"/>
              </a:graphicData>
            </a:graphic>
          </wp:inline>
        </w:drawing>
      </w:r>
    </w:p>
    <w:p w:rsidR="00F720EE" w:rsidRPr="004E355C" w:rsidRDefault="00F720EE" w:rsidP="00F720EE">
      <w:pPr>
        <w:spacing w:line="276" w:lineRule="auto"/>
        <w:jc w:val="both"/>
        <w:rPr>
          <w:rFonts w:asciiTheme="minorHAnsi" w:hAnsiTheme="minorHAnsi"/>
          <w:sz w:val="20"/>
          <w:szCs w:val="20"/>
          <w:lang w:val="sq-AL"/>
        </w:rPr>
      </w:pPr>
      <w:r w:rsidRPr="004E355C">
        <w:rPr>
          <w:rFonts w:asciiTheme="minorHAnsi" w:hAnsiTheme="minorHAnsi"/>
          <w:sz w:val="20"/>
          <w:szCs w:val="20"/>
          <w:lang w:val="sq-AL"/>
        </w:rPr>
        <w:t>Burimi: Ministria e Financave dhe Ekonomisë (20</w:t>
      </w:r>
      <w:r>
        <w:rPr>
          <w:rFonts w:asciiTheme="minorHAnsi" w:hAnsiTheme="minorHAnsi"/>
          <w:sz w:val="20"/>
          <w:szCs w:val="20"/>
          <w:lang w:val="sq-AL"/>
        </w:rPr>
        <w:t>20</w:t>
      </w:r>
      <w:r w:rsidRPr="004E355C">
        <w:rPr>
          <w:rFonts w:asciiTheme="minorHAnsi" w:hAnsiTheme="minorHAnsi"/>
          <w:sz w:val="20"/>
          <w:szCs w:val="20"/>
          <w:lang w:val="sq-AL"/>
        </w:rPr>
        <w:t>)</w:t>
      </w:r>
    </w:p>
    <w:p w:rsidR="00F720EE" w:rsidRPr="004E355C" w:rsidRDefault="00F720EE" w:rsidP="00F720EE">
      <w:pPr>
        <w:spacing w:line="276" w:lineRule="auto"/>
        <w:jc w:val="both"/>
        <w:rPr>
          <w:rFonts w:asciiTheme="minorHAnsi" w:eastAsia="Calibri" w:hAnsiTheme="minorHAnsi" w:cstheme="minorHAnsi"/>
          <w:i/>
          <w:sz w:val="8"/>
          <w:szCs w:val="8"/>
          <w:lang w:val="it-IT"/>
        </w:rPr>
      </w:pPr>
    </w:p>
    <w:p w:rsidR="00F720EE" w:rsidRPr="004D2809" w:rsidRDefault="00F720EE" w:rsidP="00F720EE">
      <w:pPr>
        <w:spacing w:line="276" w:lineRule="auto"/>
        <w:jc w:val="both"/>
        <w:rPr>
          <w:rFonts w:asciiTheme="minorHAnsi" w:hAnsiTheme="minorHAnsi"/>
          <w:color w:val="FF0000"/>
          <w:lang w:val="sq-AL"/>
        </w:rPr>
      </w:pPr>
      <w:r w:rsidRPr="004E355C">
        <w:rPr>
          <w:rFonts w:asciiTheme="minorHAnsi" w:eastAsia="Calibri" w:hAnsiTheme="minorHAnsi" w:cstheme="minorHAnsi"/>
          <w:i/>
          <w:lang w:val="it-IT"/>
        </w:rPr>
        <w:t>Të ardhurat nga “Kontributet e D.P.T-së”</w:t>
      </w:r>
      <w:r w:rsidRPr="004E355C">
        <w:rPr>
          <w:rFonts w:asciiTheme="minorHAnsi" w:eastAsia="Calibri" w:hAnsiTheme="minorHAnsi" w:cstheme="minorHAnsi"/>
          <w:lang w:val="it-IT"/>
        </w:rPr>
        <w:t xml:space="preserve"> </w:t>
      </w:r>
      <w:r w:rsidRPr="004E355C">
        <w:rPr>
          <w:rFonts w:asciiTheme="minorHAnsi" w:hAnsiTheme="minorHAnsi" w:cstheme="minorHAnsi"/>
          <w:lang w:val="it-IT"/>
        </w:rPr>
        <w:t>janë realizuar në vlerën 3</w:t>
      </w:r>
      <w:r>
        <w:rPr>
          <w:rFonts w:asciiTheme="minorHAnsi" w:hAnsiTheme="minorHAnsi" w:cstheme="minorHAnsi"/>
          <w:lang w:val="it-IT"/>
        </w:rPr>
        <w:t>8.4</w:t>
      </w:r>
      <w:r w:rsidRPr="004E355C">
        <w:rPr>
          <w:rFonts w:asciiTheme="minorHAnsi" w:hAnsiTheme="minorHAnsi" w:cstheme="minorHAnsi"/>
          <w:lang w:val="it-IT"/>
        </w:rPr>
        <w:t xml:space="preserve"> miliardë lekë, </w:t>
      </w:r>
      <w:r>
        <w:rPr>
          <w:rFonts w:asciiTheme="minorHAnsi" w:hAnsiTheme="minorHAnsi" w:cstheme="minorHAnsi"/>
          <w:lang w:val="it-IT"/>
        </w:rPr>
        <w:t>688</w:t>
      </w:r>
      <w:r w:rsidRPr="004E355C">
        <w:rPr>
          <w:rFonts w:asciiTheme="minorHAnsi" w:hAnsiTheme="minorHAnsi" w:cstheme="minorHAnsi"/>
          <w:lang w:val="it-IT"/>
        </w:rPr>
        <w:t xml:space="preserve"> mili</w:t>
      </w:r>
      <w:r>
        <w:rPr>
          <w:rFonts w:asciiTheme="minorHAnsi" w:hAnsiTheme="minorHAnsi" w:cstheme="minorHAnsi"/>
          <w:lang w:val="it-IT"/>
        </w:rPr>
        <w:t>on</w:t>
      </w:r>
      <w:r w:rsidRPr="004E355C">
        <w:rPr>
          <w:rFonts w:asciiTheme="minorHAnsi" w:hAnsiTheme="minorHAnsi" w:cstheme="minorHAnsi"/>
          <w:lang w:val="it-IT"/>
        </w:rPr>
        <w:t xml:space="preserve">ë lekë ose </w:t>
      </w:r>
      <w:r>
        <w:rPr>
          <w:rFonts w:asciiTheme="minorHAnsi" w:hAnsiTheme="minorHAnsi" w:cstheme="minorHAnsi"/>
          <w:lang w:val="it-IT"/>
        </w:rPr>
        <w:t>1.8</w:t>
      </w:r>
      <w:r w:rsidRPr="004E355C">
        <w:rPr>
          <w:rFonts w:asciiTheme="minorHAnsi" w:hAnsiTheme="minorHAnsi" w:cstheme="minorHAnsi"/>
          <w:lang w:val="it-IT"/>
        </w:rPr>
        <w:t xml:space="preserve">% më </w:t>
      </w:r>
      <w:r>
        <w:rPr>
          <w:rFonts w:asciiTheme="minorHAnsi" w:hAnsiTheme="minorHAnsi" w:cstheme="minorHAnsi"/>
          <w:lang w:val="it-IT"/>
        </w:rPr>
        <w:t>pak</w:t>
      </w:r>
      <w:r w:rsidRPr="004E355C">
        <w:rPr>
          <w:rFonts w:asciiTheme="minorHAnsi" w:hAnsiTheme="minorHAnsi" w:cstheme="minorHAnsi"/>
          <w:lang w:val="it-IT"/>
        </w:rPr>
        <w:t xml:space="preserve"> se 5-mujori i vitit 201</w:t>
      </w:r>
      <w:r>
        <w:rPr>
          <w:rFonts w:asciiTheme="minorHAnsi" w:hAnsiTheme="minorHAnsi" w:cstheme="minorHAnsi"/>
          <w:lang w:val="it-IT"/>
        </w:rPr>
        <w:t>9</w:t>
      </w:r>
      <w:r w:rsidRPr="004E355C">
        <w:rPr>
          <w:rFonts w:asciiTheme="minorHAnsi" w:hAnsiTheme="minorHAnsi" w:cstheme="minorHAnsi"/>
          <w:lang w:val="it-IT"/>
        </w:rPr>
        <w:t xml:space="preserve"> dhe</w:t>
      </w:r>
      <w:r w:rsidRPr="004D2809">
        <w:rPr>
          <w:rFonts w:asciiTheme="minorHAnsi" w:hAnsiTheme="minorHAnsi" w:cstheme="minorHAnsi"/>
          <w:lang w:val="it-IT"/>
        </w:rPr>
        <w:t xml:space="preserve"> </w:t>
      </w:r>
      <w:r>
        <w:rPr>
          <w:rFonts w:asciiTheme="minorHAnsi" w:hAnsiTheme="minorHAnsi" w:cstheme="minorHAnsi"/>
          <w:lang w:val="it-IT"/>
        </w:rPr>
        <w:t>6.2</w:t>
      </w:r>
      <w:r w:rsidRPr="004D2809">
        <w:rPr>
          <w:rFonts w:asciiTheme="minorHAnsi" w:hAnsiTheme="minorHAnsi" w:cstheme="minorHAnsi"/>
          <w:lang w:val="it-IT"/>
        </w:rPr>
        <w:t xml:space="preserve">% ose </w:t>
      </w:r>
      <w:r>
        <w:rPr>
          <w:rFonts w:asciiTheme="minorHAnsi" w:hAnsiTheme="minorHAnsi" w:cstheme="minorHAnsi"/>
          <w:lang w:val="it-IT"/>
        </w:rPr>
        <w:t>2.5</w:t>
      </w:r>
      <w:r w:rsidRPr="004D2809">
        <w:rPr>
          <w:rFonts w:asciiTheme="minorHAnsi" w:hAnsiTheme="minorHAnsi" w:cstheme="minorHAnsi"/>
          <w:lang w:val="it-IT"/>
        </w:rPr>
        <w:t xml:space="preserve"> miliardë lekë më pak se plani</w:t>
      </w:r>
      <w:r w:rsidRPr="00DD6D17">
        <w:rPr>
          <w:rFonts w:asciiTheme="minorHAnsi" w:hAnsiTheme="minorHAnsi" w:cstheme="minorHAnsi"/>
          <w:lang w:val="it-IT"/>
        </w:rPr>
        <w:t xml:space="preserve">. Rezultati me ulje vjen si pasoje e situates aktuale ku gjatë muajve mars dhe prill ka patur rritje të numrit </w:t>
      </w:r>
      <w:r>
        <w:rPr>
          <w:rFonts w:asciiTheme="minorHAnsi" w:hAnsiTheme="minorHAnsi" w:cstheme="minorHAnsi"/>
          <w:lang w:val="it-IT"/>
        </w:rPr>
        <w:t>t</w:t>
      </w:r>
      <w:r w:rsidRPr="004E355C">
        <w:rPr>
          <w:rFonts w:asciiTheme="minorHAnsi" w:hAnsiTheme="minorHAnsi" w:cstheme="minorHAnsi"/>
          <w:lang w:val="it-IT"/>
        </w:rPr>
        <w:t>ë</w:t>
      </w:r>
      <w:r>
        <w:rPr>
          <w:rFonts w:asciiTheme="minorHAnsi" w:hAnsiTheme="minorHAnsi" w:cstheme="minorHAnsi"/>
          <w:lang w:val="it-IT"/>
        </w:rPr>
        <w:t xml:space="preserve"> t</w:t>
      </w:r>
      <w:r w:rsidRPr="004E355C">
        <w:rPr>
          <w:rFonts w:asciiTheme="minorHAnsi" w:hAnsiTheme="minorHAnsi" w:cstheme="minorHAnsi"/>
          <w:lang w:val="it-IT"/>
        </w:rPr>
        <w:t>ë</w:t>
      </w:r>
      <w:r>
        <w:rPr>
          <w:rFonts w:asciiTheme="minorHAnsi" w:hAnsiTheme="minorHAnsi" w:cstheme="minorHAnsi"/>
          <w:lang w:val="it-IT"/>
        </w:rPr>
        <w:t xml:space="preserve"> larguarve nga puna p</w:t>
      </w:r>
      <w:r w:rsidRPr="004E355C">
        <w:rPr>
          <w:rFonts w:asciiTheme="minorHAnsi" w:hAnsiTheme="minorHAnsi" w:cstheme="minorHAnsi"/>
          <w:lang w:val="it-IT"/>
        </w:rPr>
        <w:t>ë</w:t>
      </w:r>
      <w:r>
        <w:rPr>
          <w:rFonts w:asciiTheme="minorHAnsi" w:hAnsiTheme="minorHAnsi" w:cstheme="minorHAnsi"/>
          <w:lang w:val="it-IT"/>
        </w:rPr>
        <w:t>r shkak t</w:t>
      </w:r>
      <w:r w:rsidRPr="004E355C">
        <w:rPr>
          <w:rFonts w:asciiTheme="minorHAnsi" w:hAnsiTheme="minorHAnsi" w:cstheme="minorHAnsi"/>
          <w:lang w:val="it-IT"/>
        </w:rPr>
        <w:t>ë</w:t>
      </w:r>
      <w:r>
        <w:rPr>
          <w:rFonts w:asciiTheme="minorHAnsi" w:hAnsiTheme="minorHAnsi" w:cstheme="minorHAnsi"/>
          <w:lang w:val="it-IT"/>
        </w:rPr>
        <w:t xml:space="preserve"> pandemis</w:t>
      </w:r>
      <w:r w:rsidRPr="004E355C">
        <w:rPr>
          <w:rFonts w:asciiTheme="minorHAnsi" w:hAnsiTheme="minorHAnsi" w:cstheme="minorHAnsi"/>
          <w:lang w:val="it-IT"/>
        </w:rPr>
        <w:t>ë</w:t>
      </w:r>
      <w:r>
        <w:rPr>
          <w:rFonts w:asciiTheme="minorHAnsi" w:hAnsiTheme="minorHAnsi" w:cstheme="minorHAnsi"/>
          <w:lang w:val="it-IT"/>
        </w:rPr>
        <w:t xml:space="preserve"> bot</w:t>
      </w:r>
      <w:r w:rsidRPr="004E355C">
        <w:rPr>
          <w:rFonts w:asciiTheme="minorHAnsi" w:hAnsiTheme="minorHAnsi" w:cstheme="minorHAnsi"/>
          <w:lang w:val="it-IT"/>
        </w:rPr>
        <w:t>ë</w:t>
      </w:r>
      <w:r>
        <w:rPr>
          <w:rFonts w:asciiTheme="minorHAnsi" w:hAnsiTheme="minorHAnsi" w:cstheme="minorHAnsi"/>
          <w:lang w:val="it-IT"/>
        </w:rPr>
        <w:t>rore Covid 19.</w:t>
      </w:r>
      <w:r w:rsidRPr="004D2809">
        <w:rPr>
          <w:rFonts w:asciiTheme="minorHAnsi" w:hAnsiTheme="minorHAnsi" w:cstheme="minorHAnsi"/>
          <w:color w:val="FF0000"/>
          <w:lang w:val="it-IT"/>
        </w:rPr>
        <w:t xml:space="preserve"> </w:t>
      </w:r>
    </w:p>
    <w:p w:rsidR="00F720EE" w:rsidRPr="004E355C" w:rsidRDefault="00F720EE" w:rsidP="00F720EE">
      <w:pPr>
        <w:pStyle w:val="Caption"/>
        <w:keepNext/>
        <w:spacing w:after="0"/>
        <w:jc w:val="both"/>
        <w:rPr>
          <w:rFonts w:asciiTheme="minorHAnsi" w:hAnsiTheme="minorHAnsi"/>
          <w:b w:val="0"/>
          <w:bCs w:val="0"/>
          <w:i/>
          <w:color w:val="auto"/>
          <w:sz w:val="8"/>
          <w:szCs w:val="8"/>
          <w:lang w:val="sq-AL"/>
        </w:rPr>
      </w:pPr>
    </w:p>
    <w:p w:rsidR="00F720EE" w:rsidRDefault="00F720EE" w:rsidP="00F720EE">
      <w:pPr>
        <w:pStyle w:val="Caption"/>
        <w:keepNext/>
        <w:spacing w:after="0"/>
        <w:jc w:val="both"/>
        <w:rPr>
          <w:rFonts w:asciiTheme="minorHAnsi" w:hAnsiTheme="minorHAnsi"/>
          <w:b w:val="0"/>
          <w:bCs w:val="0"/>
          <w:i/>
          <w:color w:val="auto"/>
          <w:sz w:val="24"/>
          <w:szCs w:val="24"/>
          <w:lang w:val="sq-AL"/>
        </w:rPr>
      </w:pPr>
      <w:bookmarkStart w:id="42" w:name="_Toc12448436"/>
      <w:bookmarkStart w:id="43" w:name="_Toc44404450"/>
      <w:r w:rsidRPr="004E355C">
        <w:rPr>
          <w:rFonts w:asciiTheme="minorHAnsi" w:hAnsiTheme="minorHAnsi"/>
          <w:b w:val="0"/>
          <w:bCs w:val="0"/>
          <w:i/>
          <w:color w:val="auto"/>
          <w:sz w:val="24"/>
          <w:szCs w:val="24"/>
          <w:lang w:val="sq-AL"/>
        </w:rPr>
        <w:t xml:space="preserve">Grafiku </w:t>
      </w:r>
      <w:r w:rsidRPr="004E355C">
        <w:rPr>
          <w:rFonts w:asciiTheme="minorHAnsi" w:hAnsiTheme="minorHAnsi"/>
          <w:b w:val="0"/>
          <w:bCs w:val="0"/>
          <w:i/>
          <w:color w:val="auto"/>
          <w:sz w:val="24"/>
          <w:szCs w:val="24"/>
          <w:lang w:val="sq-AL"/>
        </w:rPr>
        <w:fldChar w:fldCharType="begin"/>
      </w:r>
      <w:r w:rsidRPr="004E355C">
        <w:rPr>
          <w:rFonts w:asciiTheme="minorHAnsi" w:hAnsiTheme="minorHAnsi"/>
          <w:b w:val="0"/>
          <w:bCs w:val="0"/>
          <w:i/>
          <w:color w:val="auto"/>
          <w:sz w:val="24"/>
          <w:szCs w:val="24"/>
          <w:lang w:val="sq-AL"/>
        </w:rPr>
        <w:instrText xml:space="preserve"> SEQ Grafiku \* ARABIC </w:instrText>
      </w:r>
      <w:r w:rsidRPr="004E355C">
        <w:rPr>
          <w:rFonts w:asciiTheme="minorHAnsi" w:hAnsiTheme="minorHAnsi"/>
          <w:b w:val="0"/>
          <w:bCs w:val="0"/>
          <w:i/>
          <w:color w:val="auto"/>
          <w:sz w:val="24"/>
          <w:szCs w:val="24"/>
          <w:lang w:val="sq-AL"/>
        </w:rPr>
        <w:fldChar w:fldCharType="separate"/>
      </w:r>
      <w:r w:rsidR="00C342E2">
        <w:rPr>
          <w:rFonts w:asciiTheme="minorHAnsi" w:hAnsiTheme="minorHAnsi"/>
          <w:b w:val="0"/>
          <w:bCs w:val="0"/>
          <w:i/>
          <w:noProof/>
          <w:color w:val="auto"/>
          <w:sz w:val="24"/>
          <w:szCs w:val="24"/>
          <w:lang w:val="sq-AL"/>
        </w:rPr>
        <w:t>10</w:t>
      </w:r>
      <w:r w:rsidRPr="004E355C">
        <w:rPr>
          <w:rFonts w:asciiTheme="minorHAnsi" w:hAnsiTheme="minorHAnsi"/>
          <w:b w:val="0"/>
          <w:bCs w:val="0"/>
          <w:i/>
          <w:color w:val="auto"/>
          <w:sz w:val="24"/>
          <w:szCs w:val="24"/>
          <w:lang w:val="sq-AL"/>
        </w:rPr>
        <w:fldChar w:fldCharType="end"/>
      </w:r>
      <w:r w:rsidRPr="004E355C">
        <w:rPr>
          <w:rFonts w:asciiTheme="minorHAnsi" w:hAnsiTheme="minorHAnsi"/>
          <w:b w:val="0"/>
          <w:bCs w:val="0"/>
          <w:i/>
          <w:color w:val="auto"/>
          <w:sz w:val="24"/>
          <w:szCs w:val="24"/>
          <w:lang w:val="sq-AL"/>
        </w:rPr>
        <w:t>: Të ardhurat nga kontributet e mbledhura nga DPT, në vite (në miliardë lekë)</w:t>
      </w:r>
      <w:bookmarkEnd w:id="42"/>
      <w:bookmarkEnd w:id="43"/>
    </w:p>
    <w:p w:rsidR="00F720EE" w:rsidRPr="00133CDF" w:rsidRDefault="00F720EE" w:rsidP="00F720EE">
      <w:pPr>
        <w:jc w:val="center"/>
        <w:rPr>
          <w:lang w:val="sq-AL"/>
        </w:rPr>
      </w:pPr>
      <w:r>
        <w:rPr>
          <w:noProof/>
        </w:rPr>
        <w:drawing>
          <wp:inline distT="0" distB="0" distL="0" distR="0" wp14:anchorId="082463B7" wp14:editId="77121322">
            <wp:extent cx="6038850" cy="2952750"/>
            <wp:effectExtent l="0" t="0" r="19050" b="19050"/>
            <wp:docPr id="327" name="Chart 327">
              <a:extLst xmlns:a="http://schemas.openxmlformats.org/drawingml/2006/main">
                <a:ext uri="{FF2B5EF4-FFF2-40B4-BE49-F238E27FC236}">
                  <a16:creationId xmlns:a16="http://schemas.microsoft.com/office/drawing/2014/main" xmlns:w16se="http://schemas.microsoft.com/office/word/2015/wordml/symex"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E4A8C7AC-0957-439F-B8D4-EE9C24A95285}"/>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4"/>
              </a:graphicData>
            </a:graphic>
          </wp:inline>
        </w:drawing>
      </w:r>
    </w:p>
    <w:p w:rsidR="00F720EE" w:rsidRDefault="00F720EE" w:rsidP="00C154C8">
      <w:pPr>
        <w:spacing w:line="276" w:lineRule="auto"/>
        <w:ind w:firstLine="720"/>
        <w:rPr>
          <w:rFonts w:asciiTheme="minorHAnsi" w:hAnsiTheme="minorHAnsi"/>
          <w:sz w:val="20"/>
          <w:szCs w:val="20"/>
          <w:lang w:val="sq-AL"/>
        </w:rPr>
      </w:pPr>
      <w:r w:rsidRPr="004E355C">
        <w:rPr>
          <w:rFonts w:asciiTheme="minorHAnsi" w:hAnsiTheme="minorHAnsi"/>
          <w:sz w:val="20"/>
          <w:szCs w:val="20"/>
          <w:lang w:val="sq-AL"/>
        </w:rPr>
        <w:t>Burimi: Ministria e Financave dhe Ekonomisë (20</w:t>
      </w:r>
      <w:r>
        <w:rPr>
          <w:rFonts w:asciiTheme="minorHAnsi" w:hAnsiTheme="minorHAnsi"/>
          <w:sz w:val="20"/>
          <w:szCs w:val="20"/>
          <w:lang w:val="sq-AL"/>
        </w:rPr>
        <w:t>20</w:t>
      </w:r>
      <w:r w:rsidRPr="004E355C">
        <w:rPr>
          <w:rFonts w:asciiTheme="minorHAnsi" w:hAnsiTheme="minorHAnsi"/>
          <w:sz w:val="20"/>
          <w:szCs w:val="20"/>
          <w:lang w:val="sq-AL"/>
        </w:rPr>
        <w:t>)</w:t>
      </w:r>
    </w:p>
    <w:p w:rsidR="007F224E" w:rsidRPr="007F224E" w:rsidRDefault="007F224E" w:rsidP="00C154C8">
      <w:pPr>
        <w:spacing w:line="276" w:lineRule="auto"/>
        <w:ind w:firstLine="720"/>
        <w:rPr>
          <w:rFonts w:asciiTheme="minorHAnsi" w:hAnsiTheme="minorHAnsi"/>
          <w:sz w:val="16"/>
          <w:szCs w:val="20"/>
          <w:lang w:val="sq-AL"/>
        </w:rPr>
      </w:pPr>
    </w:p>
    <w:p w:rsidR="003A1589" w:rsidRPr="0065598A" w:rsidRDefault="003A1589" w:rsidP="002334F6">
      <w:pPr>
        <w:pStyle w:val="Heading2"/>
      </w:pPr>
      <w:bookmarkStart w:id="44" w:name="_Toc44403607"/>
      <w:r w:rsidRPr="0065598A">
        <w:t>II.2</w:t>
      </w:r>
      <w:r w:rsidRPr="0065598A">
        <w:tab/>
        <w:t>Pritshmëritë fiskale deri në fund të vitit 20</w:t>
      </w:r>
      <w:r w:rsidR="00F720EE">
        <w:t>20</w:t>
      </w:r>
      <w:bookmarkEnd w:id="44"/>
    </w:p>
    <w:p w:rsidR="00886D9A" w:rsidRPr="0065598A" w:rsidRDefault="00886D9A" w:rsidP="00886D9A">
      <w:pPr>
        <w:spacing w:line="276" w:lineRule="auto"/>
        <w:jc w:val="both"/>
        <w:rPr>
          <w:rFonts w:asciiTheme="minorHAnsi" w:hAnsiTheme="minorHAnsi"/>
          <w:b/>
          <w:sz w:val="12"/>
          <w:lang w:val="sq-AL"/>
        </w:rPr>
      </w:pPr>
    </w:p>
    <w:p w:rsidR="00C74FE0" w:rsidRDefault="00F720EE" w:rsidP="00F720EE">
      <w:pPr>
        <w:shd w:val="clear" w:color="auto" w:fill="FFFFFF"/>
        <w:spacing w:line="276" w:lineRule="auto"/>
        <w:jc w:val="both"/>
        <w:rPr>
          <w:rFonts w:asciiTheme="minorHAnsi" w:hAnsiTheme="minorHAnsi" w:cstheme="minorHAnsi"/>
          <w:color w:val="212121"/>
          <w:lang w:val="sq-AL"/>
        </w:rPr>
      </w:pPr>
      <w:r w:rsidRPr="00E32642">
        <w:rPr>
          <w:rFonts w:asciiTheme="minorHAnsi" w:hAnsiTheme="minorHAnsi" w:cstheme="minorHAnsi"/>
          <w:color w:val="212121"/>
          <w:lang w:val="sq-AL"/>
        </w:rPr>
        <w:t>Bazuar në p</w:t>
      </w:r>
      <w:r>
        <w:rPr>
          <w:rFonts w:asciiTheme="minorHAnsi" w:hAnsiTheme="minorHAnsi" w:cstheme="minorHAnsi"/>
          <w:color w:val="212121"/>
          <w:lang w:val="sq-AL"/>
        </w:rPr>
        <w:t>erformancën e 5 mujorit Janar-</w:t>
      </w:r>
      <w:r w:rsidRPr="00E32642">
        <w:rPr>
          <w:rFonts w:asciiTheme="minorHAnsi" w:hAnsiTheme="minorHAnsi" w:cstheme="minorHAnsi"/>
          <w:color w:val="212121"/>
          <w:lang w:val="sq-AL"/>
        </w:rPr>
        <w:t>Maj</w:t>
      </w:r>
      <w:r>
        <w:rPr>
          <w:rFonts w:asciiTheme="minorHAnsi" w:hAnsiTheme="minorHAnsi" w:cstheme="minorHAnsi"/>
          <w:color w:val="212121"/>
          <w:lang w:val="sq-AL"/>
        </w:rPr>
        <w:t xml:space="preserve"> 2020</w:t>
      </w:r>
      <w:r w:rsidRPr="00E32642">
        <w:rPr>
          <w:rFonts w:asciiTheme="minorHAnsi" w:hAnsiTheme="minorHAnsi" w:cstheme="minorHAnsi"/>
          <w:color w:val="212121"/>
          <w:lang w:val="sq-AL"/>
        </w:rPr>
        <w:t xml:space="preserve"> si dhe në analizën e faktorëve që mund të impaktojnë realizimin e të ardhurave tatimore dhe doganore në 7 mujorin në vijim të vitit 2020, </w:t>
      </w:r>
      <w:r w:rsidR="00C74FE0">
        <w:rPr>
          <w:rFonts w:asciiTheme="minorHAnsi" w:hAnsiTheme="minorHAnsi" w:cstheme="minorHAnsi"/>
          <w:color w:val="212121"/>
          <w:lang w:val="sq-AL"/>
        </w:rPr>
        <w:t xml:space="preserve">realizimi i </w:t>
      </w:r>
      <w:r w:rsidRPr="00E32642">
        <w:rPr>
          <w:rFonts w:asciiTheme="minorHAnsi" w:hAnsiTheme="minorHAnsi" w:cstheme="minorHAnsi"/>
          <w:color w:val="212121"/>
          <w:lang w:val="sq-AL"/>
        </w:rPr>
        <w:t>të ardhura</w:t>
      </w:r>
      <w:r w:rsidR="00C74FE0">
        <w:rPr>
          <w:rFonts w:asciiTheme="minorHAnsi" w:hAnsiTheme="minorHAnsi" w:cstheme="minorHAnsi"/>
          <w:color w:val="212121"/>
          <w:lang w:val="sq-AL"/>
        </w:rPr>
        <w:t>ve</w:t>
      </w:r>
      <w:r w:rsidRPr="00E32642">
        <w:rPr>
          <w:rFonts w:asciiTheme="minorHAnsi" w:hAnsiTheme="minorHAnsi" w:cstheme="minorHAnsi"/>
          <w:color w:val="212121"/>
          <w:lang w:val="sq-AL"/>
        </w:rPr>
        <w:t xml:space="preserve"> që administrohen nga Drejtoria e Përgjithshme e Tatimeve (DPT) dhe Drejtoria e Përgjithshme e Doganave (DPD), përfshirë kontributet e sigurimeve shoqërore dhe shëndetësore, </w:t>
      </w:r>
      <w:r w:rsidR="00C74FE0">
        <w:rPr>
          <w:rFonts w:asciiTheme="minorHAnsi" w:hAnsiTheme="minorHAnsi" w:cstheme="minorHAnsi"/>
          <w:color w:val="212121"/>
          <w:lang w:val="sq-AL"/>
        </w:rPr>
        <w:t>pritet në nivelin</w:t>
      </w:r>
      <w:r w:rsidRPr="00E32642">
        <w:rPr>
          <w:rFonts w:asciiTheme="minorHAnsi" w:hAnsiTheme="minorHAnsi" w:cstheme="minorHAnsi"/>
          <w:color w:val="212121"/>
          <w:lang w:val="sq-AL"/>
        </w:rPr>
        <w:t xml:space="preserve"> </w:t>
      </w:r>
      <w:r w:rsidR="00C74FE0">
        <w:rPr>
          <w:rFonts w:asciiTheme="minorHAnsi" w:hAnsiTheme="minorHAnsi" w:cstheme="minorHAnsi"/>
          <w:color w:val="212121"/>
          <w:lang w:val="sq-AL"/>
        </w:rPr>
        <w:t xml:space="preserve">83,3% krahasuar </w:t>
      </w:r>
      <w:r w:rsidRPr="00E32642">
        <w:rPr>
          <w:rFonts w:asciiTheme="minorHAnsi" w:hAnsiTheme="minorHAnsi" w:cstheme="minorHAnsi"/>
          <w:color w:val="212121"/>
          <w:lang w:val="sq-AL"/>
        </w:rPr>
        <w:t xml:space="preserve">me buxhetin fillestar </w:t>
      </w:r>
      <w:r w:rsidR="00C74FE0">
        <w:rPr>
          <w:rFonts w:asciiTheme="minorHAnsi" w:hAnsiTheme="minorHAnsi" w:cstheme="minorHAnsi"/>
          <w:color w:val="212121"/>
          <w:lang w:val="sq-AL"/>
        </w:rPr>
        <w:t>2020</w:t>
      </w:r>
      <w:r w:rsidRPr="00E32642">
        <w:rPr>
          <w:rFonts w:asciiTheme="minorHAnsi" w:hAnsiTheme="minorHAnsi" w:cstheme="minorHAnsi"/>
          <w:color w:val="212121"/>
          <w:lang w:val="sq-AL"/>
        </w:rPr>
        <w:t>.</w:t>
      </w:r>
      <w:r>
        <w:rPr>
          <w:rFonts w:asciiTheme="minorHAnsi" w:hAnsiTheme="minorHAnsi" w:cstheme="minorHAnsi"/>
          <w:color w:val="212121"/>
          <w:lang w:val="sq-AL"/>
        </w:rPr>
        <w:t xml:space="preserve"> </w:t>
      </w:r>
      <w:r w:rsidRPr="00E32642">
        <w:rPr>
          <w:rFonts w:asciiTheme="minorHAnsi" w:hAnsiTheme="minorHAnsi" w:cstheme="minorHAnsi"/>
          <w:color w:val="212121"/>
          <w:lang w:val="sq-AL"/>
        </w:rPr>
        <w:t>Pra</w:t>
      </w:r>
      <w:r w:rsidR="00C74FE0">
        <w:rPr>
          <w:rFonts w:asciiTheme="minorHAnsi" w:hAnsiTheme="minorHAnsi" w:cstheme="minorHAnsi"/>
          <w:color w:val="212121"/>
          <w:lang w:val="sq-AL"/>
        </w:rPr>
        <w:t>,</w:t>
      </w:r>
      <w:r w:rsidRPr="00E32642">
        <w:rPr>
          <w:rFonts w:asciiTheme="minorHAnsi" w:hAnsiTheme="minorHAnsi" w:cstheme="minorHAnsi"/>
          <w:color w:val="212121"/>
          <w:lang w:val="sq-AL"/>
        </w:rPr>
        <w:t xml:space="preserve"> parashikohet deficit ne te ardhurat tatimore nga tatimet dhe doganat pr</w:t>
      </w:r>
      <w:r w:rsidR="00C74FE0">
        <w:rPr>
          <w:rFonts w:asciiTheme="minorHAnsi" w:hAnsiTheme="minorHAnsi" w:cstheme="minorHAnsi"/>
          <w:color w:val="212121"/>
          <w:lang w:val="sq-AL"/>
        </w:rPr>
        <w:t xml:space="preserve">ej </w:t>
      </w:r>
      <w:r>
        <w:rPr>
          <w:rFonts w:asciiTheme="minorHAnsi" w:hAnsiTheme="minorHAnsi" w:cstheme="minorHAnsi"/>
          <w:color w:val="212121"/>
          <w:lang w:val="sq-AL"/>
        </w:rPr>
        <w:t>-19,6</w:t>
      </w:r>
      <w:r w:rsidRPr="00E32642">
        <w:rPr>
          <w:rFonts w:asciiTheme="minorHAnsi" w:hAnsiTheme="minorHAnsi" w:cstheme="minorHAnsi"/>
          <w:color w:val="212121"/>
          <w:lang w:val="sq-AL"/>
        </w:rPr>
        <w:t>% ose</w:t>
      </w:r>
      <w:r w:rsidR="00C74FE0">
        <w:rPr>
          <w:rFonts w:asciiTheme="minorHAnsi" w:hAnsiTheme="minorHAnsi" w:cstheme="minorHAnsi"/>
          <w:color w:val="212121"/>
          <w:lang w:val="sq-AL"/>
        </w:rPr>
        <w:t xml:space="preserve"> </w:t>
      </w:r>
      <w:r w:rsidRPr="00E32642">
        <w:rPr>
          <w:rFonts w:asciiTheme="minorHAnsi" w:hAnsiTheme="minorHAnsi" w:cstheme="minorHAnsi"/>
          <w:color w:val="212121"/>
          <w:lang w:val="sq-AL"/>
        </w:rPr>
        <w:t>-64 miliard leke dhe ne kontributet e sigurimeve shoqerore dhe shendetsore p</w:t>
      </w:r>
      <w:r w:rsidR="00C74FE0">
        <w:rPr>
          <w:rFonts w:asciiTheme="minorHAnsi" w:hAnsiTheme="minorHAnsi" w:cstheme="minorHAnsi"/>
          <w:color w:val="212121"/>
          <w:lang w:val="sq-AL"/>
        </w:rPr>
        <w:t>rej</w:t>
      </w:r>
      <w:r w:rsidRPr="00E32642">
        <w:rPr>
          <w:rFonts w:asciiTheme="minorHAnsi" w:hAnsiTheme="minorHAnsi" w:cstheme="minorHAnsi"/>
          <w:color w:val="212121"/>
          <w:lang w:val="sq-AL"/>
        </w:rPr>
        <w:t xml:space="preserve"> -8,73% ose -9 miliard lek</w:t>
      </w:r>
      <w:r>
        <w:rPr>
          <w:rFonts w:asciiTheme="minorHAnsi" w:hAnsiTheme="minorHAnsi" w:cstheme="minorHAnsi"/>
          <w:color w:val="212121"/>
          <w:lang w:val="sq-AL"/>
        </w:rPr>
        <w:t xml:space="preserve">ë. </w:t>
      </w:r>
    </w:p>
    <w:p w:rsidR="00C74FE0" w:rsidRPr="00C74FE0" w:rsidRDefault="00C74FE0" w:rsidP="00F720EE">
      <w:pPr>
        <w:shd w:val="clear" w:color="auto" w:fill="FFFFFF"/>
        <w:spacing w:line="276" w:lineRule="auto"/>
        <w:jc w:val="both"/>
        <w:rPr>
          <w:rFonts w:asciiTheme="minorHAnsi" w:hAnsiTheme="minorHAnsi" w:cstheme="minorHAnsi"/>
          <w:color w:val="212121"/>
          <w:sz w:val="8"/>
          <w:szCs w:val="8"/>
          <w:lang w:val="sq-AL"/>
        </w:rPr>
      </w:pPr>
    </w:p>
    <w:p w:rsidR="00F720EE" w:rsidRPr="00C74FE0" w:rsidRDefault="00F720EE" w:rsidP="00F720EE">
      <w:pPr>
        <w:shd w:val="clear" w:color="auto" w:fill="FFFFFF"/>
        <w:spacing w:line="276" w:lineRule="auto"/>
        <w:jc w:val="both"/>
        <w:rPr>
          <w:rFonts w:asciiTheme="minorHAnsi" w:hAnsiTheme="minorHAnsi" w:cstheme="minorHAnsi"/>
          <w:color w:val="212121"/>
          <w:lang w:val="sq-AL"/>
        </w:rPr>
      </w:pPr>
      <w:r w:rsidRPr="00E32642">
        <w:rPr>
          <w:rFonts w:asciiTheme="minorHAnsi" w:hAnsiTheme="minorHAnsi" w:cstheme="minorHAnsi"/>
          <w:color w:val="212121"/>
          <w:lang w:val="sq-AL"/>
        </w:rPr>
        <w:lastRenderedPageBreak/>
        <w:t>Ndër faktorët kryesorë të cilët do të ndikojnë në realizimin e  pritshëm të të ardhurave deri në fund të vitit 2020</w:t>
      </w:r>
      <w:r w:rsidR="00C74FE0">
        <w:rPr>
          <w:rFonts w:asciiTheme="minorHAnsi" w:hAnsiTheme="minorHAnsi" w:cstheme="minorHAnsi"/>
          <w:color w:val="212121"/>
          <w:lang w:val="sq-AL"/>
        </w:rPr>
        <w:t>,</w:t>
      </w:r>
      <w:r w:rsidRPr="00E32642">
        <w:rPr>
          <w:rFonts w:asciiTheme="minorHAnsi" w:hAnsiTheme="minorHAnsi" w:cstheme="minorHAnsi"/>
          <w:color w:val="212121"/>
          <w:lang w:val="sq-AL"/>
        </w:rPr>
        <w:t xml:space="preserve"> janë:</w:t>
      </w:r>
    </w:p>
    <w:p w:rsidR="00F720EE" w:rsidRPr="00F720EE" w:rsidRDefault="00F720EE" w:rsidP="00503465">
      <w:pPr>
        <w:pStyle w:val="ListParagraph"/>
        <w:widowControl w:val="0"/>
        <w:numPr>
          <w:ilvl w:val="0"/>
          <w:numId w:val="20"/>
        </w:numPr>
        <w:spacing w:line="276" w:lineRule="auto"/>
        <w:ind w:left="540"/>
        <w:jc w:val="both"/>
        <w:rPr>
          <w:rFonts w:asciiTheme="minorHAnsi" w:hAnsiTheme="minorHAnsi" w:cstheme="minorHAnsi"/>
          <w:i/>
          <w:lang w:val="sq-AL"/>
        </w:rPr>
      </w:pPr>
      <w:r w:rsidRPr="00F720EE">
        <w:rPr>
          <w:rFonts w:asciiTheme="minorHAnsi" w:hAnsiTheme="minorHAnsi" w:cstheme="minorHAnsi"/>
          <w:i/>
          <w:lang w:val="sq-AL"/>
        </w:rPr>
        <w:t>Efektet në ekonomi nga Pandemia e Covid-19 do të jenë një nga faktorët kryesorë ndikues në mungesën e performancës së të ardhurave, për shkak të ndikimit direkt  ne uljen e qarkullimit dhe te konsumit, duke reduktuar  të ardhurat nga Tatimi mbi Fitimin, Tatimin mbi të Ardhurat Personale,  Tatimi mbi Vlerën e Shtuar, Taksat, Kontrubutet etj.</w:t>
      </w:r>
    </w:p>
    <w:p w:rsidR="00F720EE" w:rsidRPr="00F720EE" w:rsidRDefault="00F720EE" w:rsidP="00503465">
      <w:pPr>
        <w:pStyle w:val="ListParagraph"/>
        <w:widowControl w:val="0"/>
        <w:numPr>
          <w:ilvl w:val="0"/>
          <w:numId w:val="20"/>
        </w:numPr>
        <w:spacing w:line="276" w:lineRule="auto"/>
        <w:ind w:left="540"/>
        <w:jc w:val="both"/>
        <w:rPr>
          <w:rFonts w:asciiTheme="minorHAnsi" w:hAnsiTheme="minorHAnsi" w:cstheme="minorHAnsi"/>
          <w:i/>
          <w:lang w:val="sq-AL"/>
        </w:rPr>
      </w:pPr>
      <w:r w:rsidRPr="00F720EE">
        <w:rPr>
          <w:rFonts w:asciiTheme="minorHAnsi" w:hAnsiTheme="minorHAnsi" w:cstheme="minorHAnsi"/>
          <w:i/>
          <w:lang w:val="sq-AL"/>
        </w:rPr>
        <w:t>Çmimi i mineraleve kryesisht naftes por edhe ulja e kursit te kembimit te monedhave te huaja kundrejt lekut, kane ndikuar dhe do ndikojne ne reduktimin e bazes se llogaritjes se detyrimeve tatimore per mallrat e importit.</w:t>
      </w:r>
    </w:p>
    <w:p w:rsidR="00F720EE" w:rsidRPr="00F720EE" w:rsidRDefault="00F720EE" w:rsidP="00503465">
      <w:pPr>
        <w:pStyle w:val="ListParagraph"/>
        <w:widowControl w:val="0"/>
        <w:numPr>
          <w:ilvl w:val="0"/>
          <w:numId w:val="20"/>
        </w:numPr>
        <w:spacing w:line="276" w:lineRule="auto"/>
        <w:ind w:left="540"/>
        <w:jc w:val="both"/>
        <w:rPr>
          <w:rFonts w:asciiTheme="minorHAnsi" w:hAnsiTheme="minorHAnsi" w:cstheme="minorHAnsi"/>
          <w:i/>
          <w:lang w:val="sq-AL"/>
        </w:rPr>
      </w:pPr>
      <w:r w:rsidRPr="00F720EE">
        <w:rPr>
          <w:rFonts w:asciiTheme="minorHAnsi" w:hAnsiTheme="minorHAnsi" w:cstheme="minorHAnsi"/>
          <w:i/>
          <w:lang w:val="sq-AL"/>
        </w:rPr>
        <w:t>Shtyrja e pagesave te kesteve te tatimit mbi fitimin per vitin 2020 per shume industri do reduktoje të ardhurat në këtë ze.</w:t>
      </w:r>
    </w:p>
    <w:p w:rsidR="00F720EE" w:rsidRPr="00F720EE" w:rsidRDefault="00F720EE" w:rsidP="00503465">
      <w:pPr>
        <w:pStyle w:val="ListParagraph"/>
        <w:widowControl w:val="0"/>
        <w:numPr>
          <w:ilvl w:val="0"/>
          <w:numId w:val="20"/>
        </w:numPr>
        <w:spacing w:line="276" w:lineRule="auto"/>
        <w:ind w:left="540"/>
        <w:jc w:val="both"/>
        <w:rPr>
          <w:rFonts w:asciiTheme="minorHAnsi" w:hAnsiTheme="minorHAnsi" w:cstheme="minorHAnsi"/>
          <w:i/>
          <w:lang w:val="sq-AL"/>
        </w:rPr>
      </w:pPr>
      <w:r w:rsidRPr="00F720EE">
        <w:rPr>
          <w:rFonts w:asciiTheme="minorHAnsi" w:hAnsiTheme="minorHAnsi" w:cstheme="minorHAnsi"/>
          <w:i/>
          <w:lang w:val="sq-AL"/>
        </w:rPr>
        <w:t>Efektet negative mbi ekonominë e vendit të situatave konfliktuale politike. Kjo situatë reflektohet në sjelljen e tatimpaguesve dhe nivelin e zbatimit vullnetar të ligjit nga ana e tyre.</w:t>
      </w:r>
    </w:p>
    <w:p w:rsidR="003575E0" w:rsidRPr="00C154C8" w:rsidRDefault="003575E0" w:rsidP="00C154C8">
      <w:pPr>
        <w:widowControl w:val="0"/>
        <w:spacing w:line="276" w:lineRule="auto"/>
        <w:jc w:val="both"/>
        <w:rPr>
          <w:rFonts w:asciiTheme="minorHAnsi" w:hAnsiTheme="minorHAnsi"/>
          <w:sz w:val="2"/>
          <w:lang w:val="sq-AL"/>
        </w:rPr>
      </w:pPr>
    </w:p>
    <w:p w:rsidR="00AE3C1B" w:rsidRPr="0065598A" w:rsidRDefault="00AE3C1B" w:rsidP="00B95810">
      <w:pPr>
        <w:pStyle w:val="Heading1"/>
        <w:numPr>
          <w:ilvl w:val="0"/>
          <w:numId w:val="1"/>
        </w:numPr>
        <w:spacing w:after="240" w:line="276" w:lineRule="auto"/>
        <w:ind w:left="720"/>
        <w:rPr>
          <w:sz w:val="32"/>
          <w:u w:val="none"/>
        </w:rPr>
      </w:pPr>
      <w:bookmarkStart w:id="45" w:name="_Toc44403608"/>
      <w:r w:rsidRPr="0065598A">
        <w:rPr>
          <w:sz w:val="32"/>
          <w:u w:val="none"/>
        </w:rPr>
        <w:t>BUXHETI I VITIT 20</w:t>
      </w:r>
      <w:r w:rsidR="00C23C7E">
        <w:rPr>
          <w:sz w:val="32"/>
          <w:u w:val="none"/>
        </w:rPr>
        <w:t>20</w:t>
      </w:r>
      <w:bookmarkEnd w:id="45"/>
    </w:p>
    <w:p w:rsidR="00CE3733" w:rsidRPr="0065598A" w:rsidRDefault="009E4504" w:rsidP="002334F6">
      <w:pPr>
        <w:pStyle w:val="Heading2"/>
      </w:pPr>
      <w:bookmarkStart w:id="46" w:name="_Toc44403609"/>
      <w:r w:rsidRPr="0065598A">
        <w:t>I</w:t>
      </w:r>
      <w:r w:rsidR="00CB4875" w:rsidRPr="0065598A">
        <w:t>II</w:t>
      </w:r>
      <w:r w:rsidRPr="0065598A">
        <w:t>.</w:t>
      </w:r>
      <w:r w:rsidR="002C13CF" w:rsidRPr="0065598A">
        <w:t>1</w:t>
      </w:r>
      <w:r w:rsidRPr="0065598A">
        <w:tab/>
      </w:r>
      <w:r w:rsidR="002570C3" w:rsidRPr="0065598A">
        <w:t xml:space="preserve">Shpenzimet e </w:t>
      </w:r>
      <w:r w:rsidR="002570C3" w:rsidRPr="002334F6">
        <w:t>P</w:t>
      </w:r>
      <w:r w:rsidR="00F268DF" w:rsidRPr="002334F6">
        <w:t>ë</w:t>
      </w:r>
      <w:r w:rsidR="002570C3" w:rsidRPr="002334F6">
        <w:t>rgjithshme</w:t>
      </w:r>
      <w:r w:rsidR="005D6734" w:rsidRPr="0065598A">
        <w:t xml:space="preserve"> </w:t>
      </w:r>
      <w:r w:rsidR="00CB4875" w:rsidRPr="0065598A">
        <w:t xml:space="preserve">Buxhetore </w:t>
      </w:r>
      <w:r w:rsidR="005D6734" w:rsidRPr="0065598A">
        <w:t>gjat</w:t>
      </w:r>
      <w:r w:rsidR="006B2026" w:rsidRPr="0065598A">
        <w:t>ë</w:t>
      </w:r>
      <w:r w:rsidR="005D6734" w:rsidRPr="0065598A">
        <w:t xml:space="preserve"> periudh</w:t>
      </w:r>
      <w:r w:rsidR="006B2026" w:rsidRPr="0065598A">
        <w:t>ë</w:t>
      </w:r>
      <w:r w:rsidR="005D6734" w:rsidRPr="0065598A">
        <w:t>s janar-maj 20</w:t>
      </w:r>
      <w:r w:rsidR="00C23C7E">
        <w:t>20</w:t>
      </w:r>
      <w:bookmarkEnd w:id="46"/>
    </w:p>
    <w:p w:rsidR="0099331E" w:rsidRPr="0065598A" w:rsidRDefault="0099331E" w:rsidP="0099331E">
      <w:pPr>
        <w:spacing w:line="360" w:lineRule="auto"/>
        <w:jc w:val="both"/>
        <w:rPr>
          <w:rFonts w:asciiTheme="minorHAnsi" w:eastAsia="SimSun" w:hAnsiTheme="minorHAnsi"/>
          <w:b/>
          <w:bCs/>
          <w:sz w:val="8"/>
          <w:szCs w:val="8"/>
          <w:lang w:val="sq-AL"/>
        </w:rPr>
      </w:pPr>
    </w:p>
    <w:p w:rsidR="00C23C7E" w:rsidRDefault="00C23C7E" w:rsidP="00C23C7E">
      <w:pPr>
        <w:spacing w:line="276" w:lineRule="auto"/>
        <w:ind w:firstLine="720"/>
        <w:jc w:val="both"/>
        <w:rPr>
          <w:rFonts w:asciiTheme="minorHAnsi" w:eastAsia="SimSun" w:hAnsiTheme="minorHAnsi"/>
          <w:lang w:val="sq-AL"/>
        </w:rPr>
      </w:pPr>
      <w:r w:rsidRPr="003F7DB9">
        <w:rPr>
          <w:rFonts w:asciiTheme="minorHAnsi" w:eastAsia="SimSun" w:hAnsiTheme="minorHAnsi"/>
          <w:b/>
          <w:bCs/>
          <w:lang w:val="sq-AL"/>
        </w:rPr>
        <w:t>Shpenzimet e përgjithshme publike,</w:t>
      </w:r>
      <w:r w:rsidRPr="003F7DB9">
        <w:rPr>
          <w:rFonts w:asciiTheme="minorHAnsi" w:eastAsia="SimSun" w:hAnsiTheme="minorHAnsi"/>
          <w:bCs/>
          <w:lang w:val="sq-AL"/>
        </w:rPr>
        <w:t xml:space="preserve"> </w:t>
      </w:r>
      <w:r w:rsidRPr="003F7DB9">
        <w:rPr>
          <w:rFonts w:asciiTheme="minorHAnsi" w:eastAsia="SimSun" w:hAnsiTheme="minorHAnsi"/>
          <w:lang w:val="sq-AL"/>
        </w:rPr>
        <w:t xml:space="preserve">për muajin e pestë të vitit 2020, arritën në rreth 187.08 miliard LEK me një realizim në masën 90 përqind të planit të periudhës, ndërsa krahasuar me të njëjtën periudhë të vitit 2019 ky zë ka rezultuar 0.5 përqind më i ulët ose 901 milion LEK më pak. </w:t>
      </w:r>
      <w:r w:rsidRPr="003F7DB9">
        <w:rPr>
          <w:rFonts w:asciiTheme="minorHAnsi" w:eastAsia="SimSun" w:hAnsiTheme="minorHAnsi"/>
          <w:i/>
          <w:lang w:val="sq-AL"/>
        </w:rPr>
        <w:t>Në terma vjetorë,</w:t>
      </w:r>
      <w:r w:rsidRPr="003F7DB9">
        <w:rPr>
          <w:rFonts w:asciiTheme="minorHAnsi" w:eastAsia="SimSun" w:hAnsiTheme="minorHAnsi"/>
          <w:lang w:val="sq-AL"/>
        </w:rPr>
        <w:t xml:space="preserve"> shpenzimet e përgjithshme për 5 mujorin e vitit 2020 u realizuan në masën 34.1 përqind të planit vjetor sipas Buxhetit fillestar dhe 33.5 përqind të planit vjetor sipas Aktit Normativ nr.15 datë 15.04.2020 (AN nr.15). </w:t>
      </w:r>
    </w:p>
    <w:p w:rsidR="00C23C7E" w:rsidRPr="00F01315" w:rsidRDefault="00C23C7E" w:rsidP="00C23C7E">
      <w:pPr>
        <w:spacing w:line="276" w:lineRule="auto"/>
        <w:ind w:firstLine="720"/>
        <w:jc w:val="both"/>
        <w:rPr>
          <w:rFonts w:asciiTheme="minorHAnsi" w:eastAsia="SimSun" w:hAnsiTheme="minorHAnsi"/>
          <w:sz w:val="12"/>
          <w:lang w:val="sq-AL"/>
        </w:rPr>
      </w:pPr>
    </w:p>
    <w:p w:rsidR="00070183" w:rsidRPr="0065598A" w:rsidRDefault="007434A1" w:rsidP="007434A1">
      <w:pPr>
        <w:pStyle w:val="Caption"/>
        <w:rPr>
          <w:rFonts w:asciiTheme="minorHAnsi" w:hAnsiTheme="minorHAnsi"/>
          <w:b w:val="0"/>
          <w:bCs w:val="0"/>
          <w:i/>
          <w:color w:val="auto"/>
          <w:sz w:val="24"/>
          <w:szCs w:val="24"/>
          <w:lang w:val="sq-AL"/>
        </w:rPr>
      </w:pPr>
      <w:bookmarkStart w:id="47" w:name="_Toc44404409"/>
      <w:r w:rsidRPr="0065598A">
        <w:rPr>
          <w:rFonts w:asciiTheme="minorHAnsi" w:hAnsiTheme="minorHAnsi"/>
          <w:b w:val="0"/>
          <w:bCs w:val="0"/>
          <w:i/>
          <w:color w:val="auto"/>
          <w:sz w:val="24"/>
          <w:szCs w:val="24"/>
          <w:lang w:val="sq-AL"/>
        </w:rPr>
        <w:t xml:space="preserve">Tabela </w:t>
      </w:r>
      <w:r w:rsidRPr="0065598A">
        <w:rPr>
          <w:rFonts w:asciiTheme="minorHAnsi" w:hAnsiTheme="minorHAnsi"/>
          <w:b w:val="0"/>
          <w:bCs w:val="0"/>
          <w:i/>
          <w:color w:val="auto"/>
          <w:sz w:val="24"/>
          <w:szCs w:val="24"/>
          <w:lang w:val="sq-AL"/>
        </w:rPr>
        <w:fldChar w:fldCharType="begin"/>
      </w:r>
      <w:r w:rsidRPr="0065598A">
        <w:rPr>
          <w:rFonts w:asciiTheme="minorHAnsi" w:hAnsiTheme="minorHAnsi"/>
          <w:b w:val="0"/>
          <w:bCs w:val="0"/>
          <w:i/>
          <w:color w:val="auto"/>
          <w:sz w:val="24"/>
          <w:szCs w:val="24"/>
          <w:lang w:val="sq-AL"/>
        </w:rPr>
        <w:instrText xml:space="preserve"> SEQ Tabela \* ARABIC </w:instrText>
      </w:r>
      <w:r w:rsidRPr="0065598A">
        <w:rPr>
          <w:rFonts w:asciiTheme="minorHAnsi" w:hAnsiTheme="minorHAnsi"/>
          <w:b w:val="0"/>
          <w:bCs w:val="0"/>
          <w:i/>
          <w:color w:val="auto"/>
          <w:sz w:val="24"/>
          <w:szCs w:val="24"/>
          <w:lang w:val="sq-AL"/>
        </w:rPr>
        <w:fldChar w:fldCharType="separate"/>
      </w:r>
      <w:r w:rsidR="00C342E2">
        <w:rPr>
          <w:rFonts w:asciiTheme="minorHAnsi" w:hAnsiTheme="minorHAnsi"/>
          <w:b w:val="0"/>
          <w:bCs w:val="0"/>
          <w:i/>
          <w:noProof/>
          <w:color w:val="auto"/>
          <w:sz w:val="24"/>
          <w:szCs w:val="24"/>
          <w:lang w:val="sq-AL"/>
        </w:rPr>
        <w:t>8</w:t>
      </w:r>
      <w:r w:rsidRPr="0065598A">
        <w:rPr>
          <w:rFonts w:asciiTheme="minorHAnsi" w:hAnsiTheme="minorHAnsi"/>
          <w:b w:val="0"/>
          <w:bCs w:val="0"/>
          <w:i/>
          <w:color w:val="auto"/>
          <w:sz w:val="24"/>
          <w:szCs w:val="24"/>
          <w:lang w:val="sq-AL"/>
        </w:rPr>
        <w:fldChar w:fldCharType="end"/>
      </w:r>
      <w:r w:rsidR="00070183" w:rsidRPr="0065598A">
        <w:rPr>
          <w:rFonts w:asciiTheme="minorHAnsi" w:hAnsiTheme="minorHAnsi"/>
          <w:b w:val="0"/>
          <w:bCs w:val="0"/>
          <w:i/>
          <w:color w:val="auto"/>
          <w:sz w:val="24"/>
          <w:szCs w:val="24"/>
          <w:lang w:val="sq-AL"/>
        </w:rPr>
        <w:t>: Treguesit fiskalë të konsoliduar për 5 mujorin e vitit 20</w:t>
      </w:r>
      <w:r w:rsidR="00C23C7E">
        <w:rPr>
          <w:rFonts w:asciiTheme="minorHAnsi" w:hAnsiTheme="minorHAnsi"/>
          <w:b w:val="0"/>
          <w:bCs w:val="0"/>
          <w:i/>
          <w:color w:val="auto"/>
          <w:sz w:val="24"/>
          <w:szCs w:val="24"/>
          <w:lang w:val="sq-AL"/>
        </w:rPr>
        <w:t>20</w:t>
      </w:r>
      <w:r w:rsidR="00070183" w:rsidRPr="0065598A">
        <w:rPr>
          <w:rFonts w:asciiTheme="minorHAnsi" w:hAnsiTheme="minorHAnsi"/>
          <w:b w:val="0"/>
          <w:bCs w:val="0"/>
          <w:i/>
          <w:color w:val="auto"/>
          <w:sz w:val="24"/>
          <w:szCs w:val="24"/>
          <w:lang w:val="sq-AL"/>
        </w:rPr>
        <w:t xml:space="preserve"> (në milion LEK)</w:t>
      </w:r>
      <w:bookmarkEnd w:id="47"/>
    </w:p>
    <w:p w:rsidR="00637131" w:rsidRPr="0065598A" w:rsidRDefault="00C23C7E" w:rsidP="00637131">
      <w:pPr>
        <w:spacing w:line="276" w:lineRule="auto"/>
        <w:ind w:left="90"/>
        <w:jc w:val="center"/>
        <w:rPr>
          <w:rFonts w:asciiTheme="minorHAnsi" w:eastAsia="SimSun" w:hAnsiTheme="minorHAnsi"/>
          <w:i/>
          <w:lang w:val="sq-AL"/>
        </w:rPr>
      </w:pPr>
      <w:r w:rsidRPr="003F7DB9">
        <w:rPr>
          <w:rFonts w:asciiTheme="minorHAnsi" w:eastAsia="SimSun" w:hAnsiTheme="minorHAnsi"/>
          <w:noProof/>
        </w:rPr>
        <w:drawing>
          <wp:inline distT="0" distB="0" distL="0" distR="0" wp14:anchorId="0B74ED46" wp14:editId="1FBF5BE4">
            <wp:extent cx="6101563" cy="1457325"/>
            <wp:effectExtent l="0" t="0" r="0" b="0"/>
            <wp:docPr id="284" name="Picture 2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6115050" cy="1460546"/>
                    </a:xfrm>
                    <a:prstGeom prst="rect">
                      <a:avLst/>
                    </a:prstGeom>
                    <a:noFill/>
                    <a:ln w="9525">
                      <a:noFill/>
                      <a:miter lim="800000"/>
                      <a:headEnd/>
                      <a:tailEnd/>
                    </a:ln>
                  </pic:spPr>
                </pic:pic>
              </a:graphicData>
            </a:graphic>
          </wp:inline>
        </w:drawing>
      </w:r>
    </w:p>
    <w:p w:rsidR="00637131" w:rsidRPr="0065598A" w:rsidRDefault="00C23C7E" w:rsidP="00637131">
      <w:pPr>
        <w:spacing w:line="276" w:lineRule="auto"/>
        <w:ind w:firstLine="450"/>
        <w:rPr>
          <w:rFonts w:asciiTheme="minorHAnsi" w:eastAsia="SimSun" w:hAnsiTheme="minorHAnsi"/>
          <w:i/>
          <w:sz w:val="20"/>
          <w:lang w:val="sq-AL"/>
        </w:rPr>
      </w:pPr>
      <w:r>
        <w:rPr>
          <w:rFonts w:asciiTheme="minorHAnsi" w:eastAsia="SimSun" w:hAnsiTheme="minorHAnsi"/>
          <w:i/>
          <w:sz w:val="20"/>
          <w:lang w:val="sq-AL"/>
        </w:rPr>
        <w:t>Burimi: Ministria e Financave dhe Ekonomisë (2020)</w:t>
      </w:r>
    </w:p>
    <w:p w:rsidR="00070183" w:rsidRPr="0065598A" w:rsidRDefault="007434A1" w:rsidP="007434A1">
      <w:pPr>
        <w:pStyle w:val="Caption"/>
        <w:rPr>
          <w:rFonts w:asciiTheme="minorHAnsi" w:hAnsiTheme="minorHAnsi"/>
          <w:b w:val="0"/>
          <w:bCs w:val="0"/>
          <w:i/>
          <w:color w:val="auto"/>
          <w:sz w:val="24"/>
          <w:szCs w:val="24"/>
          <w:lang w:val="sq-AL"/>
        </w:rPr>
      </w:pPr>
      <w:bookmarkStart w:id="48" w:name="_Toc44404410"/>
      <w:r w:rsidRPr="0065598A">
        <w:rPr>
          <w:rFonts w:asciiTheme="minorHAnsi" w:hAnsiTheme="minorHAnsi"/>
          <w:b w:val="0"/>
          <w:bCs w:val="0"/>
          <w:i/>
          <w:color w:val="auto"/>
          <w:sz w:val="24"/>
          <w:szCs w:val="24"/>
          <w:lang w:val="sq-AL"/>
        </w:rPr>
        <w:t xml:space="preserve">Tabela </w:t>
      </w:r>
      <w:r w:rsidRPr="0065598A">
        <w:rPr>
          <w:rFonts w:asciiTheme="minorHAnsi" w:hAnsiTheme="minorHAnsi"/>
          <w:b w:val="0"/>
          <w:bCs w:val="0"/>
          <w:i/>
          <w:color w:val="auto"/>
          <w:sz w:val="24"/>
          <w:szCs w:val="24"/>
          <w:lang w:val="sq-AL"/>
        </w:rPr>
        <w:fldChar w:fldCharType="begin"/>
      </w:r>
      <w:r w:rsidRPr="0065598A">
        <w:rPr>
          <w:rFonts w:asciiTheme="minorHAnsi" w:hAnsiTheme="minorHAnsi"/>
          <w:b w:val="0"/>
          <w:bCs w:val="0"/>
          <w:i/>
          <w:color w:val="auto"/>
          <w:sz w:val="24"/>
          <w:szCs w:val="24"/>
          <w:lang w:val="sq-AL"/>
        </w:rPr>
        <w:instrText xml:space="preserve"> SEQ Tabela \* ARABIC </w:instrText>
      </w:r>
      <w:r w:rsidRPr="0065598A">
        <w:rPr>
          <w:rFonts w:asciiTheme="minorHAnsi" w:hAnsiTheme="minorHAnsi"/>
          <w:b w:val="0"/>
          <w:bCs w:val="0"/>
          <w:i/>
          <w:color w:val="auto"/>
          <w:sz w:val="24"/>
          <w:szCs w:val="24"/>
          <w:lang w:val="sq-AL"/>
        </w:rPr>
        <w:fldChar w:fldCharType="separate"/>
      </w:r>
      <w:r w:rsidR="00C342E2">
        <w:rPr>
          <w:rFonts w:asciiTheme="minorHAnsi" w:hAnsiTheme="minorHAnsi"/>
          <w:b w:val="0"/>
          <w:bCs w:val="0"/>
          <w:i/>
          <w:noProof/>
          <w:color w:val="auto"/>
          <w:sz w:val="24"/>
          <w:szCs w:val="24"/>
          <w:lang w:val="sq-AL"/>
        </w:rPr>
        <w:t>9</w:t>
      </w:r>
      <w:r w:rsidRPr="0065598A">
        <w:rPr>
          <w:rFonts w:asciiTheme="minorHAnsi" w:hAnsiTheme="minorHAnsi"/>
          <w:b w:val="0"/>
          <w:bCs w:val="0"/>
          <w:i/>
          <w:color w:val="auto"/>
          <w:sz w:val="24"/>
          <w:szCs w:val="24"/>
          <w:lang w:val="sq-AL"/>
        </w:rPr>
        <w:fldChar w:fldCharType="end"/>
      </w:r>
      <w:r w:rsidR="00070183" w:rsidRPr="0065598A">
        <w:rPr>
          <w:rFonts w:asciiTheme="minorHAnsi" w:hAnsiTheme="minorHAnsi"/>
          <w:b w:val="0"/>
          <w:bCs w:val="0"/>
          <w:i/>
          <w:color w:val="auto"/>
          <w:sz w:val="24"/>
          <w:szCs w:val="24"/>
          <w:lang w:val="sq-AL"/>
        </w:rPr>
        <w:t>: Treguesit fiskalë të konsoliduar për 5 mujorin e vitit 20</w:t>
      </w:r>
      <w:r w:rsidR="00C23C7E">
        <w:rPr>
          <w:rFonts w:asciiTheme="minorHAnsi" w:hAnsiTheme="minorHAnsi"/>
          <w:b w:val="0"/>
          <w:bCs w:val="0"/>
          <w:i/>
          <w:color w:val="auto"/>
          <w:sz w:val="24"/>
          <w:szCs w:val="24"/>
          <w:lang w:val="sq-AL"/>
        </w:rPr>
        <w:t>19</w:t>
      </w:r>
      <w:r w:rsidR="00070183" w:rsidRPr="0065598A">
        <w:rPr>
          <w:rFonts w:asciiTheme="minorHAnsi" w:hAnsiTheme="minorHAnsi"/>
          <w:b w:val="0"/>
          <w:bCs w:val="0"/>
          <w:i/>
          <w:color w:val="auto"/>
          <w:sz w:val="24"/>
          <w:szCs w:val="24"/>
          <w:lang w:val="sq-AL"/>
        </w:rPr>
        <w:t xml:space="preserve"> dhe 20</w:t>
      </w:r>
      <w:r w:rsidR="00C23C7E">
        <w:rPr>
          <w:rFonts w:asciiTheme="minorHAnsi" w:hAnsiTheme="minorHAnsi"/>
          <w:b w:val="0"/>
          <w:bCs w:val="0"/>
          <w:i/>
          <w:color w:val="auto"/>
          <w:sz w:val="24"/>
          <w:szCs w:val="24"/>
          <w:lang w:val="sq-AL"/>
        </w:rPr>
        <w:t>20</w:t>
      </w:r>
      <w:r w:rsidR="00070183" w:rsidRPr="0065598A">
        <w:rPr>
          <w:rFonts w:asciiTheme="minorHAnsi" w:hAnsiTheme="minorHAnsi"/>
          <w:b w:val="0"/>
          <w:bCs w:val="0"/>
          <w:i/>
          <w:color w:val="auto"/>
          <w:sz w:val="24"/>
          <w:szCs w:val="24"/>
          <w:lang w:val="sq-AL"/>
        </w:rPr>
        <w:t xml:space="preserve"> (në milion LEK)</w:t>
      </w:r>
      <w:bookmarkEnd w:id="48"/>
    </w:p>
    <w:p w:rsidR="00637131" w:rsidRPr="0065598A" w:rsidRDefault="00C23C7E" w:rsidP="0099331E">
      <w:pPr>
        <w:spacing w:line="276" w:lineRule="auto"/>
        <w:ind w:right="360"/>
        <w:jc w:val="center"/>
        <w:rPr>
          <w:rFonts w:asciiTheme="minorHAnsi" w:eastAsia="SimSun" w:hAnsiTheme="minorHAnsi"/>
          <w:i/>
          <w:lang w:val="sq-AL"/>
        </w:rPr>
      </w:pPr>
      <w:r w:rsidRPr="003F7DB9">
        <w:rPr>
          <w:rFonts w:asciiTheme="minorHAnsi" w:eastAsia="SimSun" w:hAnsiTheme="minorHAnsi"/>
          <w:noProof/>
        </w:rPr>
        <w:drawing>
          <wp:inline distT="0" distB="0" distL="0" distR="0" wp14:anchorId="0B34FBEB" wp14:editId="0AB121CB">
            <wp:extent cx="6168390" cy="1153160"/>
            <wp:effectExtent l="0" t="0" r="3810" b="8890"/>
            <wp:docPr id="287" name="Picture 2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6171097" cy="1153666"/>
                    </a:xfrm>
                    <a:prstGeom prst="rect">
                      <a:avLst/>
                    </a:prstGeom>
                    <a:noFill/>
                    <a:ln>
                      <a:noFill/>
                    </a:ln>
                  </pic:spPr>
                </pic:pic>
              </a:graphicData>
            </a:graphic>
          </wp:inline>
        </w:drawing>
      </w:r>
    </w:p>
    <w:p w:rsidR="00637131" w:rsidRPr="0065598A" w:rsidRDefault="00C23C7E" w:rsidP="00637131">
      <w:pPr>
        <w:spacing w:line="276" w:lineRule="auto"/>
        <w:ind w:firstLine="450"/>
        <w:rPr>
          <w:rFonts w:asciiTheme="minorHAnsi" w:eastAsia="SimSun" w:hAnsiTheme="minorHAnsi"/>
          <w:i/>
          <w:sz w:val="20"/>
          <w:lang w:val="sq-AL"/>
        </w:rPr>
      </w:pPr>
      <w:r>
        <w:rPr>
          <w:rFonts w:asciiTheme="minorHAnsi" w:eastAsia="SimSun" w:hAnsiTheme="minorHAnsi"/>
          <w:i/>
          <w:sz w:val="20"/>
          <w:lang w:val="sq-AL"/>
        </w:rPr>
        <w:t>Burimi: Ministria e Financave dhe Ekonomisë (2020)</w:t>
      </w:r>
    </w:p>
    <w:p w:rsidR="00C23C7E" w:rsidRPr="00F720EE" w:rsidRDefault="00C23C7E" w:rsidP="00C23C7E">
      <w:pPr>
        <w:spacing w:line="276" w:lineRule="auto"/>
        <w:jc w:val="both"/>
        <w:rPr>
          <w:rFonts w:asciiTheme="minorHAnsi" w:hAnsiTheme="minorHAnsi"/>
          <w:sz w:val="8"/>
          <w:szCs w:val="8"/>
          <w:lang w:val="sq-AL"/>
        </w:rPr>
      </w:pPr>
    </w:p>
    <w:p w:rsidR="00D57F4F" w:rsidRPr="0065598A" w:rsidRDefault="00D57F4F" w:rsidP="00D57F4F">
      <w:pPr>
        <w:pStyle w:val="Caption"/>
        <w:keepNext/>
        <w:spacing w:after="0"/>
        <w:jc w:val="both"/>
        <w:rPr>
          <w:rFonts w:asciiTheme="minorHAnsi" w:hAnsiTheme="minorHAnsi"/>
          <w:b w:val="0"/>
          <w:bCs w:val="0"/>
          <w:i/>
          <w:color w:val="auto"/>
          <w:sz w:val="24"/>
          <w:szCs w:val="24"/>
          <w:lang w:val="sq-AL"/>
        </w:rPr>
      </w:pPr>
      <w:bookmarkStart w:id="49" w:name="_Toc44404451"/>
      <w:r w:rsidRPr="0065598A">
        <w:rPr>
          <w:rFonts w:asciiTheme="minorHAnsi" w:hAnsiTheme="minorHAnsi"/>
          <w:b w:val="0"/>
          <w:bCs w:val="0"/>
          <w:i/>
          <w:color w:val="auto"/>
          <w:sz w:val="24"/>
          <w:szCs w:val="24"/>
          <w:lang w:val="sq-AL"/>
        </w:rPr>
        <w:lastRenderedPageBreak/>
        <w:t xml:space="preserve">Grafiku </w:t>
      </w:r>
      <w:r w:rsidRPr="0065598A">
        <w:rPr>
          <w:rFonts w:asciiTheme="minorHAnsi" w:hAnsiTheme="minorHAnsi"/>
          <w:b w:val="0"/>
          <w:bCs w:val="0"/>
          <w:i/>
          <w:color w:val="auto"/>
          <w:sz w:val="24"/>
          <w:szCs w:val="24"/>
          <w:lang w:val="sq-AL"/>
        </w:rPr>
        <w:fldChar w:fldCharType="begin"/>
      </w:r>
      <w:r w:rsidRPr="0065598A">
        <w:rPr>
          <w:rFonts w:asciiTheme="minorHAnsi" w:hAnsiTheme="minorHAnsi"/>
          <w:b w:val="0"/>
          <w:bCs w:val="0"/>
          <w:i/>
          <w:color w:val="auto"/>
          <w:sz w:val="24"/>
          <w:szCs w:val="24"/>
          <w:lang w:val="sq-AL"/>
        </w:rPr>
        <w:instrText xml:space="preserve"> SEQ Grafiku \* ARABIC </w:instrText>
      </w:r>
      <w:r w:rsidRPr="0065598A">
        <w:rPr>
          <w:rFonts w:asciiTheme="minorHAnsi" w:hAnsiTheme="minorHAnsi"/>
          <w:b w:val="0"/>
          <w:bCs w:val="0"/>
          <w:i/>
          <w:color w:val="auto"/>
          <w:sz w:val="24"/>
          <w:szCs w:val="24"/>
          <w:lang w:val="sq-AL"/>
        </w:rPr>
        <w:fldChar w:fldCharType="separate"/>
      </w:r>
      <w:r w:rsidR="00C342E2">
        <w:rPr>
          <w:rFonts w:asciiTheme="minorHAnsi" w:hAnsiTheme="minorHAnsi"/>
          <w:b w:val="0"/>
          <w:bCs w:val="0"/>
          <w:i/>
          <w:noProof/>
          <w:color w:val="auto"/>
          <w:sz w:val="24"/>
          <w:szCs w:val="24"/>
          <w:lang w:val="sq-AL"/>
        </w:rPr>
        <w:t>11</w:t>
      </w:r>
      <w:r w:rsidRPr="0065598A">
        <w:rPr>
          <w:rFonts w:asciiTheme="minorHAnsi" w:hAnsiTheme="minorHAnsi"/>
          <w:b w:val="0"/>
          <w:bCs w:val="0"/>
          <w:i/>
          <w:color w:val="auto"/>
          <w:sz w:val="24"/>
          <w:szCs w:val="24"/>
          <w:lang w:val="sq-AL"/>
        </w:rPr>
        <w:fldChar w:fldCharType="end"/>
      </w:r>
      <w:r w:rsidRPr="0065598A">
        <w:rPr>
          <w:rFonts w:asciiTheme="minorHAnsi" w:hAnsiTheme="minorHAnsi"/>
          <w:b w:val="0"/>
          <w:bCs w:val="0"/>
          <w:i/>
          <w:color w:val="auto"/>
          <w:sz w:val="24"/>
          <w:szCs w:val="24"/>
          <w:lang w:val="sq-AL"/>
        </w:rPr>
        <w:t>: Shpenzimet e përgjithshme dhe ritmi i rritjes së tyre (në miliardë LEK)</w:t>
      </w:r>
      <w:bookmarkEnd w:id="49"/>
      <w:r w:rsidRPr="0065598A">
        <w:rPr>
          <w:rFonts w:asciiTheme="minorHAnsi" w:hAnsiTheme="minorHAnsi"/>
          <w:b w:val="0"/>
          <w:bCs w:val="0"/>
          <w:i/>
          <w:color w:val="auto"/>
          <w:sz w:val="24"/>
          <w:szCs w:val="24"/>
          <w:lang w:val="sq-AL"/>
        </w:rPr>
        <w:t xml:space="preserve"> </w:t>
      </w:r>
    </w:p>
    <w:p w:rsidR="00D57F4F" w:rsidRPr="0065598A" w:rsidRDefault="00D57F4F" w:rsidP="00D57F4F">
      <w:pPr>
        <w:jc w:val="center"/>
        <w:rPr>
          <w:rFonts w:asciiTheme="minorHAnsi" w:eastAsia="SimSun" w:hAnsiTheme="minorHAnsi"/>
          <w:i/>
          <w:lang w:val="sq-AL"/>
        </w:rPr>
      </w:pPr>
      <w:r w:rsidRPr="003F7DB9">
        <w:rPr>
          <w:rFonts w:asciiTheme="minorHAnsi" w:eastAsia="SimSun" w:hAnsiTheme="minorHAnsi"/>
          <w:i/>
          <w:noProof/>
        </w:rPr>
        <w:drawing>
          <wp:inline distT="0" distB="0" distL="0" distR="0" wp14:anchorId="486A1DCC" wp14:editId="2A05E5AA">
            <wp:extent cx="5980430" cy="1783080"/>
            <wp:effectExtent l="38100" t="38100" r="96520" b="102870"/>
            <wp:docPr id="292" name="Picture 2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5980430" cy="1783080"/>
                    </a:xfrm>
                    <a:prstGeom prst="rect">
                      <a:avLst/>
                    </a:prstGeom>
                    <a:noFill/>
                    <a:effectLst>
                      <a:outerShdw blurRad="50800" dist="38100" dir="2700000" algn="tl" rotWithShape="0">
                        <a:prstClr val="black">
                          <a:alpha val="40000"/>
                        </a:prstClr>
                      </a:outerShdw>
                    </a:effectLst>
                  </pic:spPr>
                </pic:pic>
              </a:graphicData>
            </a:graphic>
          </wp:inline>
        </w:drawing>
      </w:r>
    </w:p>
    <w:p w:rsidR="00D57F4F" w:rsidRDefault="00D57F4F" w:rsidP="00D57F4F">
      <w:pPr>
        <w:spacing w:line="276" w:lineRule="auto"/>
        <w:ind w:firstLine="540"/>
        <w:rPr>
          <w:rFonts w:asciiTheme="minorHAnsi" w:eastAsia="SimSun" w:hAnsiTheme="minorHAnsi"/>
          <w:i/>
          <w:sz w:val="20"/>
          <w:lang w:val="sq-AL"/>
        </w:rPr>
      </w:pPr>
      <w:r>
        <w:rPr>
          <w:rFonts w:asciiTheme="minorHAnsi" w:eastAsia="SimSun" w:hAnsiTheme="minorHAnsi"/>
          <w:i/>
          <w:sz w:val="20"/>
          <w:lang w:val="sq-AL"/>
        </w:rPr>
        <w:t>Burimi: Ministria e Financave dhe Ekonomisë (2020)</w:t>
      </w:r>
      <w:r w:rsidRPr="0065598A">
        <w:rPr>
          <w:rFonts w:asciiTheme="minorHAnsi" w:eastAsia="SimSun" w:hAnsiTheme="minorHAnsi"/>
          <w:i/>
          <w:sz w:val="20"/>
          <w:lang w:val="sq-AL"/>
        </w:rPr>
        <w:t xml:space="preserve"> </w:t>
      </w:r>
    </w:p>
    <w:p w:rsidR="00D57F4F" w:rsidRPr="007F224E" w:rsidRDefault="00D57F4F" w:rsidP="00F01315">
      <w:pPr>
        <w:spacing w:line="276" w:lineRule="auto"/>
        <w:jc w:val="both"/>
        <w:rPr>
          <w:rFonts w:asciiTheme="minorHAnsi" w:eastAsia="SimSun" w:hAnsiTheme="minorHAnsi"/>
          <w:i/>
          <w:sz w:val="8"/>
          <w:lang w:val="sq-AL"/>
        </w:rPr>
      </w:pPr>
    </w:p>
    <w:p w:rsidR="00D57F4F" w:rsidRPr="003F7DB9" w:rsidRDefault="00D57F4F" w:rsidP="00D57F4F">
      <w:pPr>
        <w:spacing w:line="276" w:lineRule="auto"/>
        <w:jc w:val="both"/>
        <w:rPr>
          <w:rFonts w:asciiTheme="minorHAnsi" w:eastAsia="SimSun" w:hAnsiTheme="minorHAnsi"/>
          <w:lang w:val="sq-AL"/>
        </w:rPr>
      </w:pPr>
      <w:r w:rsidRPr="00C154C8">
        <w:rPr>
          <w:rFonts w:asciiTheme="minorHAnsi" w:hAnsiTheme="minorHAnsi"/>
          <w:i/>
          <w:lang w:val="sq-AL"/>
        </w:rPr>
        <w:t>Shpenzimet korente</w:t>
      </w:r>
      <w:r w:rsidRPr="00C154C8">
        <w:rPr>
          <w:rFonts w:asciiTheme="minorHAnsi" w:eastAsia="SimSun" w:hAnsiTheme="minorHAnsi"/>
          <w:i/>
          <w:lang w:val="sq-AL"/>
        </w:rPr>
        <w:t xml:space="preserve"> dhe ato kapitale</w:t>
      </w:r>
      <w:r w:rsidRPr="00C154C8">
        <w:rPr>
          <w:rFonts w:asciiTheme="minorHAnsi" w:hAnsiTheme="minorHAnsi"/>
          <w:i/>
          <w:lang w:val="sq-AL"/>
        </w:rPr>
        <w:t>,</w:t>
      </w:r>
      <w:r w:rsidRPr="003F7DB9">
        <w:rPr>
          <w:rFonts w:asciiTheme="minorHAnsi" w:hAnsiTheme="minorHAnsi"/>
          <w:lang w:val="sq-AL"/>
        </w:rPr>
        <w:t xml:space="preserve"> kanë shënuar një realizim respektivisht në masën 99.1 përqind dhe 101.9 përqind të planit të periudhës. Ndërkohë që, </w:t>
      </w:r>
      <w:r w:rsidRPr="003F7DB9">
        <w:rPr>
          <w:rFonts w:asciiTheme="minorHAnsi" w:eastAsia="SimSun" w:hAnsiTheme="minorHAnsi"/>
          <w:i/>
          <w:lang w:val="sq-AL"/>
        </w:rPr>
        <w:t>në terma vjetorë</w:t>
      </w:r>
      <w:r w:rsidRPr="003F7DB9">
        <w:rPr>
          <w:rFonts w:asciiTheme="minorHAnsi" w:hAnsiTheme="minorHAnsi"/>
          <w:lang w:val="sq-AL"/>
        </w:rPr>
        <w:t xml:space="preserve"> ato janë realizuar përkatësisht në: 37.3 përqind dhe 25.2 përqind të planit vjetor sipas Buxhetit fillestar, 37.3 përqind dhe 27 përqind </w:t>
      </w:r>
      <w:r w:rsidRPr="003F7DB9">
        <w:rPr>
          <w:rFonts w:asciiTheme="minorHAnsi" w:eastAsia="SimSun" w:hAnsiTheme="minorHAnsi"/>
          <w:lang w:val="sq-AL"/>
        </w:rPr>
        <w:t xml:space="preserve">të planit vjetor sipas AN nr.15. </w:t>
      </w:r>
    </w:p>
    <w:p w:rsidR="00D57F4F" w:rsidRPr="00D57F4F" w:rsidRDefault="00D57F4F" w:rsidP="00C154C8">
      <w:pPr>
        <w:spacing w:line="276" w:lineRule="auto"/>
        <w:jc w:val="both"/>
        <w:rPr>
          <w:rFonts w:asciiTheme="minorHAnsi" w:eastAsia="SimSun" w:hAnsiTheme="minorHAnsi"/>
          <w:lang w:val="sq-AL"/>
        </w:rPr>
      </w:pPr>
      <w:r w:rsidRPr="00C154C8">
        <w:rPr>
          <w:rFonts w:asciiTheme="minorHAnsi" w:eastAsia="SimSun" w:hAnsiTheme="minorHAnsi"/>
          <w:i/>
          <w:lang w:val="sq-AL"/>
        </w:rPr>
        <w:t>Shpenzimet korente</w:t>
      </w:r>
      <w:r w:rsidRPr="00D57F4F">
        <w:rPr>
          <w:rFonts w:asciiTheme="minorHAnsi" w:eastAsia="SimSun" w:hAnsiTheme="minorHAnsi"/>
          <w:lang w:val="sq-AL"/>
        </w:rPr>
        <w:t xml:space="preserve"> për periudhën 5 mujore të vitit 2020 rezultuan në rreth 166.54 miliard LEK, ndërsa krahasuar me të njëjtën periudhë të një viti më parë ky zë ka rezultuar 0.4 përqind më i lartë ose 707 milion LEK më shumë. </w:t>
      </w:r>
    </w:p>
    <w:p w:rsidR="00F01315" w:rsidRDefault="00D57F4F" w:rsidP="00F01315">
      <w:pPr>
        <w:spacing w:line="276" w:lineRule="auto"/>
        <w:jc w:val="both"/>
        <w:rPr>
          <w:rFonts w:asciiTheme="minorHAnsi" w:eastAsia="SimSun" w:hAnsiTheme="minorHAnsi"/>
          <w:lang w:val="sq-AL"/>
        </w:rPr>
      </w:pPr>
      <w:r w:rsidRPr="00C154C8">
        <w:rPr>
          <w:rFonts w:asciiTheme="minorHAnsi" w:eastAsia="SimSun" w:hAnsiTheme="minorHAnsi"/>
          <w:i/>
          <w:lang w:val="sq-AL"/>
        </w:rPr>
        <w:t>Shpenzimet kapitale</w:t>
      </w:r>
      <w:r w:rsidRPr="00D57F4F">
        <w:rPr>
          <w:rFonts w:asciiTheme="minorHAnsi" w:eastAsia="SimSun" w:hAnsiTheme="minorHAnsi"/>
          <w:lang w:val="sq-AL"/>
        </w:rPr>
        <w:t xml:space="preserve"> për muajin e pestë të vitit 2020 paraqesin një realizim në masën rreth 20.5 miliard LEK. Krahasuar me të njëjtën periudhë të vitit 2019, ky zë është 7.1 përqind më i ulët ose rreth 1.57 miliard LEK më pak. </w:t>
      </w:r>
    </w:p>
    <w:p w:rsidR="002334F6" w:rsidRPr="007F224E" w:rsidRDefault="002334F6" w:rsidP="00F01315">
      <w:pPr>
        <w:spacing w:line="276" w:lineRule="auto"/>
        <w:jc w:val="both"/>
        <w:rPr>
          <w:rFonts w:asciiTheme="minorHAnsi" w:eastAsia="SimSun" w:hAnsiTheme="minorHAnsi"/>
          <w:sz w:val="8"/>
          <w:lang w:val="sq-AL"/>
        </w:rPr>
      </w:pPr>
    </w:p>
    <w:p w:rsidR="002334F6" w:rsidRPr="002334F6" w:rsidRDefault="002334F6" w:rsidP="002334F6">
      <w:pPr>
        <w:pStyle w:val="Caption"/>
        <w:rPr>
          <w:rFonts w:asciiTheme="minorHAnsi" w:eastAsia="SimSun" w:hAnsiTheme="minorHAnsi"/>
          <w:b w:val="0"/>
          <w:bCs w:val="0"/>
          <w:i/>
          <w:color w:val="auto"/>
          <w:sz w:val="24"/>
          <w:szCs w:val="24"/>
          <w:lang w:val="sq-AL"/>
        </w:rPr>
      </w:pPr>
      <w:bookmarkStart w:id="50" w:name="_Toc44404452"/>
      <w:r w:rsidRPr="002334F6">
        <w:rPr>
          <w:rFonts w:asciiTheme="minorHAnsi" w:eastAsia="SimSun" w:hAnsiTheme="minorHAnsi"/>
          <w:b w:val="0"/>
          <w:bCs w:val="0"/>
          <w:i/>
          <w:color w:val="auto"/>
          <w:sz w:val="24"/>
          <w:szCs w:val="24"/>
          <w:lang w:val="sq-AL"/>
        </w:rPr>
        <w:t xml:space="preserve">Grafiku </w:t>
      </w:r>
      <w:r w:rsidRPr="002334F6">
        <w:rPr>
          <w:rFonts w:asciiTheme="minorHAnsi" w:eastAsia="SimSun" w:hAnsiTheme="minorHAnsi"/>
          <w:b w:val="0"/>
          <w:bCs w:val="0"/>
          <w:i/>
          <w:color w:val="auto"/>
          <w:sz w:val="24"/>
          <w:szCs w:val="24"/>
          <w:lang w:val="sq-AL"/>
        </w:rPr>
        <w:fldChar w:fldCharType="begin"/>
      </w:r>
      <w:r w:rsidRPr="002334F6">
        <w:rPr>
          <w:rFonts w:asciiTheme="minorHAnsi" w:eastAsia="SimSun" w:hAnsiTheme="minorHAnsi"/>
          <w:b w:val="0"/>
          <w:bCs w:val="0"/>
          <w:i/>
          <w:color w:val="auto"/>
          <w:sz w:val="24"/>
          <w:szCs w:val="24"/>
          <w:lang w:val="sq-AL"/>
        </w:rPr>
        <w:instrText xml:space="preserve"> SEQ Grafiku \* ARABIC </w:instrText>
      </w:r>
      <w:r w:rsidRPr="002334F6">
        <w:rPr>
          <w:rFonts w:asciiTheme="minorHAnsi" w:eastAsia="SimSun" w:hAnsiTheme="minorHAnsi"/>
          <w:b w:val="0"/>
          <w:bCs w:val="0"/>
          <w:i/>
          <w:color w:val="auto"/>
          <w:sz w:val="24"/>
          <w:szCs w:val="24"/>
          <w:lang w:val="sq-AL"/>
        </w:rPr>
        <w:fldChar w:fldCharType="separate"/>
      </w:r>
      <w:r w:rsidR="00C342E2">
        <w:rPr>
          <w:rFonts w:asciiTheme="minorHAnsi" w:eastAsia="SimSun" w:hAnsiTheme="minorHAnsi"/>
          <w:b w:val="0"/>
          <w:bCs w:val="0"/>
          <w:i/>
          <w:noProof/>
          <w:color w:val="auto"/>
          <w:sz w:val="24"/>
          <w:szCs w:val="24"/>
          <w:lang w:val="sq-AL"/>
        </w:rPr>
        <w:t>12</w:t>
      </w:r>
      <w:r w:rsidRPr="002334F6">
        <w:rPr>
          <w:rFonts w:asciiTheme="minorHAnsi" w:eastAsia="SimSun" w:hAnsiTheme="minorHAnsi"/>
          <w:b w:val="0"/>
          <w:bCs w:val="0"/>
          <w:i/>
          <w:color w:val="auto"/>
          <w:sz w:val="24"/>
          <w:szCs w:val="24"/>
          <w:lang w:val="sq-AL"/>
        </w:rPr>
        <w:fldChar w:fldCharType="end"/>
      </w:r>
      <w:r w:rsidRPr="002334F6">
        <w:rPr>
          <w:rFonts w:asciiTheme="minorHAnsi" w:eastAsia="SimSun" w:hAnsiTheme="minorHAnsi"/>
          <w:b w:val="0"/>
          <w:bCs w:val="0"/>
          <w:i/>
          <w:color w:val="auto"/>
          <w:sz w:val="24"/>
          <w:szCs w:val="24"/>
          <w:lang w:val="sq-AL"/>
        </w:rPr>
        <w:t>: Shpenzimet korente dhe kapitale Plan vs Fakt (në miliard LEK)</w:t>
      </w:r>
      <w:bookmarkEnd w:id="50"/>
    </w:p>
    <w:p w:rsidR="00F01315" w:rsidRPr="003F7DB9" w:rsidRDefault="00F01315" w:rsidP="007F224E">
      <w:pPr>
        <w:jc w:val="center"/>
        <w:rPr>
          <w:rFonts w:asciiTheme="minorHAnsi" w:eastAsia="SimSun" w:hAnsiTheme="minorHAnsi"/>
          <w:lang w:val="sq-AL"/>
        </w:rPr>
      </w:pPr>
      <w:r w:rsidRPr="003F7DB9">
        <w:rPr>
          <w:rFonts w:asciiTheme="minorHAnsi" w:eastAsia="SimSun" w:hAnsiTheme="minorHAnsi"/>
          <w:noProof/>
        </w:rPr>
        <w:drawing>
          <wp:inline distT="0" distB="0" distL="0" distR="0" wp14:anchorId="3F487A55" wp14:editId="5A89E4F8">
            <wp:extent cx="4983480" cy="1752600"/>
            <wp:effectExtent l="38100" t="38100" r="102870" b="95250"/>
            <wp:docPr id="299" name="Picture 2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5001161" cy="1758818"/>
                    </a:xfrm>
                    <a:prstGeom prst="rect">
                      <a:avLst/>
                    </a:prstGeom>
                    <a:noFill/>
                    <a:effectLst>
                      <a:outerShdw blurRad="50800" dist="38100" dir="2700000" algn="tl" rotWithShape="0">
                        <a:prstClr val="black">
                          <a:alpha val="40000"/>
                        </a:prstClr>
                      </a:outerShdw>
                    </a:effectLst>
                  </pic:spPr>
                </pic:pic>
              </a:graphicData>
            </a:graphic>
          </wp:inline>
        </w:drawing>
      </w:r>
    </w:p>
    <w:p w:rsidR="00F01315" w:rsidRPr="003F7DB9" w:rsidRDefault="00F01315" w:rsidP="00F01315">
      <w:pPr>
        <w:spacing w:line="276" w:lineRule="auto"/>
        <w:jc w:val="both"/>
        <w:rPr>
          <w:rFonts w:asciiTheme="minorHAnsi" w:eastAsia="SimSun" w:hAnsiTheme="minorHAnsi"/>
          <w:i/>
          <w:sz w:val="20"/>
          <w:lang w:val="sq-AL"/>
        </w:rPr>
      </w:pPr>
      <w:r w:rsidRPr="003F7DB9">
        <w:rPr>
          <w:rFonts w:asciiTheme="minorHAnsi" w:eastAsia="SimSun" w:hAnsiTheme="minorHAnsi"/>
          <w:i/>
          <w:sz w:val="20"/>
          <w:lang w:val="sq-AL"/>
        </w:rPr>
        <w:t xml:space="preserve">                         Burimi: Ministria e Financave dhe Ekonomisë (2020)</w:t>
      </w:r>
    </w:p>
    <w:p w:rsidR="005260A8" w:rsidRPr="007F224E" w:rsidRDefault="005260A8" w:rsidP="00D23F5E">
      <w:pPr>
        <w:rPr>
          <w:rFonts w:asciiTheme="minorHAnsi" w:hAnsiTheme="minorHAnsi"/>
          <w:i/>
          <w:sz w:val="16"/>
          <w:lang w:val="sq-AL"/>
        </w:rPr>
      </w:pPr>
    </w:p>
    <w:p w:rsidR="00D23F5E" w:rsidRPr="00C23C7E" w:rsidRDefault="00D23F5E" w:rsidP="00D23F5E">
      <w:pPr>
        <w:rPr>
          <w:rFonts w:asciiTheme="minorHAnsi" w:hAnsiTheme="minorHAnsi"/>
          <w:i/>
          <w:lang w:val="sq-AL"/>
        </w:rPr>
      </w:pPr>
      <w:bookmarkStart w:id="51" w:name="_Toc44404453"/>
      <w:r w:rsidRPr="00C23C7E">
        <w:rPr>
          <w:rFonts w:asciiTheme="minorHAnsi" w:hAnsiTheme="minorHAnsi"/>
          <w:i/>
          <w:lang w:val="sq-AL"/>
        </w:rPr>
        <w:t xml:space="preserve">Grafiku </w:t>
      </w:r>
      <w:r w:rsidR="000E6782" w:rsidRPr="00C23C7E">
        <w:rPr>
          <w:rFonts w:asciiTheme="minorHAnsi" w:hAnsiTheme="minorHAnsi"/>
          <w:i/>
          <w:lang w:val="sq-AL"/>
        </w:rPr>
        <w:fldChar w:fldCharType="begin"/>
      </w:r>
      <w:r w:rsidR="000E6782" w:rsidRPr="00C23C7E">
        <w:rPr>
          <w:rFonts w:asciiTheme="minorHAnsi" w:hAnsiTheme="minorHAnsi"/>
          <w:i/>
          <w:lang w:val="sq-AL"/>
        </w:rPr>
        <w:instrText xml:space="preserve"> SEQ Grafiku \* ARABIC </w:instrText>
      </w:r>
      <w:r w:rsidR="000E6782" w:rsidRPr="00C23C7E">
        <w:rPr>
          <w:rFonts w:asciiTheme="minorHAnsi" w:hAnsiTheme="minorHAnsi"/>
          <w:i/>
          <w:lang w:val="sq-AL"/>
        </w:rPr>
        <w:fldChar w:fldCharType="separate"/>
      </w:r>
      <w:r w:rsidR="00C342E2">
        <w:rPr>
          <w:rFonts w:asciiTheme="minorHAnsi" w:hAnsiTheme="minorHAnsi"/>
          <w:i/>
          <w:noProof/>
          <w:lang w:val="sq-AL"/>
        </w:rPr>
        <w:t>13</w:t>
      </w:r>
      <w:r w:rsidR="000E6782" w:rsidRPr="00C23C7E">
        <w:rPr>
          <w:rFonts w:asciiTheme="minorHAnsi" w:hAnsiTheme="minorHAnsi"/>
          <w:i/>
          <w:noProof/>
          <w:lang w:val="sq-AL"/>
        </w:rPr>
        <w:fldChar w:fldCharType="end"/>
      </w:r>
      <w:r w:rsidR="00E27968" w:rsidRPr="00C23C7E">
        <w:rPr>
          <w:rFonts w:asciiTheme="minorHAnsi" w:hAnsiTheme="minorHAnsi"/>
          <w:i/>
          <w:lang w:val="sq-AL"/>
        </w:rPr>
        <w:t>:</w:t>
      </w:r>
      <w:r w:rsidRPr="00C23C7E">
        <w:rPr>
          <w:rFonts w:asciiTheme="minorHAnsi" w:hAnsiTheme="minorHAnsi"/>
          <w:bCs/>
          <w:i/>
          <w:lang w:val="sq-AL"/>
        </w:rPr>
        <w:t xml:space="preserve"> Struktura e shpenzimeve të përgjithshme, për periudhën 5 mujore 20</w:t>
      </w:r>
      <w:r w:rsidR="00C23C7E">
        <w:rPr>
          <w:rFonts w:asciiTheme="minorHAnsi" w:hAnsiTheme="minorHAnsi"/>
          <w:bCs/>
          <w:i/>
          <w:lang w:val="sq-AL"/>
        </w:rPr>
        <w:t>20</w:t>
      </w:r>
      <w:bookmarkEnd w:id="51"/>
    </w:p>
    <w:p w:rsidR="009949B2" w:rsidRPr="0065598A" w:rsidRDefault="00C23C7E" w:rsidP="007F224E">
      <w:pPr>
        <w:jc w:val="center"/>
        <w:rPr>
          <w:rFonts w:asciiTheme="minorHAnsi" w:eastAsia="SimSun" w:hAnsiTheme="minorHAnsi"/>
          <w:b/>
          <w:lang w:val="sq-AL"/>
        </w:rPr>
      </w:pPr>
      <w:r w:rsidRPr="003F7DB9">
        <w:rPr>
          <w:rFonts w:asciiTheme="minorHAnsi" w:eastAsia="SimSun" w:hAnsiTheme="minorHAnsi"/>
          <w:noProof/>
        </w:rPr>
        <w:drawing>
          <wp:inline distT="0" distB="0" distL="0" distR="0" wp14:anchorId="7721F2FB" wp14:editId="6C736ECF">
            <wp:extent cx="5979795" cy="1714500"/>
            <wp:effectExtent l="38100" t="38100" r="97155" b="95250"/>
            <wp:docPr id="291" name="Picture 2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6007196" cy="1722356"/>
                    </a:xfrm>
                    <a:prstGeom prst="rect">
                      <a:avLst/>
                    </a:prstGeom>
                    <a:noFill/>
                    <a:effectLst>
                      <a:outerShdw blurRad="50800" dist="38100" dir="2700000" algn="tl" rotWithShape="0">
                        <a:prstClr val="black">
                          <a:alpha val="40000"/>
                        </a:prstClr>
                      </a:outerShdw>
                    </a:effectLst>
                  </pic:spPr>
                </pic:pic>
              </a:graphicData>
            </a:graphic>
          </wp:inline>
        </w:drawing>
      </w:r>
    </w:p>
    <w:p w:rsidR="00E97DCB" w:rsidRPr="0065598A" w:rsidRDefault="00C23C7E" w:rsidP="00E97DCB">
      <w:pPr>
        <w:spacing w:line="276" w:lineRule="auto"/>
        <w:ind w:firstLine="540"/>
        <w:rPr>
          <w:rFonts w:asciiTheme="minorHAnsi" w:eastAsia="SimSun" w:hAnsiTheme="minorHAnsi"/>
          <w:i/>
          <w:sz w:val="20"/>
          <w:lang w:val="sq-AL"/>
        </w:rPr>
      </w:pPr>
      <w:r>
        <w:rPr>
          <w:rFonts w:asciiTheme="minorHAnsi" w:eastAsia="SimSun" w:hAnsiTheme="minorHAnsi"/>
          <w:i/>
          <w:sz w:val="20"/>
          <w:lang w:val="sq-AL"/>
        </w:rPr>
        <w:t>Burimi: Ministria e Financave dhe Ekonomisë (2020)</w:t>
      </w:r>
      <w:r w:rsidR="00E97DCB" w:rsidRPr="0065598A">
        <w:rPr>
          <w:rFonts w:asciiTheme="minorHAnsi" w:eastAsia="SimSun" w:hAnsiTheme="minorHAnsi"/>
          <w:i/>
          <w:sz w:val="20"/>
          <w:lang w:val="sq-AL"/>
        </w:rPr>
        <w:t xml:space="preserve"> </w:t>
      </w:r>
    </w:p>
    <w:p w:rsidR="00DC0A5C" w:rsidRPr="003F7DB9" w:rsidRDefault="00DC0A5C" w:rsidP="00DC0A5C">
      <w:pPr>
        <w:spacing w:line="276" w:lineRule="auto"/>
        <w:jc w:val="both"/>
        <w:rPr>
          <w:rFonts w:asciiTheme="minorHAnsi" w:eastAsia="SimSun" w:hAnsiTheme="minorHAnsi"/>
          <w:lang w:val="sq-AL"/>
        </w:rPr>
      </w:pPr>
      <w:r w:rsidRPr="003F7DB9">
        <w:rPr>
          <w:rFonts w:asciiTheme="minorHAnsi" w:eastAsia="SimSun" w:hAnsiTheme="minorHAnsi"/>
          <w:b/>
          <w:lang w:val="sq-AL"/>
        </w:rPr>
        <w:lastRenderedPageBreak/>
        <w:t>Shpenzimet korente</w:t>
      </w:r>
      <w:r w:rsidRPr="003F7DB9">
        <w:rPr>
          <w:rFonts w:asciiTheme="minorHAnsi" w:eastAsia="SimSun" w:hAnsiTheme="minorHAnsi"/>
          <w:lang w:val="sq-AL"/>
        </w:rPr>
        <w:t xml:space="preserve"> në raport me planin 5 mujor të këtij viti, paraqesin një realizim prej 99.1 përqind, duke rezultuar në rreth 166.54 miliard LEK. Zërat kryesorë që ndikuan në nivelin e realizimit të shpenzimeve korente kundrejt planit 5 mujor janë përkatësisht: </w:t>
      </w:r>
    </w:p>
    <w:p w:rsidR="00DC0A5C" w:rsidRPr="00134BE3" w:rsidRDefault="00DC0A5C" w:rsidP="00503465">
      <w:pPr>
        <w:pStyle w:val="ListParagraph"/>
        <w:numPr>
          <w:ilvl w:val="0"/>
          <w:numId w:val="3"/>
        </w:numPr>
        <w:spacing w:line="276" w:lineRule="auto"/>
        <w:ind w:left="540"/>
        <w:jc w:val="both"/>
        <w:rPr>
          <w:rFonts w:asciiTheme="minorHAnsi" w:eastAsia="SimSun" w:hAnsiTheme="minorHAnsi"/>
          <w:i/>
          <w:lang w:val="sq-AL"/>
        </w:rPr>
      </w:pPr>
      <w:r w:rsidRPr="00134BE3">
        <w:rPr>
          <w:rFonts w:asciiTheme="minorHAnsi" w:eastAsia="SimSun" w:hAnsiTheme="minorHAnsi"/>
          <w:i/>
          <w:lang w:val="sq-AL"/>
        </w:rPr>
        <w:t>shpenzimet e tjera sociale me 170.1 përqind të planit të periudhës dhe 81.2 përqind të planit vjetor fillestar dhe AN nr.15.</w:t>
      </w:r>
    </w:p>
    <w:p w:rsidR="00DC0A5C" w:rsidRPr="00134BE3" w:rsidRDefault="00DC0A5C" w:rsidP="00503465">
      <w:pPr>
        <w:pStyle w:val="ListParagraph"/>
        <w:numPr>
          <w:ilvl w:val="0"/>
          <w:numId w:val="3"/>
        </w:numPr>
        <w:spacing w:line="276" w:lineRule="auto"/>
        <w:ind w:left="540"/>
        <w:jc w:val="both"/>
        <w:rPr>
          <w:rFonts w:asciiTheme="minorHAnsi" w:eastAsia="SimSun" w:hAnsiTheme="minorHAnsi"/>
          <w:i/>
          <w:lang w:val="sq-AL"/>
        </w:rPr>
      </w:pPr>
      <w:r w:rsidRPr="00134BE3">
        <w:rPr>
          <w:rFonts w:asciiTheme="minorHAnsi" w:eastAsia="SimSun" w:hAnsiTheme="minorHAnsi"/>
          <w:i/>
          <w:lang w:val="sq-AL"/>
        </w:rPr>
        <w:t>shpenzimet e personelit me 98.2 përqind të planit të periudhës, 37.7 përqind të planit vjetor fillestar dhe 38.2 përqind të planit vjetor sipas AN nr.15.</w:t>
      </w:r>
    </w:p>
    <w:p w:rsidR="00DC0A5C" w:rsidRPr="00134BE3" w:rsidRDefault="00DC0A5C" w:rsidP="00503465">
      <w:pPr>
        <w:pStyle w:val="ListParagraph"/>
        <w:numPr>
          <w:ilvl w:val="0"/>
          <w:numId w:val="3"/>
        </w:numPr>
        <w:spacing w:line="276" w:lineRule="auto"/>
        <w:ind w:left="540"/>
        <w:jc w:val="both"/>
        <w:rPr>
          <w:rFonts w:asciiTheme="minorHAnsi" w:eastAsia="SimSun" w:hAnsiTheme="minorHAnsi"/>
          <w:i/>
          <w:lang w:val="sq-AL"/>
        </w:rPr>
      </w:pPr>
      <w:r w:rsidRPr="00134BE3">
        <w:rPr>
          <w:rFonts w:asciiTheme="minorHAnsi" w:eastAsia="SimSun" w:hAnsiTheme="minorHAnsi"/>
          <w:i/>
          <w:lang w:val="sq-AL"/>
        </w:rPr>
        <w:t>shpenzimet për interesa me 98 përqind të planit të periudhës, 31.9 përqind të planit vjetor fillestar dhe 31.5 përqind të planit vjetor sipas AN nr.15.</w:t>
      </w:r>
    </w:p>
    <w:p w:rsidR="005D4A49" w:rsidRPr="0065598A" w:rsidRDefault="00070183" w:rsidP="00471172">
      <w:pPr>
        <w:pStyle w:val="Caption"/>
        <w:keepNext/>
        <w:spacing w:before="240" w:after="0"/>
        <w:jc w:val="both"/>
        <w:rPr>
          <w:rFonts w:asciiTheme="minorHAnsi" w:hAnsiTheme="minorHAnsi"/>
          <w:b w:val="0"/>
          <w:bCs w:val="0"/>
          <w:i/>
          <w:color w:val="auto"/>
          <w:sz w:val="24"/>
          <w:szCs w:val="24"/>
          <w:lang w:val="sq-AL"/>
        </w:rPr>
      </w:pPr>
      <w:bookmarkStart w:id="52" w:name="_Toc44404454"/>
      <w:r w:rsidRPr="0065598A">
        <w:rPr>
          <w:rFonts w:asciiTheme="minorHAnsi" w:hAnsiTheme="minorHAnsi"/>
          <w:b w:val="0"/>
          <w:bCs w:val="0"/>
          <w:i/>
          <w:color w:val="auto"/>
          <w:sz w:val="24"/>
          <w:szCs w:val="24"/>
          <w:lang w:val="sq-AL"/>
        </w:rPr>
        <w:t xml:space="preserve">Grafiku </w:t>
      </w:r>
      <w:r w:rsidRPr="0065598A">
        <w:rPr>
          <w:rFonts w:asciiTheme="minorHAnsi" w:hAnsiTheme="minorHAnsi"/>
          <w:b w:val="0"/>
          <w:bCs w:val="0"/>
          <w:i/>
          <w:color w:val="auto"/>
          <w:sz w:val="24"/>
          <w:szCs w:val="24"/>
          <w:lang w:val="sq-AL"/>
        </w:rPr>
        <w:fldChar w:fldCharType="begin"/>
      </w:r>
      <w:r w:rsidRPr="0065598A">
        <w:rPr>
          <w:rFonts w:asciiTheme="minorHAnsi" w:hAnsiTheme="minorHAnsi"/>
          <w:b w:val="0"/>
          <w:bCs w:val="0"/>
          <w:i/>
          <w:color w:val="auto"/>
          <w:sz w:val="24"/>
          <w:szCs w:val="24"/>
          <w:lang w:val="sq-AL"/>
        </w:rPr>
        <w:instrText xml:space="preserve"> SEQ Grafiku \* ARABIC </w:instrText>
      </w:r>
      <w:r w:rsidRPr="0065598A">
        <w:rPr>
          <w:rFonts w:asciiTheme="minorHAnsi" w:hAnsiTheme="minorHAnsi"/>
          <w:b w:val="0"/>
          <w:bCs w:val="0"/>
          <w:i/>
          <w:color w:val="auto"/>
          <w:sz w:val="24"/>
          <w:szCs w:val="24"/>
          <w:lang w:val="sq-AL"/>
        </w:rPr>
        <w:fldChar w:fldCharType="separate"/>
      </w:r>
      <w:r w:rsidR="00C342E2">
        <w:rPr>
          <w:rFonts w:asciiTheme="minorHAnsi" w:hAnsiTheme="minorHAnsi"/>
          <w:b w:val="0"/>
          <w:bCs w:val="0"/>
          <w:i/>
          <w:noProof/>
          <w:color w:val="auto"/>
          <w:sz w:val="24"/>
          <w:szCs w:val="24"/>
          <w:lang w:val="sq-AL"/>
        </w:rPr>
        <w:t>14</w:t>
      </w:r>
      <w:r w:rsidRPr="0065598A">
        <w:rPr>
          <w:rFonts w:asciiTheme="minorHAnsi" w:hAnsiTheme="minorHAnsi"/>
          <w:b w:val="0"/>
          <w:bCs w:val="0"/>
          <w:i/>
          <w:color w:val="auto"/>
          <w:sz w:val="24"/>
          <w:szCs w:val="24"/>
          <w:lang w:val="sq-AL"/>
        </w:rPr>
        <w:fldChar w:fldCharType="end"/>
      </w:r>
      <w:r w:rsidRPr="0065598A">
        <w:rPr>
          <w:rFonts w:asciiTheme="minorHAnsi" w:hAnsiTheme="minorHAnsi"/>
          <w:b w:val="0"/>
          <w:bCs w:val="0"/>
          <w:i/>
          <w:color w:val="auto"/>
          <w:sz w:val="24"/>
          <w:szCs w:val="24"/>
          <w:lang w:val="sq-AL"/>
        </w:rPr>
        <w:t>: Shpenzimet Korente dhe ritmi i rritjes së tyre (në miliardë LEK)</w:t>
      </w:r>
      <w:bookmarkEnd w:id="52"/>
    </w:p>
    <w:p w:rsidR="00637131" w:rsidRPr="0065598A" w:rsidRDefault="00134BE3" w:rsidP="00471172">
      <w:pPr>
        <w:pStyle w:val="Caption"/>
        <w:spacing w:after="0"/>
        <w:jc w:val="center"/>
        <w:rPr>
          <w:rFonts w:asciiTheme="minorHAnsi" w:eastAsia="SimSun" w:hAnsiTheme="minorHAnsi"/>
          <w:i/>
          <w:lang w:val="sq-AL"/>
        </w:rPr>
      </w:pPr>
      <w:r w:rsidRPr="003F7DB9">
        <w:rPr>
          <w:rFonts w:asciiTheme="minorHAnsi" w:eastAsia="SimSun" w:hAnsiTheme="minorHAnsi"/>
          <w:i/>
          <w:noProof/>
        </w:rPr>
        <w:drawing>
          <wp:inline distT="0" distB="0" distL="0" distR="0" wp14:anchorId="236EDD22" wp14:editId="6F262469">
            <wp:extent cx="5411119" cy="2308860"/>
            <wp:effectExtent l="38100" t="38100" r="94615" b="9144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5433621" cy="2318461"/>
                    </a:xfrm>
                    <a:prstGeom prst="rect">
                      <a:avLst/>
                    </a:prstGeom>
                    <a:noFill/>
                    <a:effectLst>
                      <a:outerShdw blurRad="50800" dist="38100" dir="2700000" algn="tl" rotWithShape="0">
                        <a:prstClr val="black">
                          <a:alpha val="40000"/>
                        </a:prstClr>
                      </a:outerShdw>
                    </a:effectLst>
                  </pic:spPr>
                </pic:pic>
              </a:graphicData>
            </a:graphic>
          </wp:inline>
        </w:drawing>
      </w:r>
    </w:p>
    <w:p w:rsidR="00637131" w:rsidRPr="0065598A" w:rsidRDefault="00CE0E07" w:rsidP="00637131">
      <w:pPr>
        <w:spacing w:line="276" w:lineRule="auto"/>
        <w:rPr>
          <w:rFonts w:asciiTheme="minorHAnsi" w:eastAsia="SimSun" w:hAnsiTheme="minorHAnsi"/>
          <w:i/>
          <w:sz w:val="20"/>
          <w:lang w:val="sq-AL"/>
        </w:rPr>
      </w:pPr>
      <w:r w:rsidRPr="0065598A">
        <w:rPr>
          <w:rFonts w:asciiTheme="minorHAnsi" w:eastAsia="SimSun" w:hAnsiTheme="minorHAnsi"/>
          <w:i/>
          <w:sz w:val="20"/>
          <w:lang w:val="sq-AL"/>
        </w:rPr>
        <w:t xml:space="preserve">            </w:t>
      </w:r>
      <w:r w:rsidRPr="0065598A">
        <w:rPr>
          <w:rFonts w:asciiTheme="minorHAnsi" w:eastAsia="SimSun" w:hAnsiTheme="minorHAnsi"/>
          <w:i/>
          <w:sz w:val="20"/>
          <w:lang w:val="sq-AL"/>
        </w:rPr>
        <w:tab/>
      </w:r>
      <w:r w:rsidR="00C23C7E">
        <w:rPr>
          <w:rFonts w:asciiTheme="minorHAnsi" w:eastAsia="SimSun" w:hAnsiTheme="minorHAnsi"/>
          <w:i/>
          <w:sz w:val="20"/>
          <w:lang w:val="sq-AL"/>
        </w:rPr>
        <w:t>Burimi: Ministria e Financave dhe Ekonomisë (2020)</w:t>
      </w:r>
    </w:p>
    <w:p w:rsidR="00BB5756" w:rsidRPr="0065598A" w:rsidRDefault="00BB5756" w:rsidP="00BB5756">
      <w:pPr>
        <w:pStyle w:val="Caption"/>
        <w:keepNext/>
        <w:spacing w:before="240" w:after="0"/>
        <w:jc w:val="both"/>
        <w:rPr>
          <w:rFonts w:asciiTheme="minorHAnsi" w:hAnsiTheme="minorHAnsi"/>
          <w:b w:val="0"/>
          <w:bCs w:val="0"/>
          <w:i/>
          <w:color w:val="auto"/>
          <w:sz w:val="22"/>
          <w:szCs w:val="24"/>
          <w:lang w:val="sq-AL"/>
        </w:rPr>
      </w:pPr>
      <w:bookmarkStart w:id="53" w:name="_Toc44404455"/>
      <w:r w:rsidRPr="0065598A">
        <w:rPr>
          <w:rFonts w:asciiTheme="minorHAnsi" w:hAnsiTheme="minorHAnsi"/>
          <w:b w:val="0"/>
          <w:bCs w:val="0"/>
          <w:i/>
          <w:color w:val="auto"/>
          <w:sz w:val="24"/>
          <w:szCs w:val="24"/>
          <w:lang w:val="sq-AL"/>
        </w:rPr>
        <w:t xml:space="preserve">Grafiku </w:t>
      </w:r>
      <w:r w:rsidRPr="0065598A">
        <w:rPr>
          <w:rFonts w:asciiTheme="minorHAnsi" w:hAnsiTheme="minorHAnsi"/>
          <w:b w:val="0"/>
          <w:bCs w:val="0"/>
          <w:i/>
          <w:color w:val="auto"/>
          <w:sz w:val="24"/>
          <w:szCs w:val="24"/>
          <w:lang w:val="sq-AL"/>
        </w:rPr>
        <w:fldChar w:fldCharType="begin"/>
      </w:r>
      <w:r w:rsidRPr="0065598A">
        <w:rPr>
          <w:rFonts w:asciiTheme="minorHAnsi" w:hAnsiTheme="minorHAnsi"/>
          <w:b w:val="0"/>
          <w:bCs w:val="0"/>
          <w:i/>
          <w:color w:val="auto"/>
          <w:sz w:val="24"/>
          <w:szCs w:val="24"/>
          <w:lang w:val="sq-AL"/>
        </w:rPr>
        <w:instrText xml:space="preserve"> SEQ Grafiku \* ARABIC </w:instrText>
      </w:r>
      <w:r w:rsidRPr="0065598A">
        <w:rPr>
          <w:rFonts w:asciiTheme="minorHAnsi" w:hAnsiTheme="minorHAnsi"/>
          <w:b w:val="0"/>
          <w:bCs w:val="0"/>
          <w:i/>
          <w:color w:val="auto"/>
          <w:sz w:val="24"/>
          <w:szCs w:val="24"/>
          <w:lang w:val="sq-AL"/>
        </w:rPr>
        <w:fldChar w:fldCharType="separate"/>
      </w:r>
      <w:r w:rsidR="00C342E2">
        <w:rPr>
          <w:rFonts w:asciiTheme="minorHAnsi" w:hAnsiTheme="minorHAnsi"/>
          <w:b w:val="0"/>
          <w:bCs w:val="0"/>
          <w:i/>
          <w:noProof/>
          <w:color w:val="auto"/>
          <w:sz w:val="24"/>
          <w:szCs w:val="24"/>
          <w:lang w:val="sq-AL"/>
        </w:rPr>
        <w:t>15</w:t>
      </w:r>
      <w:r w:rsidRPr="0065598A">
        <w:rPr>
          <w:rFonts w:asciiTheme="minorHAnsi" w:hAnsiTheme="minorHAnsi"/>
          <w:b w:val="0"/>
          <w:bCs w:val="0"/>
          <w:i/>
          <w:color w:val="auto"/>
          <w:sz w:val="24"/>
          <w:szCs w:val="24"/>
          <w:lang w:val="sq-AL"/>
        </w:rPr>
        <w:fldChar w:fldCharType="end"/>
      </w:r>
      <w:r w:rsidRPr="0065598A">
        <w:rPr>
          <w:rFonts w:asciiTheme="minorHAnsi" w:hAnsiTheme="minorHAnsi"/>
          <w:b w:val="0"/>
          <w:bCs w:val="0"/>
          <w:i/>
          <w:color w:val="auto"/>
          <w:sz w:val="24"/>
          <w:szCs w:val="24"/>
          <w:lang w:val="sq-AL"/>
        </w:rPr>
        <w:t>: Struktura e shpenzimeve korente, për periudhën 5 mujore 20</w:t>
      </w:r>
      <w:r w:rsidR="00134BE3">
        <w:rPr>
          <w:rFonts w:asciiTheme="minorHAnsi" w:hAnsiTheme="minorHAnsi"/>
          <w:b w:val="0"/>
          <w:bCs w:val="0"/>
          <w:i/>
          <w:color w:val="auto"/>
          <w:sz w:val="24"/>
          <w:szCs w:val="24"/>
          <w:lang w:val="sq-AL"/>
        </w:rPr>
        <w:t>20</w:t>
      </w:r>
      <w:bookmarkEnd w:id="53"/>
    </w:p>
    <w:p w:rsidR="00BB5756" w:rsidRPr="0065598A" w:rsidRDefault="00134BE3" w:rsidP="00BB5756">
      <w:pPr>
        <w:spacing w:line="276" w:lineRule="auto"/>
        <w:jc w:val="center"/>
        <w:rPr>
          <w:rFonts w:asciiTheme="minorHAnsi" w:eastAsia="SimSun" w:hAnsiTheme="minorHAnsi"/>
          <w:i/>
          <w:lang w:val="sq-AL"/>
        </w:rPr>
      </w:pPr>
      <w:r w:rsidRPr="003F7DB9">
        <w:rPr>
          <w:rFonts w:asciiTheme="minorHAnsi" w:eastAsia="SimSun" w:hAnsiTheme="minorHAnsi"/>
          <w:noProof/>
        </w:rPr>
        <w:drawing>
          <wp:inline distT="0" distB="0" distL="0" distR="0" wp14:anchorId="254FBFCA" wp14:editId="7F7D7495">
            <wp:extent cx="4674262" cy="2667000"/>
            <wp:effectExtent l="38100" t="38100" r="88265" b="95250"/>
            <wp:docPr id="293" name="Picture 2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4686304" cy="2673871"/>
                    </a:xfrm>
                    <a:prstGeom prst="rect">
                      <a:avLst/>
                    </a:prstGeom>
                    <a:noFill/>
                    <a:effectLst>
                      <a:outerShdw blurRad="50800" dist="38100" dir="2700000" algn="tl" rotWithShape="0">
                        <a:prstClr val="black">
                          <a:alpha val="40000"/>
                        </a:prstClr>
                      </a:outerShdw>
                    </a:effectLst>
                  </pic:spPr>
                </pic:pic>
              </a:graphicData>
            </a:graphic>
          </wp:inline>
        </w:drawing>
      </w:r>
    </w:p>
    <w:p w:rsidR="00F01315" w:rsidRPr="00F01315" w:rsidRDefault="00F01315" w:rsidP="00F01315">
      <w:pPr>
        <w:spacing w:line="276" w:lineRule="auto"/>
        <w:jc w:val="both"/>
        <w:rPr>
          <w:rFonts w:asciiTheme="minorHAnsi" w:eastAsia="SimSun" w:hAnsiTheme="minorHAnsi"/>
          <w:i/>
          <w:sz w:val="12"/>
          <w:lang w:val="sq-AL"/>
        </w:rPr>
      </w:pPr>
    </w:p>
    <w:p w:rsidR="00F01315" w:rsidRDefault="00F01315" w:rsidP="00F01315">
      <w:pPr>
        <w:spacing w:line="276" w:lineRule="auto"/>
        <w:jc w:val="both"/>
        <w:rPr>
          <w:rFonts w:asciiTheme="minorHAnsi" w:eastAsia="SimSun" w:hAnsiTheme="minorHAnsi"/>
          <w:lang w:val="sq-AL"/>
        </w:rPr>
      </w:pPr>
      <w:r w:rsidRPr="003F7DB9">
        <w:rPr>
          <w:rFonts w:asciiTheme="minorHAnsi" w:eastAsia="SimSun" w:hAnsiTheme="minorHAnsi"/>
          <w:i/>
          <w:lang w:val="sq-AL"/>
        </w:rPr>
        <w:t>Shpenzimet e Personelit</w:t>
      </w:r>
      <w:r w:rsidRPr="003F7DB9">
        <w:rPr>
          <w:rFonts w:asciiTheme="minorHAnsi" w:eastAsia="SimSun" w:hAnsiTheme="minorHAnsi"/>
          <w:lang w:val="sq-AL"/>
        </w:rPr>
        <w:t xml:space="preserve"> gjatë muajit Maj 2020, përfaqësuan 18.8 përqind të totalit të shpenzimeve korente. Niveli i shpenzimeve faktike të personelit prej rreth 31.36 miliard LEK, realizon nivelin e parashikuar për këtë zë në planin e periudhës 5 mujore në masën 98.2 përqind. Krahasuar me të njëjtën periudhë të vitit 2019, ky zë është 0.9 përqind më i lartë ose 291 milion LEK më shumë.</w:t>
      </w:r>
    </w:p>
    <w:p w:rsidR="00070183" w:rsidRPr="0065598A" w:rsidRDefault="00070183" w:rsidP="00F01315">
      <w:pPr>
        <w:pStyle w:val="Caption"/>
        <w:keepNext/>
        <w:spacing w:after="0"/>
        <w:jc w:val="both"/>
        <w:rPr>
          <w:rFonts w:asciiTheme="minorHAnsi" w:hAnsiTheme="minorHAnsi"/>
          <w:b w:val="0"/>
          <w:bCs w:val="0"/>
          <w:i/>
          <w:color w:val="auto"/>
          <w:sz w:val="24"/>
          <w:szCs w:val="24"/>
          <w:lang w:val="sq-AL"/>
        </w:rPr>
      </w:pPr>
      <w:bookmarkStart w:id="54" w:name="_Toc44404456"/>
      <w:r w:rsidRPr="0065598A">
        <w:rPr>
          <w:rFonts w:asciiTheme="minorHAnsi" w:hAnsiTheme="minorHAnsi"/>
          <w:b w:val="0"/>
          <w:bCs w:val="0"/>
          <w:i/>
          <w:color w:val="auto"/>
          <w:sz w:val="24"/>
          <w:szCs w:val="24"/>
          <w:lang w:val="sq-AL"/>
        </w:rPr>
        <w:lastRenderedPageBreak/>
        <w:t xml:space="preserve">Grafiku </w:t>
      </w:r>
      <w:r w:rsidRPr="0065598A">
        <w:rPr>
          <w:rFonts w:asciiTheme="minorHAnsi" w:hAnsiTheme="minorHAnsi"/>
          <w:b w:val="0"/>
          <w:bCs w:val="0"/>
          <w:i/>
          <w:color w:val="auto"/>
          <w:sz w:val="24"/>
          <w:szCs w:val="24"/>
          <w:lang w:val="sq-AL"/>
        </w:rPr>
        <w:fldChar w:fldCharType="begin"/>
      </w:r>
      <w:r w:rsidRPr="0065598A">
        <w:rPr>
          <w:rFonts w:asciiTheme="minorHAnsi" w:hAnsiTheme="minorHAnsi"/>
          <w:b w:val="0"/>
          <w:bCs w:val="0"/>
          <w:i/>
          <w:color w:val="auto"/>
          <w:sz w:val="24"/>
          <w:szCs w:val="24"/>
          <w:lang w:val="sq-AL"/>
        </w:rPr>
        <w:instrText xml:space="preserve"> SEQ Grafiku \* ARABIC </w:instrText>
      </w:r>
      <w:r w:rsidRPr="0065598A">
        <w:rPr>
          <w:rFonts w:asciiTheme="minorHAnsi" w:hAnsiTheme="minorHAnsi"/>
          <w:b w:val="0"/>
          <w:bCs w:val="0"/>
          <w:i/>
          <w:color w:val="auto"/>
          <w:sz w:val="24"/>
          <w:szCs w:val="24"/>
          <w:lang w:val="sq-AL"/>
        </w:rPr>
        <w:fldChar w:fldCharType="separate"/>
      </w:r>
      <w:r w:rsidR="00C342E2">
        <w:rPr>
          <w:rFonts w:asciiTheme="minorHAnsi" w:hAnsiTheme="minorHAnsi"/>
          <w:b w:val="0"/>
          <w:bCs w:val="0"/>
          <w:i/>
          <w:noProof/>
          <w:color w:val="auto"/>
          <w:sz w:val="24"/>
          <w:szCs w:val="24"/>
          <w:lang w:val="sq-AL"/>
        </w:rPr>
        <w:t>16</w:t>
      </w:r>
      <w:r w:rsidRPr="0065598A">
        <w:rPr>
          <w:rFonts w:asciiTheme="minorHAnsi" w:hAnsiTheme="minorHAnsi"/>
          <w:b w:val="0"/>
          <w:bCs w:val="0"/>
          <w:i/>
          <w:color w:val="auto"/>
          <w:sz w:val="24"/>
          <w:szCs w:val="24"/>
          <w:lang w:val="sq-AL"/>
        </w:rPr>
        <w:fldChar w:fldCharType="end"/>
      </w:r>
      <w:r w:rsidRPr="0065598A">
        <w:rPr>
          <w:rFonts w:asciiTheme="minorHAnsi" w:hAnsiTheme="minorHAnsi"/>
          <w:b w:val="0"/>
          <w:bCs w:val="0"/>
          <w:i/>
          <w:color w:val="auto"/>
          <w:sz w:val="24"/>
          <w:szCs w:val="24"/>
          <w:lang w:val="sq-AL"/>
        </w:rPr>
        <w:t>: Shpenzimet e Personelit dhe ritmi i rritjes së tyre (në miliardë LEK)</w:t>
      </w:r>
      <w:bookmarkEnd w:id="54"/>
      <w:r w:rsidRPr="0065598A">
        <w:rPr>
          <w:rFonts w:asciiTheme="minorHAnsi" w:hAnsiTheme="minorHAnsi"/>
          <w:b w:val="0"/>
          <w:bCs w:val="0"/>
          <w:i/>
          <w:color w:val="auto"/>
          <w:sz w:val="24"/>
          <w:szCs w:val="24"/>
          <w:lang w:val="sq-AL"/>
        </w:rPr>
        <w:t xml:space="preserve"> </w:t>
      </w:r>
    </w:p>
    <w:p w:rsidR="00637131" w:rsidRPr="0065598A" w:rsidRDefault="00F01315" w:rsidP="00CF189F">
      <w:pPr>
        <w:ind w:left="90"/>
        <w:jc w:val="center"/>
        <w:rPr>
          <w:rFonts w:asciiTheme="minorHAnsi" w:eastAsia="SimSun" w:hAnsiTheme="minorHAnsi"/>
          <w:i/>
          <w:lang w:val="sq-AL"/>
        </w:rPr>
      </w:pPr>
      <w:r w:rsidRPr="003F7DB9">
        <w:rPr>
          <w:rFonts w:asciiTheme="minorHAnsi" w:eastAsia="SimSun" w:hAnsiTheme="minorHAnsi"/>
          <w:i/>
          <w:noProof/>
        </w:rPr>
        <w:drawing>
          <wp:inline distT="0" distB="0" distL="0" distR="0" wp14:anchorId="0AEE6DEB" wp14:editId="77FB9886">
            <wp:extent cx="5803900" cy="2362200"/>
            <wp:effectExtent l="38100" t="38100" r="101600" b="9525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5803900" cy="2362200"/>
                    </a:xfrm>
                    <a:prstGeom prst="rect">
                      <a:avLst/>
                    </a:prstGeom>
                    <a:noFill/>
                    <a:effectLst>
                      <a:outerShdw blurRad="50800" dist="38100" dir="2700000" algn="tl" rotWithShape="0">
                        <a:prstClr val="black">
                          <a:alpha val="40000"/>
                        </a:prstClr>
                      </a:outerShdw>
                    </a:effectLst>
                  </pic:spPr>
                </pic:pic>
              </a:graphicData>
            </a:graphic>
          </wp:inline>
        </w:drawing>
      </w:r>
    </w:p>
    <w:p w:rsidR="00637131" w:rsidRPr="0065598A" w:rsidRDefault="00C23C7E" w:rsidP="00CF189F">
      <w:pPr>
        <w:ind w:firstLine="720"/>
        <w:rPr>
          <w:rFonts w:asciiTheme="minorHAnsi" w:eastAsia="SimSun" w:hAnsiTheme="minorHAnsi"/>
          <w:i/>
          <w:sz w:val="20"/>
          <w:lang w:val="sq-AL"/>
        </w:rPr>
      </w:pPr>
      <w:r>
        <w:rPr>
          <w:rFonts w:asciiTheme="minorHAnsi" w:eastAsia="SimSun" w:hAnsiTheme="minorHAnsi"/>
          <w:i/>
          <w:sz w:val="20"/>
          <w:lang w:val="sq-AL"/>
        </w:rPr>
        <w:t>Burimi: Ministria e Financave dhe Ekonomisë (2020)</w:t>
      </w:r>
    </w:p>
    <w:p w:rsidR="00D57F4F" w:rsidRDefault="00D57F4F" w:rsidP="00F01315">
      <w:pPr>
        <w:spacing w:line="276" w:lineRule="auto"/>
        <w:jc w:val="both"/>
        <w:rPr>
          <w:rFonts w:asciiTheme="minorHAnsi" w:eastAsia="SimSun" w:hAnsiTheme="minorHAnsi"/>
          <w:i/>
          <w:lang w:val="sq-AL"/>
        </w:rPr>
      </w:pPr>
    </w:p>
    <w:p w:rsidR="00F01315" w:rsidRDefault="00F01315" w:rsidP="00F01315">
      <w:pPr>
        <w:spacing w:line="276" w:lineRule="auto"/>
        <w:jc w:val="both"/>
        <w:rPr>
          <w:rFonts w:asciiTheme="minorHAnsi" w:eastAsia="SimSun" w:hAnsiTheme="minorHAnsi"/>
          <w:lang w:val="sq-AL"/>
        </w:rPr>
      </w:pPr>
      <w:r w:rsidRPr="003F7DB9">
        <w:rPr>
          <w:rFonts w:asciiTheme="minorHAnsi" w:eastAsia="SimSun" w:hAnsiTheme="minorHAnsi"/>
          <w:i/>
          <w:lang w:val="sq-AL"/>
        </w:rPr>
        <w:t>Shpenzimet për Paga</w:t>
      </w:r>
      <w:r w:rsidRPr="003F7DB9">
        <w:rPr>
          <w:rFonts w:asciiTheme="minorHAnsi" w:eastAsia="SimSun" w:hAnsiTheme="minorHAnsi"/>
          <w:lang w:val="sq-AL"/>
        </w:rPr>
        <w:t xml:space="preserve"> në fund të muajit të pestë të vitit 2020 u realizuan në masën rreth 26.9 miliard LEK, duke qenë 1 përqind më të larta se e njëjta periudhë e vitit 2019, ose 265 milion LEK më shumë. Për rrjedhojë, edhe shpenzimet për sigurime shoqërore rezultuan në masën 1.3 përqind më të larta se një vit më parë ose 56 milion LEK më shumë. Realizimi faktik i këtyre zërave së bashku, është në nivelin 98.2 përqind krahasuar me planin e periudhës ose 37.7 përqind e planit vjetor fillestar dhe 38.2 përqind të planit vjetor sipas AN nr.15.</w:t>
      </w:r>
    </w:p>
    <w:p w:rsidR="007F224E" w:rsidRPr="007F224E" w:rsidRDefault="007F224E" w:rsidP="00F01315">
      <w:pPr>
        <w:spacing w:line="276" w:lineRule="auto"/>
        <w:jc w:val="both"/>
        <w:rPr>
          <w:rFonts w:asciiTheme="minorHAnsi" w:eastAsia="SimSun" w:hAnsiTheme="minorHAnsi"/>
          <w:i/>
          <w:sz w:val="8"/>
          <w:szCs w:val="8"/>
          <w:lang w:val="sq-AL"/>
        </w:rPr>
      </w:pPr>
    </w:p>
    <w:p w:rsidR="00070183" w:rsidRPr="0065598A" w:rsidRDefault="00070183" w:rsidP="00CF189F">
      <w:pPr>
        <w:pStyle w:val="Caption"/>
        <w:keepNext/>
        <w:spacing w:after="0"/>
        <w:jc w:val="both"/>
        <w:rPr>
          <w:rFonts w:asciiTheme="minorHAnsi" w:hAnsiTheme="minorHAnsi"/>
          <w:b w:val="0"/>
          <w:bCs w:val="0"/>
          <w:i/>
          <w:color w:val="auto"/>
          <w:sz w:val="24"/>
          <w:szCs w:val="24"/>
          <w:lang w:val="sq-AL"/>
        </w:rPr>
      </w:pPr>
      <w:bookmarkStart w:id="55" w:name="_Toc44404457"/>
      <w:r w:rsidRPr="0065598A">
        <w:rPr>
          <w:rFonts w:asciiTheme="minorHAnsi" w:hAnsiTheme="minorHAnsi"/>
          <w:b w:val="0"/>
          <w:bCs w:val="0"/>
          <w:i/>
          <w:color w:val="auto"/>
          <w:sz w:val="24"/>
          <w:szCs w:val="24"/>
          <w:lang w:val="sq-AL"/>
        </w:rPr>
        <w:t xml:space="preserve">Grafiku </w:t>
      </w:r>
      <w:r w:rsidRPr="0065598A">
        <w:rPr>
          <w:rFonts w:asciiTheme="minorHAnsi" w:hAnsiTheme="minorHAnsi"/>
          <w:b w:val="0"/>
          <w:bCs w:val="0"/>
          <w:i/>
          <w:color w:val="auto"/>
          <w:sz w:val="24"/>
          <w:szCs w:val="24"/>
          <w:lang w:val="sq-AL"/>
        </w:rPr>
        <w:fldChar w:fldCharType="begin"/>
      </w:r>
      <w:r w:rsidRPr="0065598A">
        <w:rPr>
          <w:rFonts w:asciiTheme="minorHAnsi" w:hAnsiTheme="minorHAnsi"/>
          <w:b w:val="0"/>
          <w:bCs w:val="0"/>
          <w:i/>
          <w:color w:val="auto"/>
          <w:sz w:val="24"/>
          <w:szCs w:val="24"/>
          <w:lang w:val="sq-AL"/>
        </w:rPr>
        <w:instrText xml:space="preserve"> SEQ Grafiku \* ARABIC </w:instrText>
      </w:r>
      <w:r w:rsidRPr="0065598A">
        <w:rPr>
          <w:rFonts w:asciiTheme="minorHAnsi" w:hAnsiTheme="minorHAnsi"/>
          <w:b w:val="0"/>
          <w:bCs w:val="0"/>
          <w:i/>
          <w:color w:val="auto"/>
          <w:sz w:val="24"/>
          <w:szCs w:val="24"/>
          <w:lang w:val="sq-AL"/>
        </w:rPr>
        <w:fldChar w:fldCharType="separate"/>
      </w:r>
      <w:r w:rsidR="00C342E2">
        <w:rPr>
          <w:rFonts w:asciiTheme="minorHAnsi" w:hAnsiTheme="minorHAnsi"/>
          <w:b w:val="0"/>
          <w:bCs w:val="0"/>
          <w:i/>
          <w:noProof/>
          <w:color w:val="auto"/>
          <w:sz w:val="24"/>
          <w:szCs w:val="24"/>
          <w:lang w:val="sq-AL"/>
        </w:rPr>
        <w:t>17</w:t>
      </w:r>
      <w:r w:rsidRPr="0065598A">
        <w:rPr>
          <w:rFonts w:asciiTheme="minorHAnsi" w:hAnsiTheme="minorHAnsi"/>
          <w:b w:val="0"/>
          <w:bCs w:val="0"/>
          <w:i/>
          <w:color w:val="auto"/>
          <w:sz w:val="24"/>
          <w:szCs w:val="24"/>
          <w:lang w:val="sq-AL"/>
        </w:rPr>
        <w:fldChar w:fldCharType="end"/>
      </w:r>
      <w:r w:rsidRPr="0065598A">
        <w:rPr>
          <w:rFonts w:asciiTheme="minorHAnsi" w:hAnsiTheme="minorHAnsi"/>
          <w:b w:val="0"/>
          <w:bCs w:val="0"/>
          <w:i/>
          <w:color w:val="auto"/>
          <w:sz w:val="24"/>
          <w:szCs w:val="24"/>
          <w:lang w:val="sq-AL"/>
        </w:rPr>
        <w:t>: Shpenzimet e Pagave dhe ritmi i rritjes së tyre (në miliardë LEK)</w:t>
      </w:r>
      <w:bookmarkEnd w:id="55"/>
    </w:p>
    <w:p w:rsidR="00637131" w:rsidRPr="0065598A" w:rsidRDefault="00F01315" w:rsidP="00CF189F">
      <w:pPr>
        <w:tabs>
          <w:tab w:val="left" w:pos="720"/>
        </w:tabs>
        <w:ind w:left="720" w:hanging="450"/>
        <w:jc w:val="center"/>
        <w:rPr>
          <w:rFonts w:asciiTheme="minorHAnsi" w:eastAsia="SimSun" w:hAnsiTheme="minorHAnsi"/>
          <w:i/>
          <w:lang w:val="sq-AL"/>
        </w:rPr>
      </w:pPr>
      <w:r w:rsidRPr="003F7DB9">
        <w:rPr>
          <w:rFonts w:asciiTheme="minorHAnsi" w:eastAsia="SimSun" w:hAnsiTheme="minorHAnsi"/>
          <w:i/>
          <w:noProof/>
        </w:rPr>
        <w:drawing>
          <wp:inline distT="0" distB="0" distL="0" distR="0" wp14:anchorId="0A1749D0" wp14:editId="3A777114">
            <wp:extent cx="5627370" cy="2400300"/>
            <wp:effectExtent l="38100" t="38100" r="87630" b="9525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5640026" cy="2405698"/>
                    </a:xfrm>
                    <a:prstGeom prst="rect">
                      <a:avLst/>
                    </a:prstGeom>
                    <a:noFill/>
                    <a:effectLst>
                      <a:outerShdw blurRad="50800" dist="38100" dir="2700000" algn="tl" rotWithShape="0">
                        <a:prstClr val="black">
                          <a:alpha val="40000"/>
                        </a:prstClr>
                      </a:outerShdw>
                    </a:effectLst>
                  </pic:spPr>
                </pic:pic>
              </a:graphicData>
            </a:graphic>
          </wp:inline>
        </w:drawing>
      </w:r>
    </w:p>
    <w:p w:rsidR="00637131" w:rsidRPr="0065598A" w:rsidRDefault="00637131" w:rsidP="00CF189F">
      <w:pPr>
        <w:rPr>
          <w:rFonts w:asciiTheme="minorHAnsi" w:eastAsia="SimSun" w:hAnsiTheme="minorHAnsi"/>
          <w:i/>
          <w:sz w:val="20"/>
          <w:lang w:val="sq-AL"/>
        </w:rPr>
      </w:pPr>
      <w:r w:rsidRPr="0065598A">
        <w:rPr>
          <w:rFonts w:asciiTheme="minorHAnsi" w:eastAsia="SimSun" w:hAnsiTheme="minorHAnsi"/>
          <w:i/>
          <w:sz w:val="20"/>
          <w:lang w:val="sq-AL"/>
        </w:rPr>
        <w:t xml:space="preserve">              </w:t>
      </w:r>
      <w:r w:rsidRPr="0065598A">
        <w:rPr>
          <w:rFonts w:asciiTheme="minorHAnsi" w:eastAsia="SimSun" w:hAnsiTheme="minorHAnsi"/>
          <w:i/>
          <w:sz w:val="20"/>
          <w:lang w:val="sq-AL"/>
        </w:rPr>
        <w:tab/>
      </w:r>
      <w:r w:rsidRPr="0065598A">
        <w:rPr>
          <w:rFonts w:asciiTheme="minorHAnsi" w:eastAsia="SimSun" w:hAnsiTheme="minorHAnsi"/>
          <w:i/>
          <w:sz w:val="20"/>
          <w:lang w:val="sq-AL"/>
        </w:rPr>
        <w:tab/>
      </w:r>
      <w:r w:rsidR="00C23C7E">
        <w:rPr>
          <w:rFonts w:asciiTheme="minorHAnsi" w:eastAsia="SimSun" w:hAnsiTheme="minorHAnsi"/>
          <w:i/>
          <w:sz w:val="20"/>
          <w:lang w:val="sq-AL"/>
        </w:rPr>
        <w:t>Burimi: Ministria e Financave dhe Ekonomisë (2020)</w:t>
      </w:r>
    </w:p>
    <w:p w:rsidR="00F01315" w:rsidRPr="007F224E" w:rsidRDefault="00F01315" w:rsidP="00F01315">
      <w:pPr>
        <w:spacing w:line="276" w:lineRule="auto"/>
        <w:jc w:val="both"/>
        <w:rPr>
          <w:rFonts w:asciiTheme="minorHAnsi" w:eastAsia="SimSun" w:hAnsiTheme="minorHAnsi"/>
          <w:i/>
          <w:sz w:val="16"/>
          <w:lang w:val="sq-AL"/>
        </w:rPr>
      </w:pPr>
    </w:p>
    <w:p w:rsidR="00F01315" w:rsidRPr="003F7DB9" w:rsidRDefault="00F01315" w:rsidP="00F01315">
      <w:pPr>
        <w:spacing w:line="276" w:lineRule="auto"/>
        <w:jc w:val="both"/>
        <w:rPr>
          <w:rFonts w:asciiTheme="minorHAnsi" w:eastAsia="SimSun" w:hAnsiTheme="minorHAnsi"/>
          <w:lang w:val="sq-AL"/>
        </w:rPr>
      </w:pPr>
      <w:r w:rsidRPr="003F7DB9">
        <w:rPr>
          <w:rFonts w:asciiTheme="minorHAnsi" w:eastAsia="SimSun" w:hAnsiTheme="minorHAnsi"/>
          <w:i/>
          <w:lang w:val="sq-AL"/>
        </w:rPr>
        <w:t>Shpenzimet për Interesa</w:t>
      </w:r>
      <w:r w:rsidRPr="003F7DB9">
        <w:rPr>
          <w:rFonts w:asciiTheme="minorHAnsi" w:eastAsia="SimSun" w:hAnsiTheme="minorHAnsi"/>
          <w:lang w:val="sq-AL"/>
        </w:rPr>
        <w:t xml:space="preserve"> gjatë periudhës 5 mujore 2020 kanë arritur në masën rreth 13.05 miliard LEK duke përfaqësuar 7.8 përqind të shpenzimeve korente. Niveli faktik i tyre ka rezultuar në masën 98 përqind të planit të periudhës. Në raport me planin vjetor, në nivel 5 mujori këto shpenzime janë realizuar në masën 31.9 përqind e planit vjetor sipas Buxhetit fillestar dhe 31.5 përqind e planit vjetor sipas AN nr.15. Krahasuar me të njëjtën periudhë të vitit 2019, ky zë ka rezultuar 7.6 përqind më i ulët ose 1.07 miliard LEK më pak. </w:t>
      </w:r>
    </w:p>
    <w:p w:rsidR="00070183" w:rsidRPr="0065598A" w:rsidRDefault="00070183" w:rsidP="00CF189F">
      <w:pPr>
        <w:pStyle w:val="Caption"/>
        <w:keepNext/>
        <w:spacing w:after="0"/>
        <w:jc w:val="both"/>
        <w:rPr>
          <w:rFonts w:asciiTheme="minorHAnsi" w:hAnsiTheme="minorHAnsi"/>
          <w:b w:val="0"/>
          <w:bCs w:val="0"/>
          <w:i/>
          <w:color w:val="auto"/>
          <w:sz w:val="24"/>
          <w:szCs w:val="24"/>
          <w:lang w:val="sq-AL"/>
        </w:rPr>
      </w:pPr>
      <w:bookmarkStart w:id="56" w:name="_Toc44404458"/>
      <w:r w:rsidRPr="0065598A">
        <w:rPr>
          <w:rFonts w:asciiTheme="minorHAnsi" w:hAnsiTheme="minorHAnsi"/>
          <w:b w:val="0"/>
          <w:bCs w:val="0"/>
          <w:i/>
          <w:color w:val="auto"/>
          <w:sz w:val="24"/>
          <w:szCs w:val="24"/>
          <w:lang w:val="sq-AL"/>
        </w:rPr>
        <w:lastRenderedPageBreak/>
        <w:t xml:space="preserve">Grafiku </w:t>
      </w:r>
      <w:r w:rsidRPr="0065598A">
        <w:rPr>
          <w:rFonts w:asciiTheme="minorHAnsi" w:hAnsiTheme="minorHAnsi"/>
          <w:b w:val="0"/>
          <w:bCs w:val="0"/>
          <w:i/>
          <w:color w:val="auto"/>
          <w:sz w:val="24"/>
          <w:szCs w:val="24"/>
          <w:lang w:val="sq-AL"/>
        </w:rPr>
        <w:fldChar w:fldCharType="begin"/>
      </w:r>
      <w:r w:rsidRPr="0065598A">
        <w:rPr>
          <w:rFonts w:asciiTheme="minorHAnsi" w:hAnsiTheme="minorHAnsi"/>
          <w:b w:val="0"/>
          <w:bCs w:val="0"/>
          <w:i/>
          <w:color w:val="auto"/>
          <w:sz w:val="24"/>
          <w:szCs w:val="24"/>
          <w:lang w:val="sq-AL"/>
        </w:rPr>
        <w:instrText xml:space="preserve"> SEQ Grafiku \* ARABIC </w:instrText>
      </w:r>
      <w:r w:rsidRPr="0065598A">
        <w:rPr>
          <w:rFonts w:asciiTheme="minorHAnsi" w:hAnsiTheme="minorHAnsi"/>
          <w:b w:val="0"/>
          <w:bCs w:val="0"/>
          <w:i/>
          <w:color w:val="auto"/>
          <w:sz w:val="24"/>
          <w:szCs w:val="24"/>
          <w:lang w:val="sq-AL"/>
        </w:rPr>
        <w:fldChar w:fldCharType="separate"/>
      </w:r>
      <w:r w:rsidR="00C342E2">
        <w:rPr>
          <w:rFonts w:asciiTheme="minorHAnsi" w:hAnsiTheme="minorHAnsi"/>
          <w:b w:val="0"/>
          <w:bCs w:val="0"/>
          <w:i/>
          <w:noProof/>
          <w:color w:val="auto"/>
          <w:sz w:val="24"/>
          <w:szCs w:val="24"/>
          <w:lang w:val="sq-AL"/>
        </w:rPr>
        <w:t>18</w:t>
      </w:r>
      <w:r w:rsidRPr="0065598A">
        <w:rPr>
          <w:rFonts w:asciiTheme="minorHAnsi" w:hAnsiTheme="minorHAnsi"/>
          <w:b w:val="0"/>
          <w:bCs w:val="0"/>
          <w:i/>
          <w:color w:val="auto"/>
          <w:sz w:val="24"/>
          <w:szCs w:val="24"/>
          <w:lang w:val="sq-AL"/>
        </w:rPr>
        <w:fldChar w:fldCharType="end"/>
      </w:r>
      <w:r w:rsidRPr="0065598A">
        <w:rPr>
          <w:rFonts w:asciiTheme="minorHAnsi" w:hAnsiTheme="minorHAnsi"/>
          <w:b w:val="0"/>
          <w:bCs w:val="0"/>
          <w:i/>
          <w:color w:val="auto"/>
          <w:sz w:val="24"/>
          <w:szCs w:val="24"/>
          <w:lang w:val="sq-AL"/>
        </w:rPr>
        <w:t>: Shpenzimet për Interesa (në miliardë LEK)</w:t>
      </w:r>
      <w:bookmarkEnd w:id="56"/>
      <w:r w:rsidRPr="0065598A">
        <w:rPr>
          <w:rFonts w:asciiTheme="minorHAnsi" w:hAnsiTheme="minorHAnsi"/>
          <w:b w:val="0"/>
          <w:bCs w:val="0"/>
          <w:i/>
          <w:color w:val="auto"/>
          <w:sz w:val="24"/>
          <w:szCs w:val="24"/>
          <w:lang w:val="sq-AL"/>
        </w:rPr>
        <w:t xml:space="preserve"> </w:t>
      </w:r>
    </w:p>
    <w:p w:rsidR="00637131" w:rsidRPr="0065598A" w:rsidRDefault="00F01315" w:rsidP="00F01315">
      <w:pPr>
        <w:ind w:right="270"/>
        <w:jc w:val="center"/>
        <w:rPr>
          <w:rFonts w:asciiTheme="minorHAnsi" w:eastAsia="SimSun" w:hAnsiTheme="minorHAnsi"/>
          <w:i/>
          <w:lang w:val="sq-AL"/>
        </w:rPr>
      </w:pPr>
      <w:r w:rsidRPr="003F7DB9">
        <w:rPr>
          <w:rFonts w:asciiTheme="minorHAnsi" w:eastAsia="SimSun" w:hAnsiTheme="minorHAnsi"/>
          <w:i/>
          <w:noProof/>
        </w:rPr>
        <w:drawing>
          <wp:inline distT="0" distB="0" distL="0" distR="0" wp14:anchorId="1339CECE" wp14:editId="2BBF73B4">
            <wp:extent cx="6004560" cy="1638300"/>
            <wp:effectExtent l="38100" t="38100" r="91440" b="9525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6022215" cy="1643117"/>
                    </a:xfrm>
                    <a:prstGeom prst="rect">
                      <a:avLst/>
                    </a:prstGeom>
                    <a:noFill/>
                    <a:effectLst>
                      <a:outerShdw blurRad="50800" dist="38100" dir="2700000" algn="tl" rotWithShape="0">
                        <a:prstClr val="black">
                          <a:alpha val="40000"/>
                        </a:prstClr>
                      </a:outerShdw>
                    </a:effectLst>
                  </pic:spPr>
                </pic:pic>
              </a:graphicData>
            </a:graphic>
          </wp:inline>
        </w:drawing>
      </w:r>
    </w:p>
    <w:p w:rsidR="00637131" w:rsidRPr="0065598A" w:rsidRDefault="00CE0E07" w:rsidP="00CF189F">
      <w:pPr>
        <w:rPr>
          <w:rFonts w:asciiTheme="minorHAnsi" w:eastAsia="SimSun" w:hAnsiTheme="minorHAnsi"/>
          <w:i/>
          <w:sz w:val="20"/>
          <w:lang w:val="sq-AL"/>
        </w:rPr>
      </w:pPr>
      <w:r w:rsidRPr="0065598A">
        <w:rPr>
          <w:rFonts w:asciiTheme="minorHAnsi" w:eastAsia="SimSun" w:hAnsiTheme="minorHAnsi"/>
          <w:i/>
          <w:sz w:val="20"/>
          <w:lang w:val="sq-AL"/>
        </w:rPr>
        <w:t xml:space="preserve">                    </w:t>
      </w:r>
      <w:r w:rsidR="00C23C7E">
        <w:rPr>
          <w:rFonts w:asciiTheme="minorHAnsi" w:eastAsia="SimSun" w:hAnsiTheme="minorHAnsi"/>
          <w:i/>
          <w:sz w:val="20"/>
          <w:lang w:val="sq-AL"/>
        </w:rPr>
        <w:t>Burimi: Ministria e Financave dhe Ekonomisë (2020)</w:t>
      </w:r>
    </w:p>
    <w:p w:rsidR="00F01315" w:rsidRPr="007F224E" w:rsidRDefault="00F01315" w:rsidP="00F01315">
      <w:pPr>
        <w:spacing w:line="276" w:lineRule="auto"/>
        <w:jc w:val="both"/>
        <w:rPr>
          <w:rFonts w:asciiTheme="minorHAnsi" w:eastAsia="SimSun" w:hAnsiTheme="minorHAnsi"/>
          <w:i/>
          <w:sz w:val="12"/>
          <w:lang w:val="sq-AL"/>
        </w:rPr>
      </w:pPr>
    </w:p>
    <w:p w:rsidR="00F01315" w:rsidRPr="003F7DB9" w:rsidRDefault="00F01315" w:rsidP="00F01315">
      <w:pPr>
        <w:spacing w:line="276" w:lineRule="auto"/>
        <w:jc w:val="both"/>
        <w:rPr>
          <w:rFonts w:asciiTheme="minorHAnsi" w:eastAsia="SimSun" w:hAnsiTheme="minorHAnsi"/>
          <w:lang w:val="sq-AL"/>
        </w:rPr>
      </w:pPr>
      <w:r w:rsidRPr="003F7DB9">
        <w:rPr>
          <w:rFonts w:asciiTheme="minorHAnsi" w:eastAsia="SimSun" w:hAnsiTheme="minorHAnsi"/>
          <w:i/>
          <w:lang w:val="sq-AL"/>
        </w:rPr>
        <w:t xml:space="preserve">Shpenzimet Operative &amp; Mirëmbajtje, </w:t>
      </w:r>
      <w:r w:rsidRPr="003F7DB9">
        <w:rPr>
          <w:rFonts w:asciiTheme="minorHAnsi" w:eastAsia="SimSun" w:hAnsiTheme="minorHAnsi"/>
          <w:lang w:val="sq-AL"/>
        </w:rPr>
        <w:t>gjatë periudhës 5 mujore të vitit 2020, kanë shënuar një realizim në masën rreth 16.66 miliard LEK ose 90.7 përqind të planit të periudhës.</w:t>
      </w:r>
      <w:r w:rsidRPr="003F7DB9">
        <w:rPr>
          <w:rFonts w:asciiTheme="minorHAnsi" w:hAnsiTheme="minorHAnsi"/>
        </w:rPr>
        <w:t xml:space="preserve"> </w:t>
      </w:r>
      <w:r w:rsidRPr="003F7DB9">
        <w:rPr>
          <w:rFonts w:asciiTheme="minorHAnsi" w:eastAsia="SimSun" w:hAnsiTheme="minorHAnsi"/>
          <w:lang w:val="sq-AL"/>
        </w:rPr>
        <w:t xml:space="preserve">Niveli faktik i tyre ka rezultuar në masën 33.4 përqind të planit vjetor sipas </w:t>
      </w:r>
      <w:r w:rsidR="005A754A">
        <w:rPr>
          <w:rFonts w:asciiTheme="minorHAnsi" w:eastAsia="SimSun" w:hAnsiTheme="minorHAnsi"/>
          <w:lang w:val="sq-AL"/>
        </w:rPr>
        <w:t>b</w:t>
      </w:r>
      <w:r w:rsidRPr="003F7DB9">
        <w:rPr>
          <w:rFonts w:asciiTheme="minorHAnsi" w:eastAsia="SimSun" w:hAnsiTheme="minorHAnsi"/>
          <w:lang w:val="sq-AL"/>
        </w:rPr>
        <w:t>uxhetit fillestar dhe 33.8 përqind e planit vjetor sipas AN nr.15. K</w:t>
      </w:r>
      <w:r w:rsidRPr="003F7DB9">
        <w:rPr>
          <w:rFonts w:asciiTheme="minorHAnsi" w:hAnsiTheme="minorHAnsi"/>
          <w:lang w:val="sq-AL"/>
        </w:rPr>
        <w:t xml:space="preserve">rahasuar me të njëjtën </w:t>
      </w:r>
      <w:r w:rsidRPr="003F7DB9">
        <w:rPr>
          <w:rFonts w:asciiTheme="minorHAnsi" w:eastAsia="SimSun" w:hAnsiTheme="minorHAnsi"/>
          <w:lang w:val="sq-AL"/>
        </w:rPr>
        <w:t xml:space="preserve">periudhë të vitit 2019, ky zë ka rezultuar 8 përqind më i ulët, ose rreth 1.46 miliard LEK më pak.      </w:t>
      </w:r>
    </w:p>
    <w:p w:rsidR="005D4A49" w:rsidRPr="0065598A" w:rsidRDefault="00070183" w:rsidP="004E1EC8">
      <w:pPr>
        <w:pStyle w:val="Caption"/>
        <w:keepNext/>
        <w:spacing w:before="240" w:after="0"/>
        <w:jc w:val="both"/>
        <w:rPr>
          <w:rFonts w:asciiTheme="minorHAnsi" w:hAnsiTheme="minorHAnsi"/>
          <w:b w:val="0"/>
          <w:bCs w:val="0"/>
          <w:i/>
          <w:color w:val="auto"/>
          <w:sz w:val="24"/>
          <w:szCs w:val="24"/>
          <w:lang w:val="sq-AL"/>
        </w:rPr>
      </w:pPr>
      <w:bookmarkStart w:id="57" w:name="_Toc44404459"/>
      <w:r w:rsidRPr="0065598A">
        <w:rPr>
          <w:rFonts w:asciiTheme="minorHAnsi" w:hAnsiTheme="minorHAnsi"/>
          <w:b w:val="0"/>
          <w:bCs w:val="0"/>
          <w:i/>
          <w:color w:val="auto"/>
          <w:sz w:val="24"/>
          <w:szCs w:val="24"/>
          <w:lang w:val="sq-AL"/>
        </w:rPr>
        <w:t xml:space="preserve">Grafiku </w:t>
      </w:r>
      <w:r w:rsidRPr="0065598A">
        <w:rPr>
          <w:rFonts w:asciiTheme="minorHAnsi" w:hAnsiTheme="minorHAnsi"/>
          <w:b w:val="0"/>
          <w:bCs w:val="0"/>
          <w:i/>
          <w:color w:val="auto"/>
          <w:sz w:val="24"/>
          <w:szCs w:val="24"/>
          <w:lang w:val="sq-AL"/>
        </w:rPr>
        <w:fldChar w:fldCharType="begin"/>
      </w:r>
      <w:r w:rsidRPr="0065598A">
        <w:rPr>
          <w:rFonts w:asciiTheme="minorHAnsi" w:hAnsiTheme="minorHAnsi"/>
          <w:b w:val="0"/>
          <w:bCs w:val="0"/>
          <w:i/>
          <w:color w:val="auto"/>
          <w:sz w:val="24"/>
          <w:szCs w:val="24"/>
          <w:lang w:val="sq-AL"/>
        </w:rPr>
        <w:instrText xml:space="preserve"> SEQ Grafiku \* ARABIC </w:instrText>
      </w:r>
      <w:r w:rsidRPr="0065598A">
        <w:rPr>
          <w:rFonts w:asciiTheme="minorHAnsi" w:hAnsiTheme="minorHAnsi"/>
          <w:b w:val="0"/>
          <w:bCs w:val="0"/>
          <w:i/>
          <w:color w:val="auto"/>
          <w:sz w:val="24"/>
          <w:szCs w:val="24"/>
          <w:lang w:val="sq-AL"/>
        </w:rPr>
        <w:fldChar w:fldCharType="separate"/>
      </w:r>
      <w:r w:rsidR="00C342E2">
        <w:rPr>
          <w:rFonts w:asciiTheme="minorHAnsi" w:hAnsiTheme="minorHAnsi"/>
          <w:b w:val="0"/>
          <w:bCs w:val="0"/>
          <w:i/>
          <w:noProof/>
          <w:color w:val="auto"/>
          <w:sz w:val="24"/>
          <w:szCs w:val="24"/>
          <w:lang w:val="sq-AL"/>
        </w:rPr>
        <w:t>19</w:t>
      </w:r>
      <w:r w:rsidRPr="0065598A">
        <w:rPr>
          <w:rFonts w:asciiTheme="minorHAnsi" w:hAnsiTheme="minorHAnsi"/>
          <w:b w:val="0"/>
          <w:bCs w:val="0"/>
          <w:i/>
          <w:color w:val="auto"/>
          <w:sz w:val="24"/>
          <w:szCs w:val="24"/>
          <w:lang w:val="sq-AL"/>
        </w:rPr>
        <w:fldChar w:fldCharType="end"/>
      </w:r>
      <w:r w:rsidRPr="0065598A">
        <w:rPr>
          <w:rFonts w:asciiTheme="minorHAnsi" w:hAnsiTheme="minorHAnsi"/>
          <w:b w:val="0"/>
          <w:bCs w:val="0"/>
          <w:i/>
          <w:color w:val="auto"/>
          <w:sz w:val="24"/>
          <w:szCs w:val="24"/>
          <w:lang w:val="sq-AL"/>
        </w:rPr>
        <w:t>: Shpenzimet Operative dhe ritmi i rritjes së tyre (në miliardë LEK)</w:t>
      </w:r>
      <w:bookmarkEnd w:id="57"/>
    </w:p>
    <w:p w:rsidR="00637131" w:rsidRPr="0065598A" w:rsidRDefault="00F01315" w:rsidP="00927E64">
      <w:pPr>
        <w:pStyle w:val="Caption"/>
        <w:spacing w:after="0"/>
        <w:ind w:right="360"/>
        <w:jc w:val="center"/>
        <w:rPr>
          <w:rFonts w:asciiTheme="minorHAnsi" w:hAnsiTheme="minorHAnsi"/>
          <w:b w:val="0"/>
          <w:bCs w:val="0"/>
          <w:i/>
          <w:color w:val="auto"/>
          <w:sz w:val="24"/>
          <w:szCs w:val="24"/>
          <w:lang w:val="sq-AL"/>
        </w:rPr>
      </w:pPr>
      <w:r w:rsidRPr="003F7DB9">
        <w:rPr>
          <w:rFonts w:asciiTheme="minorHAnsi" w:eastAsia="SimSun" w:hAnsiTheme="minorHAnsi"/>
          <w:i/>
          <w:noProof/>
        </w:rPr>
        <w:drawing>
          <wp:inline distT="0" distB="0" distL="0" distR="0" wp14:anchorId="6AC68313" wp14:editId="5C9F6311">
            <wp:extent cx="5584190" cy="1722120"/>
            <wp:effectExtent l="38100" t="38100" r="92710" b="8763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5584190" cy="1722120"/>
                    </a:xfrm>
                    <a:prstGeom prst="rect">
                      <a:avLst/>
                    </a:prstGeom>
                    <a:noFill/>
                    <a:effectLst>
                      <a:outerShdw blurRad="50800" dist="38100" dir="2700000" algn="tl" rotWithShape="0">
                        <a:prstClr val="black">
                          <a:alpha val="40000"/>
                        </a:prstClr>
                      </a:outerShdw>
                    </a:effectLst>
                  </pic:spPr>
                </pic:pic>
              </a:graphicData>
            </a:graphic>
          </wp:inline>
        </w:drawing>
      </w:r>
    </w:p>
    <w:p w:rsidR="00637131" w:rsidRPr="0065598A" w:rsidRDefault="00637131" w:rsidP="00637131">
      <w:pPr>
        <w:spacing w:line="276" w:lineRule="auto"/>
        <w:rPr>
          <w:rFonts w:asciiTheme="minorHAnsi" w:eastAsia="SimSun" w:hAnsiTheme="minorHAnsi"/>
          <w:i/>
          <w:sz w:val="20"/>
          <w:lang w:val="sq-AL"/>
        </w:rPr>
      </w:pPr>
      <w:r w:rsidRPr="0065598A">
        <w:rPr>
          <w:rFonts w:asciiTheme="minorHAnsi" w:eastAsia="SimSun" w:hAnsiTheme="minorHAnsi"/>
          <w:i/>
          <w:sz w:val="20"/>
          <w:lang w:val="sq-AL"/>
        </w:rPr>
        <w:t xml:space="preserve">                  </w:t>
      </w:r>
      <w:r w:rsidR="00C23C7E">
        <w:rPr>
          <w:rFonts w:asciiTheme="minorHAnsi" w:eastAsia="SimSun" w:hAnsiTheme="minorHAnsi"/>
          <w:i/>
          <w:sz w:val="20"/>
          <w:lang w:val="sq-AL"/>
        </w:rPr>
        <w:t>Burimi: Ministria e Financave dhe Ekonomisë (2020)</w:t>
      </w:r>
    </w:p>
    <w:p w:rsidR="00F01315" w:rsidRPr="007F224E" w:rsidRDefault="00F01315" w:rsidP="00F01315">
      <w:pPr>
        <w:spacing w:line="276" w:lineRule="auto"/>
        <w:jc w:val="both"/>
        <w:rPr>
          <w:rFonts w:asciiTheme="minorHAnsi" w:eastAsia="SimSun" w:hAnsiTheme="minorHAnsi"/>
          <w:i/>
          <w:sz w:val="8"/>
          <w:lang w:val="sq-AL"/>
        </w:rPr>
      </w:pPr>
    </w:p>
    <w:p w:rsidR="00F01315" w:rsidRPr="003F7DB9" w:rsidRDefault="00F01315" w:rsidP="00F01315">
      <w:pPr>
        <w:spacing w:line="276" w:lineRule="auto"/>
        <w:jc w:val="both"/>
        <w:rPr>
          <w:rFonts w:asciiTheme="minorHAnsi" w:eastAsia="SimSun" w:hAnsiTheme="minorHAnsi"/>
          <w:lang w:val="sq-AL"/>
        </w:rPr>
      </w:pPr>
      <w:r w:rsidRPr="003F7DB9">
        <w:rPr>
          <w:rFonts w:asciiTheme="minorHAnsi" w:eastAsia="SimSun" w:hAnsiTheme="minorHAnsi"/>
          <w:i/>
          <w:lang w:val="sq-AL"/>
        </w:rPr>
        <w:t>Shpenzimet për Subvencione,</w:t>
      </w:r>
      <w:r w:rsidRPr="003F7DB9">
        <w:rPr>
          <w:rFonts w:asciiTheme="minorHAnsi" w:eastAsia="SimSun" w:hAnsiTheme="minorHAnsi"/>
          <w:lang w:val="sq-AL"/>
        </w:rPr>
        <w:t xml:space="preserve"> në fund të muajit të pestë të vitit 2020, arritën nivelin 337 milion LEK, </w:t>
      </w:r>
      <w:r w:rsidRPr="003F7DB9">
        <w:rPr>
          <w:rFonts w:asciiTheme="minorHAnsi" w:hAnsiTheme="minorHAnsi"/>
          <w:lang w:val="sq-AL"/>
        </w:rPr>
        <w:t xml:space="preserve">me një realizim </w:t>
      </w:r>
      <w:r w:rsidRPr="003F7DB9">
        <w:rPr>
          <w:rFonts w:asciiTheme="minorHAnsi" w:eastAsia="SimSun" w:hAnsiTheme="minorHAnsi"/>
          <w:lang w:val="sq-AL"/>
        </w:rPr>
        <w:t xml:space="preserve">në masën 91.7 përqind të planit të periudhës ose 31 milion LEK më pak. </w:t>
      </w:r>
      <w:r w:rsidRPr="003F7DB9">
        <w:rPr>
          <w:rFonts w:asciiTheme="minorHAnsi" w:hAnsiTheme="minorHAnsi"/>
          <w:lang w:val="sq-AL"/>
        </w:rPr>
        <w:t xml:space="preserve">Në raport me planin </w:t>
      </w:r>
      <w:r w:rsidRPr="003F7DB9">
        <w:rPr>
          <w:rFonts w:asciiTheme="minorHAnsi" w:eastAsia="SimSun" w:hAnsiTheme="minorHAnsi"/>
          <w:lang w:val="sq-AL"/>
        </w:rPr>
        <w:t xml:space="preserve">vjetor, ky zë është realizuar në masën 26.1 përqind të planit vjetor fillestar dhe 25.2 përqind të planit vjetor sipas AN nr.15. Kundrejt të njëjtës periudhë të vitit 2019 </w:t>
      </w:r>
      <w:r w:rsidRPr="003F7DB9">
        <w:rPr>
          <w:rFonts w:asciiTheme="minorHAnsi" w:hAnsiTheme="minorHAnsi"/>
          <w:lang w:val="sq-AL"/>
        </w:rPr>
        <w:t>shpenzimet për subvencione</w:t>
      </w:r>
      <w:r w:rsidRPr="003F7DB9">
        <w:rPr>
          <w:rFonts w:asciiTheme="minorHAnsi" w:eastAsia="SimSun" w:hAnsiTheme="minorHAnsi"/>
          <w:lang w:val="sq-AL"/>
        </w:rPr>
        <w:t xml:space="preserve"> rezultojnë 31 përqind më të ulëta ose 152 milion LEK më pak.</w:t>
      </w:r>
    </w:p>
    <w:p w:rsidR="00070183" w:rsidRPr="0065598A" w:rsidRDefault="00070183" w:rsidP="008611A9">
      <w:pPr>
        <w:pStyle w:val="Caption"/>
        <w:keepNext/>
        <w:spacing w:before="240" w:after="0"/>
        <w:jc w:val="both"/>
        <w:rPr>
          <w:rFonts w:asciiTheme="minorHAnsi" w:hAnsiTheme="minorHAnsi"/>
          <w:b w:val="0"/>
          <w:bCs w:val="0"/>
          <w:i/>
          <w:color w:val="auto"/>
          <w:sz w:val="24"/>
          <w:szCs w:val="24"/>
          <w:lang w:val="sq-AL"/>
        </w:rPr>
      </w:pPr>
      <w:bookmarkStart w:id="58" w:name="_Toc44404460"/>
      <w:r w:rsidRPr="0065598A">
        <w:rPr>
          <w:rFonts w:asciiTheme="minorHAnsi" w:hAnsiTheme="minorHAnsi"/>
          <w:b w:val="0"/>
          <w:bCs w:val="0"/>
          <w:i/>
          <w:color w:val="auto"/>
          <w:sz w:val="24"/>
          <w:szCs w:val="24"/>
          <w:lang w:val="sq-AL"/>
        </w:rPr>
        <w:t xml:space="preserve">Grafiku </w:t>
      </w:r>
      <w:r w:rsidRPr="0065598A">
        <w:rPr>
          <w:rFonts w:asciiTheme="minorHAnsi" w:hAnsiTheme="minorHAnsi"/>
          <w:b w:val="0"/>
          <w:bCs w:val="0"/>
          <w:i/>
          <w:color w:val="auto"/>
          <w:sz w:val="24"/>
          <w:szCs w:val="24"/>
          <w:lang w:val="sq-AL"/>
        </w:rPr>
        <w:fldChar w:fldCharType="begin"/>
      </w:r>
      <w:r w:rsidRPr="0065598A">
        <w:rPr>
          <w:rFonts w:asciiTheme="minorHAnsi" w:hAnsiTheme="minorHAnsi"/>
          <w:b w:val="0"/>
          <w:bCs w:val="0"/>
          <w:i/>
          <w:color w:val="auto"/>
          <w:sz w:val="24"/>
          <w:szCs w:val="24"/>
          <w:lang w:val="sq-AL"/>
        </w:rPr>
        <w:instrText xml:space="preserve"> SEQ Grafiku \* ARABIC </w:instrText>
      </w:r>
      <w:r w:rsidRPr="0065598A">
        <w:rPr>
          <w:rFonts w:asciiTheme="minorHAnsi" w:hAnsiTheme="minorHAnsi"/>
          <w:b w:val="0"/>
          <w:bCs w:val="0"/>
          <w:i/>
          <w:color w:val="auto"/>
          <w:sz w:val="24"/>
          <w:szCs w:val="24"/>
          <w:lang w:val="sq-AL"/>
        </w:rPr>
        <w:fldChar w:fldCharType="separate"/>
      </w:r>
      <w:r w:rsidR="00C342E2">
        <w:rPr>
          <w:rFonts w:asciiTheme="minorHAnsi" w:hAnsiTheme="minorHAnsi"/>
          <w:b w:val="0"/>
          <w:bCs w:val="0"/>
          <w:i/>
          <w:noProof/>
          <w:color w:val="auto"/>
          <w:sz w:val="24"/>
          <w:szCs w:val="24"/>
          <w:lang w:val="sq-AL"/>
        </w:rPr>
        <w:t>20</w:t>
      </w:r>
      <w:r w:rsidRPr="0065598A">
        <w:rPr>
          <w:rFonts w:asciiTheme="minorHAnsi" w:hAnsiTheme="minorHAnsi"/>
          <w:b w:val="0"/>
          <w:bCs w:val="0"/>
          <w:i/>
          <w:color w:val="auto"/>
          <w:sz w:val="24"/>
          <w:szCs w:val="24"/>
          <w:lang w:val="sq-AL"/>
        </w:rPr>
        <w:fldChar w:fldCharType="end"/>
      </w:r>
      <w:r w:rsidRPr="0065598A">
        <w:rPr>
          <w:rFonts w:asciiTheme="minorHAnsi" w:hAnsiTheme="minorHAnsi"/>
          <w:b w:val="0"/>
          <w:bCs w:val="0"/>
          <w:i/>
          <w:color w:val="auto"/>
          <w:sz w:val="24"/>
          <w:szCs w:val="24"/>
          <w:lang w:val="sq-AL"/>
        </w:rPr>
        <w:t>: Shpenzimet për Subvencione dhe ritmi i rritjes së tyre (në miliardë LEK)</w:t>
      </w:r>
      <w:bookmarkEnd w:id="58"/>
      <w:r w:rsidRPr="0065598A">
        <w:rPr>
          <w:rFonts w:asciiTheme="minorHAnsi" w:hAnsiTheme="minorHAnsi"/>
          <w:b w:val="0"/>
          <w:bCs w:val="0"/>
          <w:i/>
          <w:color w:val="auto"/>
          <w:sz w:val="24"/>
          <w:szCs w:val="24"/>
          <w:lang w:val="sq-AL"/>
        </w:rPr>
        <w:t xml:space="preserve"> </w:t>
      </w:r>
    </w:p>
    <w:p w:rsidR="00637131" w:rsidRPr="0065598A" w:rsidRDefault="00F01315" w:rsidP="00B6070F">
      <w:pPr>
        <w:spacing w:line="276" w:lineRule="auto"/>
        <w:jc w:val="center"/>
        <w:rPr>
          <w:rFonts w:asciiTheme="minorHAnsi" w:eastAsia="SimSun" w:hAnsiTheme="minorHAnsi"/>
          <w:i/>
          <w:lang w:val="sq-AL"/>
        </w:rPr>
      </w:pPr>
      <w:r w:rsidRPr="003F7DB9">
        <w:rPr>
          <w:rFonts w:asciiTheme="minorHAnsi" w:eastAsia="SimSun" w:hAnsiTheme="minorHAnsi"/>
          <w:i/>
          <w:noProof/>
        </w:rPr>
        <w:drawing>
          <wp:inline distT="0" distB="0" distL="0" distR="0" wp14:anchorId="69A8640E" wp14:editId="7C1367F7">
            <wp:extent cx="5631180" cy="1722120"/>
            <wp:effectExtent l="38100" t="38100" r="102870" b="8763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5646706" cy="1726868"/>
                    </a:xfrm>
                    <a:prstGeom prst="rect">
                      <a:avLst/>
                    </a:prstGeom>
                    <a:noFill/>
                    <a:effectLst>
                      <a:outerShdw blurRad="50800" dist="38100" dir="2700000" algn="tl" rotWithShape="0">
                        <a:prstClr val="black">
                          <a:alpha val="40000"/>
                        </a:prstClr>
                      </a:outerShdw>
                    </a:effectLst>
                  </pic:spPr>
                </pic:pic>
              </a:graphicData>
            </a:graphic>
          </wp:inline>
        </w:drawing>
      </w:r>
    </w:p>
    <w:p w:rsidR="00637131" w:rsidRPr="0065598A" w:rsidRDefault="00C12129" w:rsidP="00637131">
      <w:pPr>
        <w:spacing w:line="276" w:lineRule="auto"/>
        <w:rPr>
          <w:rFonts w:asciiTheme="minorHAnsi" w:eastAsia="SimSun" w:hAnsiTheme="minorHAnsi"/>
          <w:i/>
          <w:sz w:val="16"/>
          <w:szCs w:val="16"/>
          <w:lang w:val="sq-AL"/>
        </w:rPr>
      </w:pPr>
      <w:r w:rsidRPr="0065598A">
        <w:rPr>
          <w:rFonts w:asciiTheme="minorHAnsi" w:eastAsia="SimSun" w:hAnsiTheme="minorHAnsi"/>
          <w:i/>
          <w:sz w:val="20"/>
          <w:lang w:val="sq-AL"/>
        </w:rPr>
        <w:t xml:space="preserve">          </w:t>
      </w:r>
      <w:r w:rsidRPr="0065598A">
        <w:rPr>
          <w:rFonts w:asciiTheme="minorHAnsi" w:eastAsia="SimSun" w:hAnsiTheme="minorHAnsi"/>
          <w:i/>
          <w:sz w:val="20"/>
          <w:lang w:val="sq-AL"/>
        </w:rPr>
        <w:tab/>
        <w:t xml:space="preserve"> </w:t>
      </w:r>
      <w:r w:rsidR="00C23C7E">
        <w:rPr>
          <w:rFonts w:asciiTheme="minorHAnsi" w:eastAsia="SimSun" w:hAnsiTheme="minorHAnsi"/>
          <w:i/>
          <w:sz w:val="20"/>
          <w:lang w:val="sq-AL"/>
        </w:rPr>
        <w:t>Burimi: Ministria e Financave dhe Ekonomisë (2020)</w:t>
      </w:r>
    </w:p>
    <w:p w:rsidR="00F01315" w:rsidRDefault="00F01315" w:rsidP="00F01315">
      <w:pPr>
        <w:spacing w:line="276" w:lineRule="auto"/>
        <w:jc w:val="both"/>
        <w:rPr>
          <w:rFonts w:asciiTheme="minorHAnsi" w:eastAsia="SimSun" w:hAnsiTheme="minorHAnsi"/>
          <w:lang w:val="sq-AL"/>
        </w:rPr>
      </w:pPr>
      <w:r w:rsidRPr="003F7DB9">
        <w:rPr>
          <w:rFonts w:asciiTheme="minorHAnsi" w:eastAsia="SimSun" w:hAnsiTheme="minorHAnsi"/>
          <w:i/>
          <w:lang w:val="sq-AL"/>
        </w:rPr>
        <w:lastRenderedPageBreak/>
        <w:t>Shpenzimet për Fondet Speciale</w:t>
      </w:r>
      <w:r w:rsidRPr="003F7DB9">
        <w:rPr>
          <w:rFonts w:asciiTheme="minorHAnsi" w:eastAsia="SimSun" w:hAnsiTheme="minorHAnsi"/>
          <w:lang w:val="sq-AL"/>
        </w:rPr>
        <w:t xml:space="preserve"> </w:t>
      </w:r>
      <w:r w:rsidRPr="003F7DB9">
        <w:rPr>
          <w:rFonts w:asciiTheme="minorHAnsi" w:hAnsiTheme="minorHAnsi"/>
          <w:lang w:val="sq-AL"/>
        </w:rPr>
        <w:t xml:space="preserve">për muajin e pestë të vitit 2020 </w:t>
      </w:r>
      <w:r w:rsidRPr="003F7DB9">
        <w:rPr>
          <w:rFonts w:asciiTheme="minorHAnsi" w:eastAsia="SimSun" w:hAnsiTheme="minorHAnsi"/>
          <w:lang w:val="sq-AL"/>
        </w:rPr>
        <w:t>rezultuan në nivelin rreth 67.95 miliard LEK, me një realizim prej 93 përqind kundrejt planit të periudhës. Përkatësisht</w:t>
      </w:r>
      <w:r>
        <w:rPr>
          <w:rFonts w:asciiTheme="minorHAnsi" w:eastAsia="SimSun" w:hAnsiTheme="minorHAnsi"/>
          <w:lang w:val="sq-AL"/>
        </w:rPr>
        <w:t>:</w:t>
      </w:r>
      <w:r w:rsidRPr="003F7DB9">
        <w:rPr>
          <w:rFonts w:asciiTheme="minorHAnsi" w:eastAsia="SimSun" w:hAnsiTheme="minorHAnsi"/>
          <w:lang w:val="sq-AL"/>
        </w:rPr>
        <w:t xml:space="preserve"> </w:t>
      </w:r>
    </w:p>
    <w:p w:rsidR="00F01315" w:rsidRPr="00D57F4F" w:rsidRDefault="00F01315" w:rsidP="00503465">
      <w:pPr>
        <w:pStyle w:val="ListParagraph"/>
        <w:numPr>
          <w:ilvl w:val="0"/>
          <w:numId w:val="22"/>
        </w:numPr>
        <w:spacing w:line="276" w:lineRule="auto"/>
        <w:jc w:val="both"/>
        <w:rPr>
          <w:rFonts w:asciiTheme="minorHAnsi" w:eastAsia="SimSun" w:hAnsiTheme="minorHAnsi"/>
          <w:i/>
          <w:lang w:val="sq-AL"/>
        </w:rPr>
      </w:pPr>
      <w:r w:rsidRPr="00D57F4F">
        <w:rPr>
          <w:rFonts w:asciiTheme="minorHAnsi" w:eastAsia="SimSun" w:hAnsiTheme="minorHAnsi"/>
          <w:i/>
          <w:lang w:val="sq-AL"/>
        </w:rPr>
        <w:t xml:space="preserve">shpenzimet për Sigurime Shoqërore </w:t>
      </w:r>
      <w:r w:rsidRPr="00D57F4F">
        <w:rPr>
          <w:rFonts w:asciiTheme="minorHAnsi" w:hAnsiTheme="minorHAnsi"/>
          <w:i/>
          <w:lang w:val="sq-AL"/>
        </w:rPr>
        <w:t>u realizuan në masën rreth</w:t>
      </w:r>
      <w:r w:rsidRPr="00D57F4F">
        <w:rPr>
          <w:rFonts w:asciiTheme="minorHAnsi" w:eastAsia="SimSun" w:hAnsiTheme="minorHAnsi"/>
          <w:i/>
          <w:lang w:val="sq-AL"/>
        </w:rPr>
        <w:t xml:space="preserve"> 50.5 miliard LEK, </w:t>
      </w:r>
    </w:p>
    <w:p w:rsidR="00F01315" w:rsidRPr="00D57F4F" w:rsidRDefault="00F01315" w:rsidP="00503465">
      <w:pPr>
        <w:pStyle w:val="ListParagraph"/>
        <w:numPr>
          <w:ilvl w:val="0"/>
          <w:numId w:val="22"/>
        </w:numPr>
        <w:spacing w:line="276" w:lineRule="auto"/>
        <w:jc w:val="both"/>
        <w:rPr>
          <w:rFonts w:asciiTheme="minorHAnsi" w:eastAsia="SimSun" w:hAnsiTheme="minorHAnsi"/>
          <w:i/>
          <w:lang w:val="sq-AL"/>
        </w:rPr>
      </w:pPr>
      <w:r w:rsidRPr="00D57F4F">
        <w:rPr>
          <w:rFonts w:asciiTheme="minorHAnsi" w:hAnsiTheme="minorHAnsi"/>
          <w:i/>
          <w:lang w:val="sq-AL"/>
        </w:rPr>
        <w:t>shpenzimet</w:t>
      </w:r>
      <w:r w:rsidRPr="00D57F4F">
        <w:rPr>
          <w:rFonts w:asciiTheme="minorHAnsi" w:eastAsia="SimSun" w:hAnsiTheme="minorHAnsi"/>
          <w:i/>
          <w:lang w:val="sq-AL"/>
        </w:rPr>
        <w:t xml:space="preserve"> për sigurime shëndetësore në rreth 16.6 miliard LEK</w:t>
      </w:r>
      <w:r w:rsidR="00D57F4F">
        <w:rPr>
          <w:rFonts w:asciiTheme="minorHAnsi" w:eastAsia="SimSun" w:hAnsiTheme="minorHAnsi"/>
          <w:i/>
          <w:lang w:val="sq-AL"/>
        </w:rPr>
        <w:t xml:space="preserve">,    </w:t>
      </w:r>
      <w:r w:rsidRPr="00D57F4F">
        <w:rPr>
          <w:rFonts w:asciiTheme="minorHAnsi" w:eastAsia="SimSun" w:hAnsiTheme="minorHAnsi"/>
          <w:i/>
          <w:lang w:val="sq-AL"/>
        </w:rPr>
        <w:t xml:space="preserve"> dhe </w:t>
      </w:r>
    </w:p>
    <w:p w:rsidR="00F01315" w:rsidRPr="00D57F4F" w:rsidRDefault="00F01315" w:rsidP="00503465">
      <w:pPr>
        <w:pStyle w:val="ListParagraph"/>
        <w:numPr>
          <w:ilvl w:val="0"/>
          <w:numId w:val="22"/>
        </w:numPr>
        <w:spacing w:line="276" w:lineRule="auto"/>
        <w:jc w:val="both"/>
        <w:rPr>
          <w:rFonts w:asciiTheme="minorHAnsi" w:eastAsia="SimSun" w:hAnsiTheme="minorHAnsi"/>
          <w:i/>
          <w:lang w:val="sq-AL"/>
        </w:rPr>
      </w:pPr>
      <w:r w:rsidRPr="00D57F4F">
        <w:rPr>
          <w:rFonts w:asciiTheme="minorHAnsi" w:eastAsia="SimSun" w:hAnsiTheme="minorHAnsi"/>
          <w:i/>
          <w:lang w:val="sq-AL"/>
        </w:rPr>
        <w:t xml:space="preserve">shpenzimet për kompensimin e pronarëve në 796 milion LEK. </w:t>
      </w:r>
    </w:p>
    <w:p w:rsidR="00F01315" w:rsidRPr="00F01315" w:rsidRDefault="00F01315" w:rsidP="00F01315">
      <w:pPr>
        <w:spacing w:line="276" w:lineRule="auto"/>
        <w:jc w:val="both"/>
        <w:rPr>
          <w:rFonts w:asciiTheme="minorHAnsi" w:eastAsia="SimSun" w:hAnsiTheme="minorHAnsi"/>
          <w:sz w:val="8"/>
          <w:szCs w:val="8"/>
          <w:lang w:val="sq-AL"/>
        </w:rPr>
      </w:pPr>
    </w:p>
    <w:p w:rsidR="00F01315" w:rsidRPr="00F01315" w:rsidRDefault="00F01315" w:rsidP="00F01315">
      <w:pPr>
        <w:spacing w:line="276" w:lineRule="auto"/>
        <w:jc w:val="both"/>
        <w:rPr>
          <w:rFonts w:asciiTheme="minorHAnsi" w:eastAsia="SimSun" w:hAnsiTheme="minorHAnsi"/>
          <w:i/>
          <w:lang w:val="sq-AL"/>
        </w:rPr>
      </w:pPr>
      <w:r w:rsidRPr="00F01315">
        <w:rPr>
          <w:rFonts w:asciiTheme="minorHAnsi" w:eastAsia="SimSun" w:hAnsiTheme="minorHAnsi"/>
          <w:lang w:val="sq-AL"/>
        </w:rPr>
        <w:t xml:space="preserve">Kundrejt të njëjtës periudhë të vitit 2019, shpenzimet për sigurime shoqërore janë 59 milion LEK më të larta, </w:t>
      </w:r>
      <w:r w:rsidRPr="00F01315">
        <w:rPr>
          <w:rFonts w:asciiTheme="minorHAnsi" w:hAnsiTheme="minorHAnsi"/>
          <w:lang w:val="sq-AL"/>
        </w:rPr>
        <w:t xml:space="preserve">shpenzimet </w:t>
      </w:r>
      <w:r w:rsidRPr="00F01315">
        <w:rPr>
          <w:rFonts w:asciiTheme="minorHAnsi" w:eastAsia="SimSun" w:hAnsiTheme="minorHAnsi"/>
          <w:lang w:val="sq-AL"/>
        </w:rPr>
        <w:t xml:space="preserve">për sigurime shëndetësore janë 146 milion LEK më të larta </w:t>
      </w:r>
      <w:r w:rsidRPr="00F01315">
        <w:rPr>
          <w:rFonts w:asciiTheme="minorHAnsi" w:hAnsiTheme="minorHAnsi"/>
          <w:lang w:val="sq-AL"/>
        </w:rPr>
        <w:t>dhe shpenzimet për kompensimin e pronarëve 315 milion LEK më të ulëta.</w:t>
      </w:r>
    </w:p>
    <w:p w:rsidR="00070183" w:rsidRPr="0065598A" w:rsidRDefault="00070183" w:rsidP="004E1EC8">
      <w:pPr>
        <w:pStyle w:val="Caption"/>
        <w:keepNext/>
        <w:spacing w:before="240" w:after="0"/>
        <w:jc w:val="both"/>
        <w:rPr>
          <w:rFonts w:asciiTheme="minorHAnsi" w:hAnsiTheme="minorHAnsi"/>
          <w:b w:val="0"/>
          <w:bCs w:val="0"/>
          <w:i/>
          <w:color w:val="auto"/>
          <w:sz w:val="24"/>
          <w:szCs w:val="24"/>
          <w:lang w:val="sq-AL"/>
        </w:rPr>
      </w:pPr>
      <w:bookmarkStart w:id="59" w:name="_Toc44404461"/>
      <w:r w:rsidRPr="0065598A">
        <w:rPr>
          <w:rFonts w:asciiTheme="minorHAnsi" w:hAnsiTheme="minorHAnsi"/>
          <w:b w:val="0"/>
          <w:bCs w:val="0"/>
          <w:i/>
          <w:color w:val="auto"/>
          <w:sz w:val="24"/>
          <w:szCs w:val="24"/>
          <w:lang w:val="sq-AL"/>
        </w:rPr>
        <w:t xml:space="preserve">Grafiku </w:t>
      </w:r>
      <w:r w:rsidRPr="0065598A">
        <w:rPr>
          <w:rFonts w:asciiTheme="minorHAnsi" w:hAnsiTheme="minorHAnsi"/>
          <w:b w:val="0"/>
          <w:bCs w:val="0"/>
          <w:i/>
          <w:color w:val="auto"/>
          <w:sz w:val="24"/>
          <w:szCs w:val="24"/>
          <w:lang w:val="sq-AL"/>
        </w:rPr>
        <w:fldChar w:fldCharType="begin"/>
      </w:r>
      <w:r w:rsidRPr="0065598A">
        <w:rPr>
          <w:rFonts w:asciiTheme="minorHAnsi" w:hAnsiTheme="minorHAnsi"/>
          <w:b w:val="0"/>
          <w:bCs w:val="0"/>
          <w:i/>
          <w:color w:val="auto"/>
          <w:sz w:val="24"/>
          <w:szCs w:val="24"/>
          <w:lang w:val="sq-AL"/>
        </w:rPr>
        <w:instrText xml:space="preserve"> SEQ Grafiku \* ARABIC </w:instrText>
      </w:r>
      <w:r w:rsidRPr="0065598A">
        <w:rPr>
          <w:rFonts w:asciiTheme="minorHAnsi" w:hAnsiTheme="minorHAnsi"/>
          <w:b w:val="0"/>
          <w:bCs w:val="0"/>
          <w:i/>
          <w:color w:val="auto"/>
          <w:sz w:val="24"/>
          <w:szCs w:val="24"/>
          <w:lang w:val="sq-AL"/>
        </w:rPr>
        <w:fldChar w:fldCharType="separate"/>
      </w:r>
      <w:r w:rsidR="00C342E2">
        <w:rPr>
          <w:rFonts w:asciiTheme="minorHAnsi" w:hAnsiTheme="minorHAnsi"/>
          <w:b w:val="0"/>
          <w:bCs w:val="0"/>
          <w:i/>
          <w:noProof/>
          <w:color w:val="auto"/>
          <w:sz w:val="24"/>
          <w:szCs w:val="24"/>
          <w:lang w:val="sq-AL"/>
        </w:rPr>
        <w:t>21</w:t>
      </w:r>
      <w:r w:rsidRPr="0065598A">
        <w:rPr>
          <w:rFonts w:asciiTheme="minorHAnsi" w:hAnsiTheme="minorHAnsi"/>
          <w:b w:val="0"/>
          <w:bCs w:val="0"/>
          <w:i/>
          <w:color w:val="auto"/>
          <w:sz w:val="24"/>
          <w:szCs w:val="24"/>
          <w:lang w:val="sq-AL"/>
        </w:rPr>
        <w:fldChar w:fldCharType="end"/>
      </w:r>
      <w:r w:rsidRPr="0065598A">
        <w:rPr>
          <w:rFonts w:asciiTheme="minorHAnsi" w:hAnsiTheme="minorHAnsi"/>
          <w:b w:val="0"/>
          <w:bCs w:val="0"/>
          <w:i/>
          <w:color w:val="auto"/>
          <w:sz w:val="24"/>
          <w:szCs w:val="24"/>
          <w:lang w:val="sq-AL"/>
        </w:rPr>
        <w:t>: Shpenzimet për Sigurime Shoqërore dhe Shëndetësore (në miliardë LEK)</w:t>
      </w:r>
      <w:bookmarkEnd w:id="59"/>
    </w:p>
    <w:p w:rsidR="00637131" w:rsidRPr="0065598A" w:rsidRDefault="00F01315" w:rsidP="000675C9">
      <w:pPr>
        <w:spacing w:line="276" w:lineRule="auto"/>
        <w:jc w:val="center"/>
        <w:rPr>
          <w:rFonts w:asciiTheme="minorHAnsi" w:eastAsia="SimSun" w:hAnsiTheme="minorHAnsi"/>
          <w:i/>
          <w:lang w:val="sq-AL"/>
        </w:rPr>
      </w:pPr>
      <w:r w:rsidRPr="003F7DB9">
        <w:rPr>
          <w:rFonts w:asciiTheme="minorHAnsi" w:eastAsia="SimSun" w:hAnsiTheme="minorHAnsi"/>
          <w:i/>
          <w:noProof/>
        </w:rPr>
        <w:drawing>
          <wp:inline distT="0" distB="0" distL="0" distR="0" wp14:anchorId="0F886ABD" wp14:editId="7F739FCF">
            <wp:extent cx="5574030" cy="1668780"/>
            <wp:effectExtent l="38100" t="38100" r="102870" b="102870"/>
            <wp:docPr id="294" name="Picture 2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5580426" cy="1670695"/>
                    </a:xfrm>
                    <a:prstGeom prst="rect">
                      <a:avLst/>
                    </a:prstGeom>
                    <a:noFill/>
                    <a:effectLst>
                      <a:outerShdw blurRad="50800" dist="38100" dir="2700000" algn="tl" rotWithShape="0">
                        <a:prstClr val="black">
                          <a:alpha val="40000"/>
                        </a:prstClr>
                      </a:outerShdw>
                    </a:effectLst>
                  </pic:spPr>
                </pic:pic>
              </a:graphicData>
            </a:graphic>
          </wp:inline>
        </w:drawing>
      </w:r>
    </w:p>
    <w:p w:rsidR="00637131" w:rsidRPr="0065598A" w:rsidRDefault="00637131" w:rsidP="00637131">
      <w:pPr>
        <w:spacing w:line="276" w:lineRule="auto"/>
        <w:rPr>
          <w:rFonts w:asciiTheme="minorHAnsi" w:eastAsia="SimSun" w:hAnsiTheme="minorHAnsi"/>
          <w:i/>
          <w:sz w:val="20"/>
          <w:lang w:val="sq-AL"/>
        </w:rPr>
      </w:pPr>
      <w:r w:rsidRPr="0065598A">
        <w:rPr>
          <w:rFonts w:asciiTheme="minorHAnsi" w:eastAsia="SimSun" w:hAnsiTheme="minorHAnsi"/>
          <w:i/>
          <w:sz w:val="20"/>
          <w:lang w:val="sq-AL"/>
        </w:rPr>
        <w:t xml:space="preserve">                  </w:t>
      </w:r>
      <w:r w:rsidR="00C23C7E">
        <w:rPr>
          <w:rFonts w:asciiTheme="minorHAnsi" w:eastAsia="SimSun" w:hAnsiTheme="minorHAnsi"/>
          <w:i/>
          <w:sz w:val="20"/>
          <w:lang w:val="sq-AL"/>
        </w:rPr>
        <w:t>Burimi: Ministria e Financave dhe Ekonomisë (2020)</w:t>
      </w:r>
    </w:p>
    <w:p w:rsidR="00F01315" w:rsidRDefault="00F01315" w:rsidP="00F01315">
      <w:pPr>
        <w:spacing w:line="276" w:lineRule="auto"/>
        <w:jc w:val="both"/>
        <w:rPr>
          <w:rFonts w:asciiTheme="minorHAnsi" w:eastAsia="SimSun" w:hAnsiTheme="minorHAnsi"/>
          <w:i/>
          <w:lang w:val="sq-AL"/>
        </w:rPr>
      </w:pPr>
    </w:p>
    <w:p w:rsidR="00F01315" w:rsidRPr="003F7DB9" w:rsidRDefault="00F01315" w:rsidP="00F01315">
      <w:pPr>
        <w:spacing w:line="276" w:lineRule="auto"/>
        <w:jc w:val="both"/>
        <w:rPr>
          <w:rFonts w:asciiTheme="minorHAnsi" w:eastAsia="SimSun" w:hAnsiTheme="minorHAnsi"/>
          <w:lang w:val="sq-AL"/>
        </w:rPr>
      </w:pPr>
      <w:r w:rsidRPr="003F7DB9">
        <w:rPr>
          <w:rFonts w:asciiTheme="minorHAnsi" w:eastAsia="SimSun" w:hAnsiTheme="minorHAnsi"/>
          <w:i/>
          <w:lang w:val="sq-AL"/>
        </w:rPr>
        <w:t>Shpenzimet për Papunësinë</w:t>
      </w:r>
      <w:r w:rsidRPr="003F7DB9">
        <w:rPr>
          <w:rFonts w:asciiTheme="minorHAnsi" w:eastAsia="SimSun" w:hAnsiTheme="minorHAnsi"/>
          <w:lang w:val="sq-AL"/>
        </w:rPr>
        <w:t xml:space="preserve"> </w:t>
      </w:r>
      <w:r w:rsidRPr="003F7DB9">
        <w:rPr>
          <w:rFonts w:asciiTheme="minorHAnsi" w:hAnsiTheme="minorHAnsi"/>
          <w:lang w:val="sq-AL"/>
        </w:rPr>
        <w:t xml:space="preserve">për 5 mujorin e vitit 2020 </w:t>
      </w:r>
      <w:r w:rsidRPr="003F7DB9">
        <w:rPr>
          <w:rFonts w:asciiTheme="minorHAnsi" w:eastAsia="SimSun" w:hAnsiTheme="minorHAnsi"/>
          <w:lang w:val="sq-AL"/>
        </w:rPr>
        <w:t xml:space="preserve">janë realizuar në masën 8 miliard LEK. Kundrejt të njëjtës periudhë të vitit 2019 </w:t>
      </w:r>
      <w:r w:rsidRPr="003F7DB9">
        <w:rPr>
          <w:rFonts w:asciiTheme="minorHAnsi" w:hAnsiTheme="minorHAnsi"/>
          <w:lang w:val="sq-AL"/>
        </w:rPr>
        <w:t>shpenzimet për këtë zë</w:t>
      </w:r>
      <w:r w:rsidRPr="003F7DB9">
        <w:rPr>
          <w:rFonts w:asciiTheme="minorHAnsi" w:eastAsia="SimSun" w:hAnsiTheme="minorHAnsi"/>
          <w:lang w:val="sq-AL"/>
        </w:rPr>
        <w:t xml:space="preserve"> rezultojnë me një rritje në masën rreth 7.77 miliard LEK më shumë në terma nominalë. </w:t>
      </w:r>
    </w:p>
    <w:p w:rsidR="00F01315" w:rsidRPr="003F7DB9" w:rsidRDefault="00F01315" w:rsidP="00F01315">
      <w:pPr>
        <w:spacing w:line="276" w:lineRule="auto"/>
        <w:jc w:val="both"/>
        <w:rPr>
          <w:rFonts w:asciiTheme="minorHAnsi" w:eastAsia="SimSun" w:hAnsiTheme="minorHAnsi"/>
          <w:i/>
          <w:sz w:val="8"/>
          <w:szCs w:val="8"/>
          <w:lang w:val="sq-AL"/>
        </w:rPr>
      </w:pPr>
    </w:p>
    <w:p w:rsidR="00F01315" w:rsidRPr="003F7DB9" w:rsidRDefault="00F01315" w:rsidP="00F01315">
      <w:pPr>
        <w:spacing w:line="276" w:lineRule="auto"/>
        <w:jc w:val="both"/>
        <w:rPr>
          <w:rFonts w:asciiTheme="minorHAnsi" w:eastAsia="SimSun" w:hAnsiTheme="minorHAnsi"/>
          <w:lang w:val="sq-AL"/>
        </w:rPr>
      </w:pPr>
      <w:r w:rsidRPr="003F7DB9">
        <w:rPr>
          <w:rFonts w:asciiTheme="minorHAnsi" w:eastAsia="SimSun" w:hAnsiTheme="minorHAnsi"/>
          <w:i/>
          <w:lang w:val="sq-AL"/>
        </w:rPr>
        <w:t>Shpenzimet për Ndihmën Ekonomike dhe Pagesën e Paaftësisë</w:t>
      </w:r>
      <w:r w:rsidRPr="003F7DB9">
        <w:rPr>
          <w:rFonts w:asciiTheme="minorHAnsi" w:eastAsia="SimSun" w:hAnsiTheme="minorHAnsi"/>
          <w:lang w:val="sq-AL"/>
        </w:rPr>
        <w:t xml:space="preserve"> (PAK) </w:t>
      </w:r>
      <w:r w:rsidRPr="003F7DB9">
        <w:rPr>
          <w:rFonts w:asciiTheme="minorHAnsi" w:hAnsiTheme="minorHAnsi"/>
          <w:lang w:val="sq-AL"/>
        </w:rPr>
        <w:t xml:space="preserve">për periudhën 5 mujore të vitit 2020 u realizuan në masën rreth 10.6 miliard LEK duke rezultuar 106.1 </w:t>
      </w:r>
      <w:r w:rsidRPr="003F7DB9">
        <w:rPr>
          <w:rFonts w:asciiTheme="minorHAnsi" w:eastAsia="SimSun" w:hAnsiTheme="minorHAnsi"/>
          <w:lang w:val="sq-AL"/>
        </w:rPr>
        <w:t xml:space="preserve">përqind e planit të periudhës ose 608 milion LEK më shumë. </w:t>
      </w:r>
      <w:r w:rsidRPr="003F7DB9">
        <w:rPr>
          <w:rFonts w:asciiTheme="minorHAnsi" w:hAnsiTheme="minorHAnsi"/>
          <w:lang w:val="sq-AL"/>
        </w:rPr>
        <w:t xml:space="preserve">Në raport me planin vjetor ato janë realizuar </w:t>
      </w:r>
      <w:r w:rsidRPr="003F7DB9">
        <w:rPr>
          <w:rFonts w:asciiTheme="minorHAnsi" w:eastAsia="SimSun" w:hAnsiTheme="minorHAnsi"/>
          <w:lang w:val="sq-AL"/>
        </w:rPr>
        <w:t xml:space="preserve">në masën 50.5 përqind e planit vjetor fillestar dhe AN nr.15. Kundrejt të njëjtës periudhë të vitit 2019 </w:t>
      </w:r>
      <w:r w:rsidRPr="003F7DB9">
        <w:rPr>
          <w:rFonts w:asciiTheme="minorHAnsi" w:hAnsiTheme="minorHAnsi"/>
          <w:lang w:val="sq-AL"/>
        </w:rPr>
        <w:t>shpenzimet për këtë zë</w:t>
      </w:r>
      <w:r w:rsidRPr="003F7DB9">
        <w:rPr>
          <w:rFonts w:asciiTheme="minorHAnsi" w:eastAsia="SimSun" w:hAnsiTheme="minorHAnsi"/>
          <w:lang w:val="sq-AL"/>
        </w:rPr>
        <w:t xml:space="preserve"> rezultojnë me një rritje në masën 26.6 përqind ose rreth 2.2 miliard LEK më shumë në terma nominalë. </w:t>
      </w:r>
    </w:p>
    <w:p w:rsidR="00F01315" w:rsidRPr="003F7DB9" w:rsidRDefault="00F01315" w:rsidP="00F01315">
      <w:pPr>
        <w:spacing w:line="276" w:lineRule="auto"/>
        <w:jc w:val="both"/>
        <w:rPr>
          <w:rFonts w:asciiTheme="minorHAnsi" w:eastAsia="SimSun" w:hAnsiTheme="minorHAnsi"/>
          <w:sz w:val="8"/>
          <w:szCs w:val="8"/>
          <w:lang w:val="sq-AL"/>
        </w:rPr>
      </w:pPr>
    </w:p>
    <w:p w:rsidR="00F01315" w:rsidRPr="003F7DB9" w:rsidRDefault="00F01315" w:rsidP="00F01315">
      <w:pPr>
        <w:spacing w:line="276" w:lineRule="auto"/>
        <w:jc w:val="both"/>
        <w:rPr>
          <w:rFonts w:asciiTheme="minorHAnsi" w:eastAsia="SimSun" w:hAnsiTheme="minorHAnsi"/>
          <w:lang w:val="sq-AL"/>
        </w:rPr>
      </w:pPr>
      <w:r w:rsidRPr="003F7DB9">
        <w:rPr>
          <w:rFonts w:asciiTheme="minorHAnsi" w:eastAsia="SimSun" w:hAnsiTheme="minorHAnsi"/>
          <w:i/>
          <w:lang w:val="sq-AL"/>
        </w:rPr>
        <w:t>Shpenzimet për kompensimin e ish-të përndjekurve politik</w:t>
      </w:r>
      <w:r w:rsidRPr="003F7DB9">
        <w:rPr>
          <w:rFonts w:asciiTheme="minorHAnsi" w:eastAsia="SimSun" w:hAnsiTheme="minorHAnsi"/>
          <w:lang w:val="sq-AL"/>
        </w:rPr>
        <w:t xml:space="preserve"> </w:t>
      </w:r>
      <w:r w:rsidRPr="003F7DB9">
        <w:rPr>
          <w:rFonts w:asciiTheme="minorHAnsi" w:hAnsiTheme="minorHAnsi"/>
          <w:lang w:val="sq-AL"/>
        </w:rPr>
        <w:t>për periudhën 5 mujore të vitit 2020 u realizuan në masën 445 milion LEK duke rezultuar 92.4 përqind e</w:t>
      </w:r>
      <w:r w:rsidRPr="003F7DB9">
        <w:rPr>
          <w:rFonts w:asciiTheme="minorHAnsi" w:eastAsia="SimSun" w:hAnsiTheme="minorHAnsi"/>
          <w:lang w:val="sq-AL"/>
        </w:rPr>
        <w:t xml:space="preserve"> planit të periudhës ose 44.5 përqind e planit vjetor fillestar dhe AN nr.15. Kundrejt të njëjtës periudhë të vitit 2019 </w:t>
      </w:r>
      <w:r w:rsidRPr="003F7DB9">
        <w:rPr>
          <w:rFonts w:asciiTheme="minorHAnsi" w:hAnsiTheme="minorHAnsi"/>
          <w:lang w:val="sq-AL"/>
        </w:rPr>
        <w:t>shpenzimet për këtë zë</w:t>
      </w:r>
      <w:r w:rsidRPr="003F7DB9">
        <w:rPr>
          <w:rFonts w:asciiTheme="minorHAnsi" w:eastAsia="SimSun" w:hAnsiTheme="minorHAnsi"/>
          <w:lang w:val="sq-AL"/>
        </w:rPr>
        <w:t xml:space="preserve"> rezultojnë me një rënie në masën 17.9 përqind ose 97 milion LEK më pak në terma nominalë. </w:t>
      </w:r>
    </w:p>
    <w:p w:rsidR="00F01315" w:rsidRPr="003F7DB9" w:rsidRDefault="00F01315" w:rsidP="00F01315">
      <w:pPr>
        <w:spacing w:line="276" w:lineRule="auto"/>
        <w:jc w:val="both"/>
        <w:rPr>
          <w:rFonts w:asciiTheme="minorHAnsi" w:eastAsia="SimSun" w:hAnsiTheme="minorHAnsi"/>
          <w:sz w:val="8"/>
          <w:szCs w:val="8"/>
          <w:lang w:val="sq-AL"/>
        </w:rPr>
      </w:pPr>
    </w:p>
    <w:p w:rsidR="00F01315" w:rsidRPr="003F7DB9" w:rsidRDefault="00F01315" w:rsidP="00F01315">
      <w:pPr>
        <w:spacing w:line="276" w:lineRule="auto"/>
        <w:jc w:val="both"/>
        <w:rPr>
          <w:rFonts w:asciiTheme="minorHAnsi" w:hAnsiTheme="minorHAnsi"/>
          <w:lang w:val="sq-AL"/>
        </w:rPr>
      </w:pPr>
      <w:r w:rsidRPr="003F7DB9">
        <w:rPr>
          <w:rFonts w:asciiTheme="minorHAnsi" w:eastAsia="SimSun" w:hAnsiTheme="minorHAnsi"/>
          <w:i/>
          <w:lang w:val="sq-AL"/>
        </w:rPr>
        <w:t xml:space="preserve">Shpenzimet për bonusin e lindjeve </w:t>
      </w:r>
      <w:r w:rsidRPr="003F7DB9">
        <w:rPr>
          <w:rFonts w:asciiTheme="minorHAnsi" w:hAnsiTheme="minorHAnsi"/>
          <w:lang w:val="sq-AL"/>
        </w:rPr>
        <w:t>për periudhën 5 mujore të vitit 2020 u realizuan në masën 920 milion LEK duke rezultuar 92 përqind e planit të periudhës ose 46 përqind e planit vjetor</w:t>
      </w:r>
      <w:r w:rsidRPr="003F7DB9">
        <w:rPr>
          <w:rFonts w:asciiTheme="minorHAnsi" w:eastAsia="SimSun" w:hAnsiTheme="minorHAnsi"/>
          <w:lang w:val="sq-AL"/>
        </w:rPr>
        <w:t xml:space="preserve"> fillestar dhe AN nr.15</w:t>
      </w:r>
      <w:r w:rsidRPr="003F7DB9">
        <w:rPr>
          <w:rFonts w:asciiTheme="minorHAnsi" w:hAnsiTheme="minorHAnsi"/>
          <w:lang w:val="sq-AL"/>
        </w:rPr>
        <w:t xml:space="preserve">. </w:t>
      </w:r>
    </w:p>
    <w:p w:rsidR="00070183" w:rsidRPr="0065598A" w:rsidRDefault="00070183" w:rsidP="00545DE5">
      <w:pPr>
        <w:pStyle w:val="Caption"/>
        <w:keepNext/>
        <w:spacing w:before="240" w:after="0"/>
        <w:jc w:val="both"/>
        <w:rPr>
          <w:rFonts w:asciiTheme="minorHAnsi" w:hAnsiTheme="minorHAnsi"/>
          <w:b w:val="0"/>
          <w:bCs w:val="0"/>
          <w:i/>
          <w:color w:val="auto"/>
          <w:sz w:val="24"/>
          <w:szCs w:val="24"/>
          <w:lang w:val="sq-AL"/>
        </w:rPr>
      </w:pPr>
      <w:bookmarkStart w:id="60" w:name="_Toc44404462"/>
      <w:r w:rsidRPr="0065598A">
        <w:rPr>
          <w:rFonts w:asciiTheme="minorHAnsi" w:hAnsiTheme="minorHAnsi"/>
          <w:b w:val="0"/>
          <w:bCs w:val="0"/>
          <w:i/>
          <w:color w:val="auto"/>
          <w:sz w:val="24"/>
          <w:szCs w:val="24"/>
          <w:lang w:val="sq-AL"/>
        </w:rPr>
        <w:lastRenderedPageBreak/>
        <w:t xml:space="preserve">Grafiku </w:t>
      </w:r>
      <w:r w:rsidRPr="0065598A">
        <w:rPr>
          <w:rFonts w:asciiTheme="minorHAnsi" w:hAnsiTheme="minorHAnsi"/>
          <w:b w:val="0"/>
          <w:bCs w:val="0"/>
          <w:i/>
          <w:color w:val="auto"/>
          <w:sz w:val="24"/>
          <w:szCs w:val="24"/>
          <w:lang w:val="sq-AL"/>
        </w:rPr>
        <w:fldChar w:fldCharType="begin"/>
      </w:r>
      <w:r w:rsidRPr="0065598A">
        <w:rPr>
          <w:rFonts w:asciiTheme="minorHAnsi" w:hAnsiTheme="minorHAnsi"/>
          <w:b w:val="0"/>
          <w:bCs w:val="0"/>
          <w:i/>
          <w:color w:val="auto"/>
          <w:sz w:val="24"/>
          <w:szCs w:val="24"/>
          <w:lang w:val="sq-AL"/>
        </w:rPr>
        <w:instrText xml:space="preserve"> SEQ Grafiku \* ARABIC </w:instrText>
      </w:r>
      <w:r w:rsidRPr="0065598A">
        <w:rPr>
          <w:rFonts w:asciiTheme="minorHAnsi" w:hAnsiTheme="minorHAnsi"/>
          <w:b w:val="0"/>
          <w:bCs w:val="0"/>
          <w:i/>
          <w:color w:val="auto"/>
          <w:sz w:val="24"/>
          <w:szCs w:val="24"/>
          <w:lang w:val="sq-AL"/>
        </w:rPr>
        <w:fldChar w:fldCharType="separate"/>
      </w:r>
      <w:r w:rsidR="00C342E2">
        <w:rPr>
          <w:rFonts w:asciiTheme="minorHAnsi" w:hAnsiTheme="minorHAnsi"/>
          <w:b w:val="0"/>
          <w:bCs w:val="0"/>
          <w:i/>
          <w:noProof/>
          <w:color w:val="auto"/>
          <w:sz w:val="24"/>
          <w:szCs w:val="24"/>
          <w:lang w:val="sq-AL"/>
        </w:rPr>
        <w:t>22</w:t>
      </w:r>
      <w:r w:rsidRPr="0065598A">
        <w:rPr>
          <w:rFonts w:asciiTheme="minorHAnsi" w:hAnsiTheme="minorHAnsi"/>
          <w:b w:val="0"/>
          <w:bCs w:val="0"/>
          <w:i/>
          <w:color w:val="auto"/>
          <w:sz w:val="24"/>
          <w:szCs w:val="24"/>
          <w:lang w:val="sq-AL"/>
        </w:rPr>
        <w:fldChar w:fldCharType="end"/>
      </w:r>
      <w:r w:rsidRPr="0065598A">
        <w:rPr>
          <w:rFonts w:asciiTheme="minorHAnsi" w:hAnsiTheme="minorHAnsi"/>
          <w:b w:val="0"/>
          <w:bCs w:val="0"/>
          <w:i/>
          <w:color w:val="auto"/>
          <w:sz w:val="24"/>
          <w:szCs w:val="24"/>
          <w:lang w:val="sq-AL"/>
        </w:rPr>
        <w:t>: Shpenzimet për Ndihmën Ekonomike, PAK dhe Papunësinë (në miliardë LEK)</w:t>
      </w:r>
      <w:bookmarkEnd w:id="60"/>
      <w:r w:rsidRPr="0065598A">
        <w:rPr>
          <w:rFonts w:asciiTheme="minorHAnsi" w:hAnsiTheme="minorHAnsi"/>
          <w:b w:val="0"/>
          <w:bCs w:val="0"/>
          <w:i/>
          <w:color w:val="auto"/>
          <w:sz w:val="24"/>
          <w:szCs w:val="24"/>
          <w:lang w:val="sq-AL"/>
        </w:rPr>
        <w:t xml:space="preserve"> </w:t>
      </w:r>
    </w:p>
    <w:p w:rsidR="00637131" w:rsidRPr="0065598A" w:rsidRDefault="00F01315" w:rsidP="007F224E">
      <w:pPr>
        <w:jc w:val="center"/>
        <w:rPr>
          <w:rFonts w:asciiTheme="minorHAnsi" w:eastAsia="SimSun" w:hAnsiTheme="minorHAnsi"/>
          <w:i/>
          <w:lang w:val="sq-AL"/>
        </w:rPr>
      </w:pPr>
      <w:r w:rsidRPr="003F7DB9">
        <w:rPr>
          <w:rFonts w:asciiTheme="minorHAnsi" w:eastAsia="SimSun" w:hAnsiTheme="minorHAnsi"/>
          <w:i/>
          <w:noProof/>
        </w:rPr>
        <w:drawing>
          <wp:inline distT="0" distB="0" distL="0" distR="0" wp14:anchorId="11C6CF86" wp14:editId="1313FCCF">
            <wp:extent cx="5493385" cy="1737360"/>
            <wp:effectExtent l="38100" t="38100" r="88265" b="9144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5509457" cy="1742443"/>
                    </a:xfrm>
                    <a:prstGeom prst="rect">
                      <a:avLst/>
                    </a:prstGeom>
                    <a:noFill/>
                    <a:effectLst>
                      <a:outerShdw blurRad="50800" dist="38100" dir="2700000" algn="tl" rotWithShape="0">
                        <a:prstClr val="black">
                          <a:alpha val="40000"/>
                        </a:prstClr>
                      </a:outerShdw>
                    </a:effectLst>
                  </pic:spPr>
                </pic:pic>
              </a:graphicData>
            </a:graphic>
          </wp:inline>
        </w:drawing>
      </w:r>
    </w:p>
    <w:p w:rsidR="00637131" w:rsidRPr="0065598A" w:rsidRDefault="00637131" w:rsidP="00637131">
      <w:pPr>
        <w:spacing w:line="276" w:lineRule="auto"/>
        <w:ind w:firstLine="720"/>
        <w:jc w:val="both"/>
        <w:rPr>
          <w:rFonts w:asciiTheme="minorHAnsi" w:eastAsia="SimSun" w:hAnsiTheme="minorHAnsi"/>
          <w:i/>
          <w:sz w:val="20"/>
          <w:lang w:val="sq-AL"/>
        </w:rPr>
      </w:pPr>
      <w:r w:rsidRPr="0065598A">
        <w:rPr>
          <w:rFonts w:asciiTheme="minorHAnsi" w:eastAsia="SimSun" w:hAnsiTheme="minorHAnsi"/>
          <w:lang w:val="sq-AL"/>
        </w:rPr>
        <w:t xml:space="preserve"> </w:t>
      </w:r>
      <w:r w:rsidR="00C23C7E">
        <w:rPr>
          <w:rFonts w:asciiTheme="minorHAnsi" w:eastAsia="SimSun" w:hAnsiTheme="minorHAnsi"/>
          <w:i/>
          <w:sz w:val="20"/>
          <w:lang w:val="sq-AL"/>
        </w:rPr>
        <w:t>Burimi: Ministria e Financave dhe Ekonomisë (2020)</w:t>
      </w:r>
    </w:p>
    <w:p w:rsidR="007F224E" w:rsidRPr="007F224E" w:rsidRDefault="007F224E" w:rsidP="00F01315">
      <w:pPr>
        <w:spacing w:line="276" w:lineRule="auto"/>
        <w:jc w:val="both"/>
        <w:rPr>
          <w:rFonts w:asciiTheme="minorHAnsi" w:eastAsia="SimSun" w:hAnsiTheme="minorHAnsi"/>
          <w:b/>
          <w:sz w:val="12"/>
          <w:lang w:val="sq-AL"/>
        </w:rPr>
      </w:pPr>
    </w:p>
    <w:p w:rsidR="00F01315" w:rsidRPr="003F7DB9" w:rsidRDefault="00F01315" w:rsidP="00F01315">
      <w:pPr>
        <w:spacing w:line="276" w:lineRule="auto"/>
        <w:jc w:val="both"/>
        <w:rPr>
          <w:rFonts w:asciiTheme="minorHAnsi" w:eastAsia="SimSun" w:hAnsiTheme="minorHAnsi"/>
          <w:lang w:val="sq-AL"/>
        </w:rPr>
      </w:pPr>
      <w:r w:rsidRPr="003F7DB9">
        <w:rPr>
          <w:rFonts w:asciiTheme="minorHAnsi" w:eastAsia="SimSun" w:hAnsiTheme="minorHAnsi"/>
          <w:b/>
          <w:lang w:val="sq-AL"/>
        </w:rPr>
        <w:t>Shpenzimet kapitale</w:t>
      </w:r>
      <w:r w:rsidRPr="003F7DB9">
        <w:rPr>
          <w:rFonts w:asciiTheme="minorHAnsi" w:eastAsia="SimSun" w:hAnsiTheme="minorHAnsi"/>
          <w:lang w:val="sq-AL"/>
        </w:rPr>
        <w:t>, për muajin e pestë të vitit 2020 kanë një realizim në masën rreth 20.5 miliard LEK ose 101.9 përqind në raport me fondet e planifikuara për këtë periudhë. Respektivisht, financimi i brendshëm u realizua në masën rreth 13.8 miliard LEK ose 93.7</w:t>
      </w:r>
      <w:r>
        <w:rPr>
          <w:rFonts w:asciiTheme="minorHAnsi" w:eastAsia="SimSun" w:hAnsiTheme="minorHAnsi"/>
          <w:lang w:val="sq-AL"/>
        </w:rPr>
        <w:t xml:space="preserve">% </w:t>
      </w:r>
      <w:r w:rsidRPr="003F7DB9">
        <w:rPr>
          <w:rFonts w:asciiTheme="minorHAnsi" w:eastAsia="SimSun" w:hAnsiTheme="minorHAnsi"/>
          <w:lang w:val="sq-AL"/>
        </w:rPr>
        <w:t>e planit të periudhës, financimi i huaj u realizua në masën rreth 6.3 miliard LEK ose 124</w:t>
      </w:r>
      <w:r>
        <w:rPr>
          <w:rFonts w:asciiTheme="minorHAnsi" w:eastAsia="SimSun" w:hAnsiTheme="minorHAnsi"/>
          <w:lang w:val="sq-AL"/>
        </w:rPr>
        <w:t>%</w:t>
      </w:r>
      <w:r w:rsidRPr="003F7DB9">
        <w:rPr>
          <w:rFonts w:asciiTheme="minorHAnsi" w:eastAsia="SimSun" w:hAnsiTheme="minorHAnsi"/>
          <w:lang w:val="sq-AL"/>
        </w:rPr>
        <w:t xml:space="preserve"> e planit të periudhës.</w:t>
      </w:r>
    </w:p>
    <w:p w:rsidR="00F01315" w:rsidRPr="003F7DB9" w:rsidRDefault="00F01315" w:rsidP="00F01315">
      <w:pPr>
        <w:spacing w:line="276" w:lineRule="auto"/>
        <w:jc w:val="both"/>
        <w:rPr>
          <w:rFonts w:asciiTheme="minorHAnsi" w:eastAsia="SimSun" w:hAnsiTheme="minorHAnsi"/>
          <w:lang w:val="sq-AL"/>
        </w:rPr>
      </w:pPr>
      <w:r w:rsidRPr="003F7DB9">
        <w:rPr>
          <w:rFonts w:asciiTheme="minorHAnsi" w:hAnsiTheme="minorHAnsi"/>
          <w:i/>
          <w:lang w:val="sq-AL"/>
        </w:rPr>
        <w:t>Krahasuar me planin vjetor</w:t>
      </w:r>
      <w:r w:rsidRPr="003F7DB9">
        <w:rPr>
          <w:rFonts w:asciiTheme="minorHAnsi" w:hAnsiTheme="minorHAnsi"/>
          <w:lang w:val="sq-AL"/>
        </w:rPr>
        <w:t>, për 5 mujorin e vitit 2020 është konstatuar një realizim i përgjithshëm i investimeve publike në masën 25.2 përqind të planit vjetor fillestar dhe 27 përqind të planit vjetor sipas AN nr.15. Financimi i brendshëm është realizuar në masën 27 përqind e planit vjetor fillestar dhe 29.9 përqind e planit vjetor sipas AN nr.15. Financimi i huaj është realizuar në masën 21.6 përqind e planit vjetor fillestar dhe 22.1 përqind e planit vjetor sipas AN nr.15</w:t>
      </w:r>
      <w:r w:rsidRPr="003F7DB9">
        <w:rPr>
          <w:rFonts w:asciiTheme="minorHAnsi" w:eastAsia="SimSun" w:hAnsiTheme="minorHAnsi"/>
          <w:lang w:val="sq-AL"/>
        </w:rPr>
        <w:t xml:space="preserve">. </w:t>
      </w:r>
    </w:p>
    <w:p w:rsidR="00070183" w:rsidRPr="0065598A" w:rsidRDefault="00070183" w:rsidP="00545DE5">
      <w:pPr>
        <w:pStyle w:val="Caption"/>
        <w:keepNext/>
        <w:spacing w:before="240" w:after="0"/>
        <w:jc w:val="both"/>
        <w:rPr>
          <w:rFonts w:asciiTheme="minorHAnsi" w:hAnsiTheme="minorHAnsi"/>
          <w:b w:val="0"/>
          <w:bCs w:val="0"/>
          <w:i/>
          <w:color w:val="auto"/>
          <w:sz w:val="24"/>
          <w:szCs w:val="24"/>
          <w:lang w:val="sq-AL"/>
        </w:rPr>
      </w:pPr>
      <w:bookmarkStart w:id="61" w:name="_Toc44404463"/>
      <w:r w:rsidRPr="0065598A">
        <w:rPr>
          <w:rFonts w:asciiTheme="minorHAnsi" w:hAnsiTheme="minorHAnsi"/>
          <w:b w:val="0"/>
          <w:bCs w:val="0"/>
          <w:i/>
          <w:color w:val="auto"/>
          <w:sz w:val="24"/>
          <w:szCs w:val="24"/>
          <w:lang w:val="sq-AL"/>
        </w:rPr>
        <w:t xml:space="preserve">Grafiku </w:t>
      </w:r>
      <w:r w:rsidRPr="0065598A">
        <w:rPr>
          <w:rFonts w:asciiTheme="minorHAnsi" w:hAnsiTheme="minorHAnsi"/>
          <w:b w:val="0"/>
          <w:bCs w:val="0"/>
          <w:i/>
          <w:color w:val="auto"/>
          <w:sz w:val="24"/>
          <w:szCs w:val="24"/>
          <w:lang w:val="sq-AL"/>
        </w:rPr>
        <w:fldChar w:fldCharType="begin"/>
      </w:r>
      <w:r w:rsidRPr="0065598A">
        <w:rPr>
          <w:rFonts w:asciiTheme="minorHAnsi" w:hAnsiTheme="minorHAnsi"/>
          <w:b w:val="0"/>
          <w:bCs w:val="0"/>
          <w:i/>
          <w:color w:val="auto"/>
          <w:sz w:val="24"/>
          <w:szCs w:val="24"/>
          <w:lang w:val="sq-AL"/>
        </w:rPr>
        <w:instrText xml:space="preserve"> SEQ Grafiku \* ARABIC </w:instrText>
      </w:r>
      <w:r w:rsidRPr="0065598A">
        <w:rPr>
          <w:rFonts w:asciiTheme="minorHAnsi" w:hAnsiTheme="minorHAnsi"/>
          <w:b w:val="0"/>
          <w:bCs w:val="0"/>
          <w:i/>
          <w:color w:val="auto"/>
          <w:sz w:val="24"/>
          <w:szCs w:val="24"/>
          <w:lang w:val="sq-AL"/>
        </w:rPr>
        <w:fldChar w:fldCharType="separate"/>
      </w:r>
      <w:r w:rsidR="00C342E2">
        <w:rPr>
          <w:rFonts w:asciiTheme="minorHAnsi" w:hAnsiTheme="minorHAnsi"/>
          <w:b w:val="0"/>
          <w:bCs w:val="0"/>
          <w:i/>
          <w:noProof/>
          <w:color w:val="auto"/>
          <w:sz w:val="24"/>
          <w:szCs w:val="24"/>
          <w:lang w:val="sq-AL"/>
        </w:rPr>
        <w:t>23</w:t>
      </w:r>
      <w:r w:rsidRPr="0065598A">
        <w:rPr>
          <w:rFonts w:asciiTheme="minorHAnsi" w:hAnsiTheme="minorHAnsi"/>
          <w:b w:val="0"/>
          <w:bCs w:val="0"/>
          <w:i/>
          <w:color w:val="auto"/>
          <w:sz w:val="24"/>
          <w:szCs w:val="24"/>
          <w:lang w:val="sq-AL"/>
        </w:rPr>
        <w:fldChar w:fldCharType="end"/>
      </w:r>
      <w:r w:rsidRPr="0065598A">
        <w:rPr>
          <w:rFonts w:asciiTheme="minorHAnsi" w:hAnsiTheme="minorHAnsi"/>
          <w:b w:val="0"/>
          <w:bCs w:val="0"/>
          <w:i/>
          <w:color w:val="auto"/>
          <w:sz w:val="24"/>
          <w:szCs w:val="24"/>
          <w:lang w:val="sq-AL"/>
        </w:rPr>
        <w:t>: Shpenzimet Kapitale dhe ritmi i rritjes së tyre (në miliardë LEK)</w:t>
      </w:r>
      <w:bookmarkEnd w:id="61"/>
    </w:p>
    <w:p w:rsidR="00637131" w:rsidRPr="0065598A" w:rsidRDefault="00F01315" w:rsidP="007F224E">
      <w:pPr>
        <w:jc w:val="center"/>
        <w:rPr>
          <w:rFonts w:asciiTheme="minorHAnsi" w:eastAsia="SimSun" w:hAnsiTheme="minorHAnsi"/>
          <w:i/>
          <w:lang w:val="sq-AL"/>
        </w:rPr>
      </w:pPr>
      <w:r w:rsidRPr="003F7DB9">
        <w:rPr>
          <w:rFonts w:asciiTheme="minorHAnsi" w:eastAsia="SimSun" w:hAnsiTheme="minorHAnsi"/>
          <w:i/>
          <w:noProof/>
        </w:rPr>
        <w:drawing>
          <wp:inline distT="0" distB="0" distL="0" distR="0" wp14:anchorId="00D63C5D" wp14:editId="35D660E0">
            <wp:extent cx="5960110" cy="1531620"/>
            <wp:effectExtent l="38100" t="38100" r="97790" b="87630"/>
            <wp:docPr id="295" name="Picture 2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5980641" cy="1536896"/>
                    </a:xfrm>
                    <a:prstGeom prst="rect">
                      <a:avLst/>
                    </a:prstGeom>
                    <a:noFill/>
                    <a:effectLst>
                      <a:outerShdw blurRad="50800" dist="38100" dir="2700000" algn="tl" rotWithShape="0">
                        <a:prstClr val="black">
                          <a:alpha val="40000"/>
                        </a:prstClr>
                      </a:outerShdw>
                    </a:effectLst>
                  </pic:spPr>
                </pic:pic>
              </a:graphicData>
            </a:graphic>
          </wp:inline>
        </w:drawing>
      </w:r>
    </w:p>
    <w:p w:rsidR="00637131" w:rsidRPr="0065598A" w:rsidRDefault="00C23C7E" w:rsidP="007F224E">
      <w:pPr>
        <w:spacing w:line="276" w:lineRule="auto"/>
        <w:ind w:firstLine="720"/>
        <w:rPr>
          <w:rFonts w:asciiTheme="minorHAnsi" w:eastAsia="SimSun" w:hAnsiTheme="minorHAnsi"/>
          <w:i/>
          <w:lang w:val="sq-AL"/>
        </w:rPr>
      </w:pPr>
      <w:r>
        <w:rPr>
          <w:rFonts w:asciiTheme="minorHAnsi" w:eastAsia="SimSun" w:hAnsiTheme="minorHAnsi"/>
          <w:i/>
          <w:sz w:val="20"/>
          <w:lang w:val="sq-AL"/>
        </w:rPr>
        <w:t>Burimi: Ministria e Financave dhe Ekonomisë (2020)</w:t>
      </w:r>
      <w:r w:rsidR="00637131" w:rsidRPr="0065598A">
        <w:rPr>
          <w:rFonts w:asciiTheme="minorHAnsi" w:eastAsia="SimSun" w:hAnsiTheme="minorHAnsi"/>
          <w:i/>
          <w:lang w:val="sq-AL"/>
        </w:rPr>
        <w:t xml:space="preserve">          </w:t>
      </w:r>
    </w:p>
    <w:p w:rsidR="00070183" w:rsidRPr="0065598A" w:rsidRDefault="00070183" w:rsidP="00545DE5">
      <w:pPr>
        <w:pStyle w:val="Caption"/>
        <w:keepNext/>
        <w:spacing w:before="240" w:after="0"/>
        <w:jc w:val="both"/>
        <w:rPr>
          <w:rFonts w:asciiTheme="minorHAnsi" w:hAnsiTheme="minorHAnsi"/>
          <w:b w:val="0"/>
          <w:bCs w:val="0"/>
          <w:i/>
          <w:color w:val="auto"/>
          <w:sz w:val="24"/>
          <w:szCs w:val="24"/>
          <w:lang w:val="sq-AL"/>
        </w:rPr>
      </w:pPr>
      <w:bookmarkStart w:id="62" w:name="_Toc44404464"/>
      <w:r w:rsidRPr="0065598A">
        <w:rPr>
          <w:rFonts w:asciiTheme="minorHAnsi" w:hAnsiTheme="minorHAnsi"/>
          <w:b w:val="0"/>
          <w:bCs w:val="0"/>
          <w:i/>
          <w:color w:val="auto"/>
          <w:sz w:val="24"/>
          <w:szCs w:val="24"/>
          <w:lang w:val="sq-AL"/>
        </w:rPr>
        <w:t xml:space="preserve">Grafiku </w:t>
      </w:r>
      <w:r w:rsidRPr="0065598A">
        <w:rPr>
          <w:rFonts w:asciiTheme="minorHAnsi" w:hAnsiTheme="minorHAnsi"/>
          <w:b w:val="0"/>
          <w:bCs w:val="0"/>
          <w:i/>
          <w:color w:val="auto"/>
          <w:sz w:val="24"/>
          <w:szCs w:val="24"/>
          <w:lang w:val="sq-AL"/>
        </w:rPr>
        <w:fldChar w:fldCharType="begin"/>
      </w:r>
      <w:r w:rsidRPr="0065598A">
        <w:rPr>
          <w:rFonts w:asciiTheme="minorHAnsi" w:hAnsiTheme="minorHAnsi"/>
          <w:b w:val="0"/>
          <w:bCs w:val="0"/>
          <w:i/>
          <w:color w:val="auto"/>
          <w:sz w:val="24"/>
          <w:szCs w:val="24"/>
          <w:lang w:val="sq-AL"/>
        </w:rPr>
        <w:instrText xml:space="preserve"> SEQ Grafiku \* ARABIC </w:instrText>
      </w:r>
      <w:r w:rsidRPr="0065598A">
        <w:rPr>
          <w:rFonts w:asciiTheme="minorHAnsi" w:hAnsiTheme="minorHAnsi"/>
          <w:b w:val="0"/>
          <w:bCs w:val="0"/>
          <w:i/>
          <w:color w:val="auto"/>
          <w:sz w:val="24"/>
          <w:szCs w:val="24"/>
          <w:lang w:val="sq-AL"/>
        </w:rPr>
        <w:fldChar w:fldCharType="separate"/>
      </w:r>
      <w:r w:rsidR="00C342E2">
        <w:rPr>
          <w:rFonts w:asciiTheme="minorHAnsi" w:hAnsiTheme="minorHAnsi"/>
          <w:b w:val="0"/>
          <w:bCs w:val="0"/>
          <w:i/>
          <w:noProof/>
          <w:color w:val="auto"/>
          <w:sz w:val="24"/>
          <w:szCs w:val="24"/>
          <w:lang w:val="sq-AL"/>
        </w:rPr>
        <w:t>24</w:t>
      </w:r>
      <w:r w:rsidRPr="0065598A">
        <w:rPr>
          <w:rFonts w:asciiTheme="minorHAnsi" w:hAnsiTheme="minorHAnsi"/>
          <w:b w:val="0"/>
          <w:bCs w:val="0"/>
          <w:i/>
          <w:color w:val="auto"/>
          <w:sz w:val="24"/>
          <w:szCs w:val="24"/>
          <w:lang w:val="sq-AL"/>
        </w:rPr>
        <w:fldChar w:fldCharType="end"/>
      </w:r>
      <w:r w:rsidRPr="0065598A">
        <w:rPr>
          <w:rFonts w:asciiTheme="minorHAnsi" w:hAnsiTheme="minorHAnsi"/>
          <w:b w:val="0"/>
          <w:bCs w:val="0"/>
          <w:i/>
          <w:color w:val="auto"/>
          <w:sz w:val="24"/>
          <w:szCs w:val="24"/>
          <w:lang w:val="sq-AL"/>
        </w:rPr>
        <w:t>: Shpenzimet Kapitale dhe burimi i financimit të tyre (në miliardë LEK)</w:t>
      </w:r>
      <w:bookmarkEnd w:id="62"/>
    </w:p>
    <w:p w:rsidR="00637131" w:rsidRPr="0065598A" w:rsidRDefault="00F01315" w:rsidP="007F224E">
      <w:pPr>
        <w:jc w:val="center"/>
        <w:rPr>
          <w:rFonts w:asciiTheme="minorHAnsi" w:eastAsia="SimSun" w:hAnsiTheme="minorHAnsi"/>
          <w:i/>
          <w:lang w:val="sq-AL"/>
        </w:rPr>
      </w:pPr>
      <w:r w:rsidRPr="003F7DB9">
        <w:rPr>
          <w:rFonts w:asciiTheme="minorHAnsi" w:eastAsia="SimSun" w:hAnsiTheme="minorHAnsi"/>
          <w:i/>
          <w:noProof/>
        </w:rPr>
        <w:drawing>
          <wp:inline distT="0" distB="0" distL="0" distR="0" wp14:anchorId="7C4F47D7" wp14:editId="0883FFF1">
            <wp:extent cx="5954395" cy="1981200"/>
            <wp:effectExtent l="38100" t="38100" r="103505" b="95250"/>
            <wp:docPr id="297" name="Picture 2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5989931" cy="1993024"/>
                    </a:xfrm>
                    <a:prstGeom prst="rect">
                      <a:avLst/>
                    </a:prstGeom>
                    <a:noFill/>
                    <a:effectLst>
                      <a:outerShdw blurRad="50800" dist="38100" dir="2700000" algn="tl" rotWithShape="0">
                        <a:prstClr val="black">
                          <a:alpha val="40000"/>
                        </a:prstClr>
                      </a:outerShdw>
                    </a:effectLst>
                  </pic:spPr>
                </pic:pic>
              </a:graphicData>
            </a:graphic>
          </wp:inline>
        </w:drawing>
      </w:r>
    </w:p>
    <w:p w:rsidR="00637131" w:rsidRPr="0065598A" w:rsidRDefault="00637131" w:rsidP="00637131">
      <w:pPr>
        <w:spacing w:line="276" w:lineRule="auto"/>
        <w:rPr>
          <w:rFonts w:asciiTheme="minorHAnsi" w:eastAsia="SimSun" w:hAnsiTheme="minorHAnsi"/>
          <w:i/>
          <w:sz w:val="20"/>
          <w:lang w:val="sq-AL"/>
        </w:rPr>
      </w:pPr>
      <w:r w:rsidRPr="0065598A">
        <w:rPr>
          <w:rFonts w:asciiTheme="minorHAnsi" w:eastAsia="SimSun" w:hAnsiTheme="minorHAnsi"/>
          <w:lang w:val="sq-AL"/>
        </w:rPr>
        <w:tab/>
      </w:r>
      <w:r w:rsidR="00C23C7E">
        <w:rPr>
          <w:rFonts w:asciiTheme="minorHAnsi" w:eastAsia="SimSun" w:hAnsiTheme="minorHAnsi"/>
          <w:i/>
          <w:sz w:val="20"/>
          <w:lang w:val="sq-AL"/>
        </w:rPr>
        <w:t>Burimi: Ministria e Financave dhe Ekonomisë (2020)</w:t>
      </w:r>
    </w:p>
    <w:p w:rsidR="00F01315" w:rsidRDefault="00F01315" w:rsidP="00F01315">
      <w:pPr>
        <w:spacing w:line="276" w:lineRule="auto"/>
        <w:jc w:val="both"/>
        <w:rPr>
          <w:rFonts w:asciiTheme="minorHAnsi" w:eastAsia="SimSun" w:hAnsiTheme="minorHAnsi"/>
          <w:lang w:val="sq-AL"/>
        </w:rPr>
      </w:pPr>
    </w:p>
    <w:p w:rsidR="00F01315" w:rsidRPr="00F01315" w:rsidRDefault="00F01315" w:rsidP="00F01315">
      <w:pPr>
        <w:spacing w:line="276" w:lineRule="auto"/>
        <w:jc w:val="both"/>
        <w:rPr>
          <w:rFonts w:asciiTheme="minorHAnsi" w:eastAsia="SimSun" w:hAnsiTheme="minorHAnsi"/>
          <w:lang w:val="sq-AL"/>
        </w:rPr>
      </w:pPr>
      <w:r w:rsidRPr="00F01315">
        <w:rPr>
          <w:rFonts w:asciiTheme="minorHAnsi" w:eastAsia="SimSun" w:hAnsiTheme="minorHAnsi"/>
          <w:lang w:val="sq-AL"/>
        </w:rPr>
        <w:lastRenderedPageBreak/>
        <w:t xml:space="preserve">Grafiku i mëposhtëm paraqet ndarjen e shpenzimeve publike faktike për muajin Maj të vitit 2020. Shpenzimet korente për këtë periudhë përbëjnë </w:t>
      </w:r>
      <w:r w:rsidRPr="00F01315">
        <w:rPr>
          <w:rFonts w:asciiTheme="minorHAnsi" w:hAnsiTheme="minorHAnsi"/>
          <w:lang w:val="sq-AL"/>
        </w:rPr>
        <w:t>pjesën</w:t>
      </w:r>
      <w:r w:rsidRPr="00F01315">
        <w:rPr>
          <w:rFonts w:asciiTheme="minorHAnsi" w:eastAsia="SimSun" w:hAnsiTheme="minorHAnsi"/>
          <w:lang w:val="sq-AL"/>
        </w:rPr>
        <w:t xml:space="preserve"> më të madhe të shpenzimeve totale faktike me 89 përqind, ndërsa shpenzimet kapitale përbëjnë 11 përqind.</w:t>
      </w:r>
    </w:p>
    <w:p w:rsidR="00070183" w:rsidRPr="0065598A" w:rsidRDefault="00070183" w:rsidP="00332B68">
      <w:pPr>
        <w:pStyle w:val="Caption"/>
        <w:keepNext/>
        <w:spacing w:before="240" w:after="0"/>
        <w:jc w:val="both"/>
        <w:rPr>
          <w:rFonts w:asciiTheme="minorHAnsi" w:hAnsiTheme="minorHAnsi"/>
          <w:b w:val="0"/>
          <w:bCs w:val="0"/>
          <w:i/>
          <w:color w:val="auto"/>
          <w:sz w:val="24"/>
          <w:szCs w:val="24"/>
          <w:lang w:val="sq-AL"/>
        </w:rPr>
      </w:pPr>
      <w:bookmarkStart w:id="63" w:name="_Toc44404465"/>
      <w:r w:rsidRPr="0065598A">
        <w:rPr>
          <w:rFonts w:asciiTheme="minorHAnsi" w:hAnsiTheme="minorHAnsi"/>
          <w:b w:val="0"/>
          <w:bCs w:val="0"/>
          <w:i/>
          <w:color w:val="auto"/>
          <w:sz w:val="24"/>
          <w:szCs w:val="24"/>
          <w:lang w:val="sq-AL"/>
        </w:rPr>
        <w:t xml:space="preserve">Grafiku </w:t>
      </w:r>
      <w:r w:rsidRPr="0065598A">
        <w:rPr>
          <w:rFonts w:asciiTheme="minorHAnsi" w:hAnsiTheme="minorHAnsi"/>
          <w:b w:val="0"/>
          <w:bCs w:val="0"/>
          <w:i/>
          <w:color w:val="auto"/>
          <w:sz w:val="24"/>
          <w:szCs w:val="24"/>
          <w:lang w:val="sq-AL"/>
        </w:rPr>
        <w:fldChar w:fldCharType="begin"/>
      </w:r>
      <w:r w:rsidRPr="0065598A">
        <w:rPr>
          <w:rFonts w:asciiTheme="minorHAnsi" w:hAnsiTheme="minorHAnsi"/>
          <w:b w:val="0"/>
          <w:bCs w:val="0"/>
          <w:i/>
          <w:color w:val="auto"/>
          <w:sz w:val="24"/>
          <w:szCs w:val="24"/>
          <w:lang w:val="sq-AL"/>
        </w:rPr>
        <w:instrText xml:space="preserve"> SEQ Grafiku \* ARABIC </w:instrText>
      </w:r>
      <w:r w:rsidRPr="0065598A">
        <w:rPr>
          <w:rFonts w:asciiTheme="minorHAnsi" w:hAnsiTheme="minorHAnsi"/>
          <w:b w:val="0"/>
          <w:bCs w:val="0"/>
          <w:i/>
          <w:color w:val="auto"/>
          <w:sz w:val="24"/>
          <w:szCs w:val="24"/>
          <w:lang w:val="sq-AL"/>
        </w:rPr>
        <w:fldChar w:fldCharType="separate"/>
      </w:r>
      <w:r w:rsidR="00C342E2">
        <w:rPr>
          <w:rFonts w:asciiTheme="minorHAnsi" w:hAnsiTheme="minorHAnsi"/>
          <w:b w:val="0"/>
          <w:bCs w:val="0"/>
          <w:i/>
          <w:noProof/>
          <w:color w:val="auto"/>
          <w:sz w:val="24"/>
          <w:szCs w:val="24"/>
          <w:lang w:val="sq-AL"/>
        </w:rPr>
        <w:t>25</w:t>
      </w:r>
      <w:r w:rsidRPr="0065598A">
        <w:rPr>
          <w:rFonts w:asciiTheme="minorHAnsi" w:hAnsiTheme="minorHAnsi"/>
          <w:b w:val="0"/>
          <w:bCs w:val="0"/>
          <w:i/>
          <w:color w:val="auto"/>
          <w:sz w:val="24"/>
          <w:szCs w:val="24"/>
          <w:lang w:val="sq-AL"/>
        </w:rPr>
        <w:fldChar w:fldCharType="end"/>
      </w:r>
      <w:r w:rsidRPr="0065598A">
        <w:rPr>
          <w:rFonts w:asciiTheme="minorHAnsi" w:hAnsiTheme="minorHAnsi"/>
          <w:b w:val="0"/>
          <w:bCs w:val="0"/>
          <w:i/>
          <w:color w:val="auto"/>
          <w:sz w:val="24"/>
          <w:szCs w:val="24"/>
          <w:lang w:val="sq-AL"/>
        </w:rPr>
        <w:t>: Detajimi i Shpenzimeve Buxhetore (në milion LEK)</w:t>
      </w:r>
      <w:bookmarkEnd w:id="63"/>
      <w:r w:rsidRPr="0065598A">
        <w:rPr>
          <w:rFonts w:asciiTheme="minorHAnsi" w:hAnsiTheme="minorHAnsi"/>
          <w:b w:val="0"/>
          <w:bCs w:val="0"/>
          <w:i/>
          <w:color w:val="auto"/>
          <w:sz w:val="24"/>
          <w:szCs w:val="24"/>
          <w:lang w:val="sq-AL"/>
        </w:rPr>
        <w:t xml:space="preserve"> </w:t>
      </w:r>
    </w:p>
    <w:p w:rsidR="00637131" w:rsidRPr="0065598A" w:rsidRDefault="00F01315" w:rsidP="00637131">
      <w:pPr>
        <w:spacing w:line="276" w:lineRule="auto"/>
        <w:ind w:left="-450"/>
        <w:jc w:val="center"/>
        <w:rPr>
          <w:rFonts w:asciiTheme="minorHAnsi" w:eastAsia="SimSun" w:hAnsiTheme="minorHAnsi"/>
          <w:i/>
          <w:lang w:val="sq-AL"/>
        </w:rPr>
      </w:pPr>
      <w:r w:rsidRPr="003F7DB9">
        <w:rPr>
          <w:rFonts w:asciiTheme="minorHAnsi" w:eastAsia="SimSun" w:hAnsiTheme="minorHAnsi"/>
          <w:i/>
          <w:noProof/>
        </w:rPr>
        <w:drawing>
          <wp:inline distT="0" distB="0" distL="0" distR="0" wp14:anchorId="4AFE6531" wp14:editId="1C7CDBD3">
            <wp:extent cx="4290060" cy="2026920"/>
            <wp:effectExtent l="38100" t="38100" r="91440" b="87630"/>
            <wp:docPr id="298" name="Picture 2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4307048" cy="2034946"/>
                    </a:xfrm>
                    <a:prstGeom prst="rect">
                      <a:avLst/>
                    </a:prstGeom>
                    <a:noFill/>
                    <a:effectLst>
                      <a:outerShdw blurRad="50800" dist="38100" dir="2700000" algn="tl" rotWithShape="0">
                        <a:prstClr val="black">
                          <a:alpha val="40000"/>
                        </a:prstClr>
                      </a:outerShdw>
                    </a:effectLst>
                  </pic:spPr>
                </pic:pic>
              </a:graphicData>
            </a:graphic>
          </wp:inline>
        </w:drawing>
      </w:r>
    </w:p>
    <w:p w:rsidR="00637131" w:rsidRPr="0065598A" w:rsidRDefault="00637131" w:rsidP="00637131">
      <w:pPr>
        <w:spacing w:line="276" w:lineRule="auto"/>
        <w:rPr>
          <w:rFonts w:asciiTheme="minorHAnsi" w:eastAsia="SimSun" w:hAnsiTheme="minorHAnsi"/>
          <w:i/>
          <w:sz w:val="20"/>
          <w:lang w:val="sq-AL"/>
        </w:rPr>
      </w:pPr>
      <w:r w:rsidRPr="0065598A">
        <w:rPr>
          <w:rFonts w:asciiTheme="minorHAnsi" w:eastAsia="SimSun" w:hAnsiTheme="minorHAnsi"/>
          <w:i/>
          <w:lang w:val="sq-AL"/>
        </w:rPr>
        <w:t xml:space="preserve">                                  </w:t>
      </w:r>
      <w:r w:rsidR="00C23C7E">
        <w:rPr>
          <w:rFonts w:asciiTheme="minorHAnsi" w:eastAsia="SimSun" w:hAnsiTheme="minorHAnsi"/>
          <w:i/>
          <w:sz w:val="20"/>
          <w:lang w:val="sq-AL"/>
        </w:rPr>
        <w:t>Burimi: Ministria e Financave dhe Ekonomisë (2020)</w:t>
      </w:r>
    </w:p>
    <w:p w:rsidR="00F01315" w:rsidRPr="007F224E" w:rsidRDefault="00F01315" w:rsidP="00F01315">
      <w:pPr>
        <w:spacing w:line="276" w:lineRule="auto"/>
        <w:jc w:val="both"/>
        <w:rPr>
          <w:rFonts w:asciiTheme="minorHAnsi" w:eastAsia="SimSun" w:hAnsiTheme="minorHAnsi"/>
          <w:sz w:val="12"/>
          <w:lang w:val="sq-AL"/>
        </w:rPr>
      </w:pPr>
    </w:p>
    <w:p w:rsidR="00F01315" w:rsidRPr="003F7DB9" w:rsidRDefault="00F01315" w:rsidP="00F01315">
      <w:pPr>
        <w:spacing w:line="276" w:lineRule="auto"/>
        <w:jc w:val="both"/>
        <w:rPr>
          <w:rFonts w:asciiTheme="minorHAnsi" w:eastAsia="SimSun" w:hAnsiTheme="minorHAnsi"/>
          <w:lang w:val="sq-AL"/>
        </w:rPr>
      </w:pPr>
      <w:r w:rsidRPr="003F7DB9">
        <w:rPr>
          <w:rFonts w:asciiTheme="minorHAnsi" w:eastAsia="SimSun" w:hAnsiTheme="minorHAnsi"/>
          <w:lang w:val="sq-AL"/>
        </w:rPr>
        <w:t xml:space="preserve">Sikurse evidentohet nga tabela e treguesve fiskal të konsoliduar, realizimi i shpenzimeve të përgjithshme për muajin e pestë të vitit 2020 është rreth </w:t>
      </w:r>
      <w:r w:rsidRPr="003F7DB9">
        <w:rPr>
          <w:rFonts w:asciiTheme="minorHAnsi" w:eastAsia="SimSun" w:hAnsiTheme="minorHAnsi"/>
        </w:rPr>
        <w:t xml:space="preserve">187.08 </w:t>
      </w:r>
      <w:r w:rsidRPr="003F7DB9">
        <w:rPr>
          <w:rFonts w:asciiTheme="minorHAnsi" w:eastAsia="SimSun" w:hAnsiTheme="minorHAnsi"/>
          <w:lang w:val="sq-AL"/>
        </w:rPr>
        <w:t xml:space="preserve">miliard LEK ose 90 përqind kundrejt planit të periudhës. Kjo situatë është shoqëruar me një deficit buxhetor prej rreth 26.3 miliard LEK. Grafiku i mëposhtëm tregon tendencat e treguesve kryesorë të buxhetit të shtetit. </w:t>
      </w:r>
    </w:p>
    <w:p w:rsidR="00070183" w:rsidRPr="0065598A" w:rsidRDefault="00070183" w:rsidP="00545DE5">
      <w:pPr>
        <w:pStyle w:val="Caption"/>
        <w:keepNext/>
        <w:spacing w:before="240" w:after="0"/>
        <w:jc w:val="both"/>
        <w:rPr>
          <w:rFonts w:asciiTheme="minorHAnsi" w:hAnsiTheme="minorHAnsi"/>
          <w:b w:val="0"/>
          <w:bCs w:val="0"/>
          <w:i/>
          <w:color w:val="auto"/>
          <w:sz w:val="24"/>
          <w:szCs w:val="24"/>
          <w:lang w:val="sq-AL"/>
        </w:rPr>
      </w:pPr>
      <w:bookmarkStart w:id="64" w:name="_Toc44404466"/>
      <w:r w:rsidRPr="0065598A">
        <w:rPr>
          <w:rFonts w:asciiTheme="minorHAnsi" w:hAnsiTheme="minorHAnsi"/>
          <w:b w:val="0"/>
          <w:bCs w:val="0"/>
          <w:i/>
          <w:color w:val="auto"/>
          <w:sz w:val="24"/>
          <w:szCs w:val="24"/>
          <w:lang w:val="sq-AL"/>
        </w:rPr>
        <w:t xml:space="preserve">Grafiku </w:t>
      </w:r>
      <w:r w:rsidRPr="0065598A">
        <w:rPr>
          <w:rFonts w:asciiTheme="minorHAnsi" w:hAnsiTheme="minorHAnsi"/>
          <w:b w:val="0"/>
          <w:bCs w:val="0"/>
          <w:i/>
          <w:color w:val="auto"/>
          <w:sz w:val="24"/>
          <w:szCs w:val="24"/>
          <w:lang w:val="sq-AL"/>
        </w:rPr>
        <w:fldChar w:fldCharType="begin"/>
      </w:r>
      <w:r w:rsidRPr="0065598A">
        <w:rPr>
          <w:rFonts w:asciiTheme="minorHAnsi" w:hAnsiTheme="minorHAnsi"/>
          <w:b w:val="0"/>
          <w:bCs w:val="0"/>
          <w:i/>
          <w:color w:val="auto"/>
          <w:sz w:val="24"/>
          <w:szCs w:val="24"/>
          <w:lang w:val="sq-AL"/>
        </w:rPr>
        <w:instrText xml:space="preserve"> SEQ Grafiku \* ARABIC </w:instrText>
      </w:r>
      <w:r w:rsidRPr="0065598A">
        <w:rPr>
          <w:rFonts w:asciiTheme="minorHAnsi" w:hAnsiTheme="minorHAnsi"/>
          <w:b w:val="0"/>
          <w:bCs w:val="0"/>
          <w:i/>
          <w:color w:val="auto"/>
          <w:sz w:val="24"/>
          <w:szCs w:val="24"/>
          <w:lang w:val="sq-AL"/>
        </w:rPr>
        <w:fldChar w:fldCharType="separate"/>
      </w:r>
      <w:r w:rsidR="00C342E2">
        <w:rPr>
          <w:rFonts w:asciiTheme="minorHAnsi" w:hAnsiTheme="minorHAnsi"/>
          <w:b w:val="0"/>
          <w:bCs w:val="0"/>
          <w:i/>
          <w:noProof/>
          <w:color w:val="auto"/>
          <w:sz w:val="24"/>
          <w:szCs w:val="24"/>
          <w:lang w:val="sq-AL"/>
        </w:rPr>
        <w:t>26</w:t>
      </w:r>
      <w:r w:rsidRPr="0065598A">
        <w:rPr>
          <w:rFonts w:asciiTheme="minorHAnsi" w:hAnsiTheme="minorHAnsi"/>
          <w:b w:val="0"/>
          <w:bCs w:val="0"/>
          <w:i/>
          <w:color w:val="auto"/>
          <w:sz w:val="24"/>
          <w:szCs w:val="24"/>
          <w:lang w:val="sq-AL"/>
        </w:rPr>
        <w:fldChar w:fldCharType="end"/>
      </w:r>
      <w:r w:rsidRPr="0065598A">
        <w:rPr>
          <w:rFonts w:asciiTheme="minorHAnsi" w:hAnsiTheme="minorHAnsi"/>
          <w:b w:val="0"/>
          <w:bCs w:val="0"/>
          <w:i/>
          <w:color w:val="auto"/>
          <w:sz w:val="24"/>
          <w:szCs w:val="24"/>
          <w:lang w:val="sq-AL"/>
        </w:rPr>
        <w:t xml:space="preserve">: </w:t>
      </w:r>
      <w:r w:rsidR="005D35B0" w:rsidRPr="0065598A">
        <w:rPr>
          <w:rFonts w:asciiTheme="minorHAnsi" w:hAnsiTheme="minorHAnsi"/>
          <w:b w:val="0"/>
          <w:bCs w:val="0"/>
          <w:i/>
          <w:color w:val="auto"/>
          <w:sz w:val="24"/>
          <w:szCs w:val="24"/>
          <w:lang w:val="sq-AL"/>
        </w:rPr>
        <w:t>Të ardhurat, shpenzimet dhe deficiti/suficiti - Plan vs Fakt 5 Mujori 2019 (në milion LEK)</w:t>
      </w:r>
      <w:bookmarkEnd w:id="64"/>
    </w:p>
    <w:p w:rsidR="00637131" w:rsidRPr="0065598A" w:rsidRDefault="00F01315" w:rsidP="002B0043">
      <w:pPr>
        <w:spacing w:line="276" w:lineRule="auto"/>
        <w:jc w:val="center"/>
        <w:rPr>
          <w:rFonts w:asciiTheme="minorHAnsi" w:eastAsia="SimSun" w:hAnsiTheme="minorHAnsi"/>
          <w:i/>
          <w:lang w:val="sq-AL"/>
        </w:rPr>
      </w:pPr>
      <w:r w:rsidRPr="003F7DB9">
        <w:rPr>
          <w:rFonts w:asciiTheme="minorHAnsi" w:eastAsia="SimSun" w:hAnsiTheme="minorHAnsi"/>
          <w:i/>
          <w:noProof/>
        </w:rPr>
        <w:drawing>
          <wp:inline distT="0" distB="0" distL="0" distR="0" wp14:anchorId="7D09EB04" wp14:editId="0089EF98">
            <wp:extent cx="5879465" cy="1920240"/>
            <wp:effectExtent l="38100" t="38100" r="102235" b="9906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5889646" cy="1923565"/>
                    </a:xfrm>
                    <a:prstGeom prst="rect">
                      <a:avLst/>
                    </a:prstGeom>
                    <a:noFill/>
                    <a:effectLst>
                      <a:outerShdw blurRad="50800" dist="38100" dir="2700000" algn="tl" rotWithShape="0">
                        <a:prstClr val="black">
                          <a:alpha val="40000"/>
                        </a:prstClr>
                      </a:outerShdw>
                    </a:effectLst>
                  </pic:spPr>
                </pic:pic>
              </a:graphicData>
            </a:graphic>
          </wp:inline>
        </w:drawing>
      </w:r>
    </w:p>
    <w:p w:rsidR="00637131" w:rsidRDefault="00637131" w:rsidP="00637131">
      <w:pPr>
        <w:spacing w:line="276" w:lineRule="auto"/>
        <w:rPr>
          <w:rFonts w:asciiTheme="minorHAnsi" w:eastAsia="SimSun" w:hAnsiTheme="minorHAnsi"/>
          <w:i/>
          <w:sz w:val="22"/>
          <w:lang w:val="sq-AL"/>
        </w:rPr>
      </w:pPr>
      <w:r w:rsidRPr="0065598A">
        <w:rPr>
          <w:rFonts w:asciiTheme="minorHAnsi" w:eastAsia="SimSun" w:hAnsiTheme="minorHAnsi"/>
          <w:i/>
          <w:lang w:val="sq-AL"/>
        </w:rPr>
        <w:t xml:space="preserve">    </w:t>
      </w:r>
      <w:r w:rsidRPr="0065598A">
        <w:rPr>
          <w:rFonts w:asciiTheme="minorHAnsi" w:eastAsia="SimSun" w:hAnsiTheme="minorHAnsi"/>
          <w:i/>
          <w:lang w:val="sq-AL"/>
        </w:rPr>
        <w:tab/>
        <w:t xml:space="preserve">     </w:t>
      </w:r>
      <w:r w:rsidR="00C23C7E">
        <w:rPr>
          <w:rFonts w:asciiTheme="minorHAnsi" w:eastAsia="SimSun" w:hAnsiTheme="minorHAnsi"/>
          <w:i/>
          <w:sz w:val="20"/>
          <w:lang w:val="sq-AL"/>
        </w:rPr>
        <w:t>Burimi: Ministria e Financave dhe Ekonomisë (2020)</w:t>
      </w:r>
      <w:r w:rsidRPr="0065598A">
        <w:rPr>
          <w:rFonts w:asciiTheme="minorHAnsi" w:eastAsia="SimSun" w:hAnsiTheme="minorHAnsi"/>
          <w:i/>
          <w:sz w:val="22"/>
          <w:lang w:val="sq-AL"/>
        </w:rPr>
        <w:t xml:space="preserve"> </w:t>
      </w:r>
    </w:p>
    <w:p w:rsidR="00D57F4F" w:rsidRPr="0065598A" w:rsidRDefault="00D57F4F" w:rsidP="00637131">
      <w:pPr>
        <w:spacing w:line="276" w:lineRule="auto"/>
        <w:rPr>
          <w:rFonts w:asciiTheme="minorHAnsi" w:eastAsia="SimSun" w:hAnsiTheme="minorHAnsi"/>
          <w:i/>
          <w:sz w:val="22"/>
          <w:lang w:val="sq-AL"/>
        </w:rPr>
      </w:pPr>
    </w:p>
    <w:p w:rsidR="00C75D59" w:rsidRPr="0065598A" w:rsidRDefault="00E6481D" w:rsidP="002334F6">
      <w:pPr>
        <w:pStyle w:val="Heading2"/>
      </w:pPr>
      <w:bookmarkStart w:id="65" w:name="_Toc44403610"/>
      <w:r w:rsidRPr="0065598A">
        <w:t>III.2</w:t>
      </w:r>
      <w:r w:rsidRPr="0065598A">
        <w:tab/>
      </w:r>
      <w:r w:rsidR="0056643D" w:rsidRPr="0065598A">
        <w:t>Financat</w:t>
      </w:r>
      <w:r w:rsidR="000E14D0" w:rsidRPr="0065598A">
        <w:t xml:space="preserve"> Vendor</w:t>
      </w:r>
      <w:r w:rsidR="0056643D" w:rsidRPr="0065598A">
        <w:t xml:space="preserve">e </w:t>
      </w:r>
      <w:r w:rsidR="00A61AD8" w:rsidRPr="0065598A">
        <w:t>gjat</w:t>
      </w:r>
      <w:r w:rsidR="002D2B0D" w:rsidRPr="0065598A">
        <w:t>ë</w:t>
      </w:r>
      <w:r w:rsidR="00A61AD8" w:rsidRPr="0065598A">
        <w:t xml:space="preserve"> </w:t>
      </w:r>
      <w:r w:rsidRPr="0065598A">
        <w:t>janar-maj 20</w:t>
      </w:r>
      <w:r w:rsidR="00445151" w:rsidRPr="0065598A">
        <w:t>20</w:t>
      </w:r>
      <w:bookmarkEnd w:id="65"/>
    </w:p>
    <w:p w:rsidR="00C75D59" w:rsidRPr="0065598A" w:rsidRDefault="00444E32" w:rsidP="00CF189F">
      <w:pPr>
        <w:spacing w:line="276" w:lineRule="auto"/>
        <w:jc w:val="both"/>
        <w:rPr>
          <w:rFonts w:asciiTheme="minorHAnsi" w:hAnsiTheme="minorHAnsi"/>
          <w:lang w:val="sq-AL"/>
        </w:rPr>
      </w:pPr>
      <w:r w:rsidRPr="0065598A">
        <w:rPr>
          <w:rFonts w:asciiTheme="minorHAnsi" w:hAnsiTheme="minorHAnsi"/>
          <w:lang w:val="sq-AL"/>
        </w:rPr>
        <w:t>Procesi i menaxhimit të financave publike në nivel vendor ka hyrë në një fazë të re konsol</w:t>
      </w:r>
      <w:r w:rsidR="0065598A" w:rsidRPr="0065598A">
        <w:rPr>
          <w:rFonts w:asciiTheme="minorHAnsi" w:hAnsiTheme="minorHAnsi"/>
          <w:lang w:val="sq-AL"/>
        </w:rPr>
        <w:t>idimi nën regjimin e Ligjit nr.68</w:t>
      </w:r>
      <w:r w:rsidRPr="0065598A">
        <w:rPr>
          <w:rFonts w:asciiTheme="minorHAnsi" w:hAnsiTheme="minorHAnsi"/>
          <w:lang w:val="sq-AL"/>
        </w:rPr>
        <w:t xml:space="preserve"> datë 27.04.2018 “</w:t>
      </w:r>
      <w:r w:rsidRPr="0065598A">
        <w:rPr>
          <w:rFonts w:asciiTheme="minorHAnsi" w:hAnsiTheme="minorHAnsi"/>
          <w:i/>
          <w:lang w:val="sq-AL"/>
        </w:rPr>
        <w:t>Për financat e vetëqverisjes vendore</w:t>
      </w:r>
      <w:r w:rsidRPr="0065598A">
        <w:rPr>
          <w:rFonts w:asciiTheme="minorHAnsi" w:hAnsiTheme="minorHAnsi"/>
          <w:lang w:val="sq-AL"/>
        </w:rPr>
        <w:t>”. Në këtë kuadër Ministria e Financave dhe Ekonomisë ndjek vazhdimisht treguesit e të ardhurave dhe shpenzimeve të buxhetit vendor me qëllim monitorimin dhe asistencën e njësive të vetëqeverisjes vendore për përmirësmin e këti procesi. Prandaj referuar të dhënave fiskale të Sistemit Informatik Financiar të Qeverisë është realizuar analiza e të adhurave dhe shpenzimeve të 5 mujorit 20</w:t>
      </w:r>
      <w:r w:rsidR="0065598A" w:rsidRPr="0065598A">
        <w:rPr>
          <w:rFonts w:asciiTheme="minorHAnsi" w:hAnsiTheme="minorHAnsi"/>
          <w:lang w:val="sq-AL"/>
        </w:rPr>
        <w:t>20</w:t>
      </w:r>
      <w:r w:rsidRPr="0065598A">
        <w:rPr>
          <w:rFonts w:asciiTheme="minorHAnsi" w:hAnsiTheme="minorHAnsi"/>
          <w:lang w:val="sq-AL"/>
        </w:rPr>
        <w:t xml:space="preserve"> në nivel kombëtar të buxhetit vendor</w:t>
      </w:r>
      <w:r w:rsidR="0056643D" w:rsidRPr="0065598A">
        <w:rPr>
          <w:rFonts w:asciiTheme="minorHAnsi" w:hAnsiTheme="minorHAnsi"/>
          <w:lang w:val="sq-AL"/>
        </w:rPr>
        <w:t>.</w:t>
      </w:r>
      <w:r w:rsidR="00CF189F" w:rsidRPr="0065598A">
        <w:rPr>
          <w:rFonts w:asciiTheme="minorHAnsi" w:hAnsiTheme="minorHAnsi"/>
          <w:lang w:val="sq-AL"/>
        </w:rPr>
        <w:t xml:space="preserve"> </w:t>
      </w:r>
    </w:p>
    <w:p w:rsidR="00D17FD3" w:rsidRDefault="00D17FD3" w:rsidP="0065598A">
      <w:pPr>
        <w:spacing w:line="276" w:lineRule="auto"/>
        <w:jc w:val="both"/>
        <w:rPr>
          <w:rFonts w:asciiTheme="minorHAnsi" w:hAnsiTheme="minorHAnsi"/>
          <w:lang w:val="sq-AL"/>
        </w:rPr>
      </w:pPr>
    </w:p>
    <w:p w:rsidR="00D17FD3" w:rsidRPr="00317891" w:rsidRDefault="00D17FD3" w:rsidP="0065598A">
      <w:pPr>
        <w:spacing w:line="276" w:lineRule="auto"/>
        <w:jc w:val="both"/>
        <w:rPr>
          <w:rFonts w:asciiTheme="minorHAnsi" w:hAnsiTheme="minorHAnsi"/>
          <w:b/>
          <w:i/>
          <w:lang w:val="sq-AL"/>
        </w:rPr>
      </w:pPr>
      <w:r w:rsidRPr="00317891">
        <w:rPr>
          <w:rFonts w:asciiTheme="minorHAnsi" w:hAnsiTheme="minorHAnsi"/>
          <w:b/>
          <w:i/>
          <w:lang w:val="sq-AL"/>
        </w:rPr>
        <w:lastRenderedPageBreak/>
        <w:t>T</w:t>
      </w:r>
      <w:r w:rsidR="00AF578C">
        <w:rPr>
          <w:rFonts w:asciiTheme="minorHAnsi" w:hAnsiTheme="minorHAnsi"/>
          <w:b/>
          <w:i/>
          <w:lang w:val="sq-AL"/>
        </w:rPr>
        <w:t>ë</w:t>
      </w:r>
      <w:r w:rsidRPr="00317891">
        <w:rPr>
          <w:rFonts w:asciiTheme="minorHAnsi" w:hAnsiTheme="minorHAnsi"/>
          <w:b/>
          <w:i/>
          <w:lang w:val="sq-AL"/>
        </w:rPr>
        <w:t xml:space="preserve"> ardhurat vendore</w:t>
      </w:r>
    </w:p>
    <w:p w:rsidR="00D17FD3" w:rsidRPr="00D17FD3" w:rsidRDefault="00D17FD3" w:rsidP="0065598A">
      <w:pPr>
        <w:spacing w:line="276" w:lineRule="auto"/>
        <w:jc w:val="both"/>
        <w:rPr>
          <w:rFonts w:asciiTheme="minorHAnsi" w:hAnsiTheme="minorHAnsi"/>
          <w:i/>
          <w:sz w:val="8"/>
          <w:szCs w:val="8"/>
          <w:lang w:val="sq-AL"/>
        </w:rPr>
      </w:pPr>
    </w:p>
    <w:p w:rsidR="0065598A" w:rsidRDefault="0065598A" w:rsidP="0065598A">
      <w:pPr>
        <w:spacing w:line="276" w:lineRule="auto"/>
        <w:jc w:val="both"/>
        <w:rPr>
          <w:rFonts w:asciiTheme="minorHAnsi" w:hAnsiTheme="minorHAnsi"/>
          <w:lang w:val="sq-AL"/>
        </w:rPr>
      </w:pPr>
      <w:r w:rsidRPr="0065598A">
        <w:rPr>
          <w:rFonts w:asciiTheme="minorHAnsi" w:hAnsiTheme="minorHAnsi"/>
          <w:lang w:val="sq-AL"/>
        </w:rPr>
        <w:t>Për 5 mujorin e vitin 2020, njësitë e vetëqeverisjes vendore në shkallë kombëtare kanë mbledhur të ardhura masën 6 995 milionë lekë, shifër kjo që është rreth 4.3 miliard lekë më pak ose rreth 38 përqind më të ulëta se vlera e të ardhurave të mbledhura gjatë të njëjtës periudhë të vitit 2019. Edhe në raport me planin e periudhës shikojmë që ka një mosrealizim të të të ardhurave të pushtetit vendor dhe ky mosrealizim është afërsisht 3.5 miliard lekë ose 33% më i ulët se plani i miratuar për 5 mujorin 2020. Këto efekte negative në të ardhurat vendore për 5 mujorin e parë të vitit 2020 kanë ardhur si pasojë e ngjarjeve të jashtëzakonshme që kanë prekur territorin e vendit tonë si; tërmeti i 26 nëntorit 2019 dhe gjendja e pandemisë botërore COVID-19 e shfaqur që në tremujorin e parë të vitit 2020. Në këtë situatë njësitë e vetëqeverisjes vendore kanë luajtuar një rol thelbësor jo vetëm në realizimin e shërbimeve publike por edhe në ofrimin e paketave lehtësuese për detyrimet e qytetarëve dhe bizneseve ndaj taksave e tarifave vendore.</w:t>
      </w:r>
    </w:p>
    <w:p w:rsidR="0065598A" w:rsidRPr="0065598A" w:rsidRDefault="0065598A" w:rsidP="0065598A">
      <w:pPr>
        <w:spacing w:line="276" w:lineRule="auto"/>
        <w:jc w:val="both"/>
        <w:rPr>
          <w:rFonts w:asciiTheme="minorHAnsi" w:hAnsiTheme="minorHAnsi"/>
          <w:sz w:val="8"/>
          <w:szCs w:val="8"/>
          <w:lang w:val="sq-AL"/>
        </w:rPr>
      </w:pPr>
    </w:p>
    <w:p w:rsidR="002334F6" w:rsidRPr="002334F6" w:rsidRDefault="002334F6" w:rsidP="002334F6">
      <w:pPr>
        <w:pStyle w:val="Caption"/>
        <w:rPr>
          <w:rFonts w:asciiTheme="minorHAnsi" w:hAnsiTheme="minorHAnsi"/>
          <w:b w:val="0"/>
          <w:bCs w:val="0"/>
          <w:i/>
          <w:noProof/>
          <w:color w:val="auto"/>
          <w:sz w:val="24"/>
          <w:szCs w:val="24"/>
          <w:lang w:val="sq-AL"/>
        </w:rPr>
      </w:pPr>
      <w:bookmarkStart w:id="66" w:name="_Toc44404467"/>
      <w:r w:rsidRPr="002334F6">
        <w:rPr>
          <w:rFonts w:asciiTheme="minorHAnsi" w:hAnsiTheme="minorHAnsi"/>
          <w:b w:val="0"/>
          <w:bCs w:val="0"/>
          <w:i/>
          <w:noProof/>
          <w:color w:val="auto"/>
          <w:sz w:val="24"/>
          <w:szCs w:val="24"/>
          <w:lang w:val="sq-AL"/>
        </w:rPr>
        <w:t xml:space="preserve">Grafiku </w:t>
      </w:r>
      <w:r w:rsidRPr="002334F6">
        <w:rPr>
          <w:rFonts w:asciiTheme="minorHAnsi" w:hAnsiTheme="minorHAnsi"/>
          <w:b w:val="0"/>
          <w:bCs w:val="0"/>
          <w:i/>
          <w:noProof/>
          <w:color w:val="auto"/>
          <w:sz w:val="24"/>
          <w:szCs w:val="24"/>
          <w:lang w:val="sq-AL"/>
        </w:rPr>
        <w:fldChar w:fldCharType="begin"/>
      </w:r>
      <w:r w:rsidRPr="002334F6">
        <w:rPr>
          <w:rFonts w:asciiTheme="minorHAnsi" w:hAnsiTheme="minorHAnsi"/>
          <w:b w:val="0"/>
          <w:bCs w:val="0"/>
          <w:i/>
          <w:noProof/>
          <w:color w:val="auto"/>
          <w:sz w:val="24"/>
          <w:szCs w:val="24"/>
          <w:lang w:val="sq-AL"/>
        </w:rPr>
        <w:instrText xml:space="preserve"> SEQ Grafiku \* ARABIC </w:instrText>
      </w:r>
      <w:r w:rsidRPr="002334F6">
        <w:rPr>
          <w:rFonts w:asciiTheme="minorHAnsi" w:hAnsiTheme="minorHAnsi"/>
          <w:b w:val="0"/>
          <w:bCs w:val="0"/>
          <w:i/>
          <w:noProof/>
          <w:color w:val="auto"/>
          <w:sz w:val="24"/>
          <w:szCs w:val="24"/>
          <w:lang w:val="sq-AL"/>
        </w:rPr>
        <w:fldChar w:fldCharType="separate"/>
      </w:r>
      <w:r w:rsidR="00C342E2">
        <w:rPr>
          <w:rFonts w:asciiTheme="minorHAnsi" w:hAnsiTheme="minorHAnsi"/>
          <w:b w:val="0"/>
          <w:bCs w:val="0"/>
          <w:i/>
          <w:noProof/>
          <w:color w:val="auto"/>
          <w:sz w:val="24"/>
          <w:szCs w:val="24"/>
          <w:lang w:val="sq-AL"/>
        </w:rPr>
        <w:t>27</w:t>
      </w:r>
      <w:r w:rsidRPr="002334F6">
        <w:rPr>
          <w:rFonts w:asciiTheme="minorHAnsi" w:hAnsiTheme="minorHAnsi"/>
          <w:b w:val="0"/>
          <w:bCs w:val="0"/>
          <w:i/>
          <w:noProof/>
          <w:color w:val="auto"/>
          <w:sz w:val="24"/>
          <w:szCs w:val="24"/>
          <w:lang w:val="sq-AL"/>
        </w:rPr>
        <w:fldChar w:fldCharType="end"/>
      </w:r>
      <w:r w:rsidRPr="002334F6">
        <w:rPr>
          <w:rFonts w:asciiTheme="minorHAnsi" w:hAnsiTheme="minorHAnsi"/>
          <w:b w:val="0"/>
          <w:bCs w:val="0"/>
          <w:i/>
          <w:noProof/>
          <w:color w:val="auto"/>
          <w:sz w:val="24"/>
          <w:szCs w:val="24"/>
          <w:lang w:val="sq-AL"/>
        </w:rPr>
        <w:t xml:space="preserve"> Të ardhurat sipas burimit për njësitë vendore</w:t>
      </w:r>
      <w:bookmarkEnd w:id="66"/>
    </w:p>
    <w:p w:rsidR="0065598A" w:rsidRPr="00E77DD2" w:rsidRDefault="0065598A" w:rsidP="0065598A">
      <w:pPr>
        <w:spacing w:line="276" w:lineRule="auto"/>
        <w:jc w:val="center"/>
        <w:rPr>
          <w:rFonts w:asciiTheme="minorHAnsi" w:hAnsiTheme="minorHAnsi"/>
          <w:noProof/>
          <w:lang w:eastAsia="sq-AL"/>
        </w:rPr>
      </w:pPr>
      <w:r w:rsidRPr="00E77DD2">
        <w:rPr>
          <w:rFonts w:asciiTheme="minorHAnsi" w:hAnsiTheme="minorHAnsi"/>
          <w:noProof/>
        </w:rPr>
        <w:drawing>
          <wp:inline distT="0" distB="0" distL="0" distR="0" wp14:anchorId="46B9465A" wp14:editId="4CCCC403">
            <wp:extent cx="6042660" cy="2362200"/>
            <wp:effectExtent l="0" t="0" r="15240" b="19050"/>
            <wp:docPr id="62" name="Chart 62"/>
            <wp:cNvGraphicFramePr/>
            <a:graphic xmlns:a="http://schemas.openxmlformats.org/drawingml/2006/main">
              <a:graphicData uri="http://schemas.openxmlformats.org/drawingml/2006/chart">
                <c:chart xmlns:c="http://schemas.openxmlformats.org/drawingml/2006/chart" xmlns:r="http://schemas.openxmlformats.org/officeDocument/2006/relationships" r:id="rId43"/>
              </a:graphicData>
            </a:graphic>
          </wp:inline>
        </w:drawing>
      </w:r>
    </w:p>
    <w:p w:rsidR="0065598A" w:rsidRPr="00872AE0" w:rsidRDefault="0065598A" w:rsidP="0065598A">
      <w:pPr>
        <w:spacing w:line="276" w:lineRule="auto"/>
        <w:jc w:val="center"/>
        <w:rPr>
          <w:rFonts w:asciiTheme="minorHAnsi" w:hAnsiTheme="minorHAnsi"/>
          <w:i/>
          <w:noProof/>
          <w:sz w:val="20"/>
          <w:lang w:eastAsia="sq-AL"/>
        </w:rPr>
      </w:pPr>
      <w:r w:rsidRPr="00872AE0">
        <w:rPr>
          <w:rFonts w:asciiTheme="minorHAnsi" w:hAnsiTheme="minorHAnsi"/>
          <w:i/>
          <w:noProof/>
          <w:sz w:val="20"/>
          <w:lang w:eastAsia="sq-AL"/>
        </w:rPr>
        <w:t>Burimi: Drejtoria e Financave Vendore, Ministria e Financave dhe Ekonomisë (2020);</w:t>
      </w:r>
    </w:p>
    <w:p w:rsidR="0065598A" w:rsidRDefault="0065598A" w:rsidP="0065598A">
      <w:pPr>
        <w:spacing w:line="276" w:lineRule="auto"/>
        <w:jc w:val="both"/>
        <w:rPr>
          <w:rFonts w:asciiTheme="minorHAnsi" w:hAnsiTheme="minorHAnsi"/>
        </w:rPr>
      </w:pPr>
    </w:p>
    <w:p w:rsidR="0065598A" w:rsidRPr="00E77DD2" w:rsidRDefault="0065598A" w:rsidP="0065598A">
      <w:pPr>
        <w:spacing w:line="276" w:lineRule="auto"/>
        <w:jc w:val="both"/>
        <w:rPr>
          <w:rFonts w:asciiTheme="minorHAnsi" w:hAnsiTheme="minorHAnsi"/>
        </w:rPr>
      </w:pPr>
      <w:r w:rsidRPr="00E77DD2">
        <w:rPr>
          <w:rFonts w:asciiTheme="minorHAnsi" w:hAnsiTheme="minorHAnsi"/>
        </w:rPr>
        <w:t>Ndër vite të ardhurat e pushtetit vendor kanë pësuar ndryshime si në vlerë ashtu edhe në strukturen e burimit të këtyre të ardhurave. Të ardhurat që sigurojnë njësitë e vetëqeverisjes vendore për 5 mujorin e parë të vitit nga taksat lokale, janë ato që zënë pjesën më të madhe ose 72% për vitin 2019 dhe 75.5% për vitin 2020 të shumës totale të këtyre të ardhurave. Nga ana tjetër, nga realizimi faktik i 5 mujorit të parë të vitit 2020, rezulton se nga taksa e biznesit të vogël janë mbledhur 306 milion lekë dhe nga taksa e pasurisë (ndërtesa) janë mbledhur 1.4 miliard lekë.</w:t>
      </w:r>
    </w:p>
    <w:p w:rsidR="0065598A" w:rsidRPr="00E77DD2" w:rsidRDefault="0065598A" w:rsidP="0065598A">
      <w:pPr>
        <w:spacing w:line="276" w:lineRule="auto"/>
        <w:jc w:val="both"/>
        <w:rPr>
          <w:rFonts w:asciiTheme="minorHAnsi" w:hAnsiTheme="minorHAnsi"/>
        </w:rPr>
      </w:pPr>
      <w:r w:rsidRPr="00E77DD2">
        <w:rPr>
          <w:rFonts w:asciiTheme="minorHAnsi" w:hAnsiTheme="minorHAnsi"/>
        </w:rPr>
        <w:t>Parë në këtë këndvështrim, rënia e efektshërisë së mbledhjes së taksave nga pushteti vendor ka ardhur si pasojë e kushteve të krijuara nga pandemia. Në këtë mënyrë për të ardhurat vendore viti 2020 është një vit përjashtimor, ku vetëm taksat vendore janë rreth 3.1 miliard lekë më pak se njëjta periudhë e një vitit më parë. Gjithashtu, duke ju referuar treguesve të detajuar të të ardhurave vendore, rënia në raport me një vit më parë është rreth 47% tek taksa mbi pasurinë dhe rreth 37% në zërin e taksave lokale.</w:t>
      </w:r>
    </w:p>
    <w:p w:rsidR="0065598A" w:rsidRDefault="0065598A" w:rsidP="0065598A">
      <w:pPr>
        <w:spacing w:line="276" w:lineRule="auto"/>
        <w:jc w:val="both"/>
        <w:rPr>
          <w:rFonts w:asciiTheme="minorHAnsi" w:hAnsiTheme="minorHAnsi"/>
          <w:i/>
        </w:rPr>
      </w:pPr>
    </w:p>
    <w:p w:rsidR="0065598A" w:rsidRDefault="0065598A" w:rsidP="0065598A">
      <w:pPr>
        <w:spacing w:line="276" w:lineRule="auto"/>
        <w:jc w:val="both"/>
        <w:rPr>
          <w:rFonts w:asciiTheme="minorHAnsi" w:hAnsiTheme="minorHAnsi"/>
          <w:i/>
        </w:rPr>
      </w:pPr>
    </w:p>
    <w:p w:rsidR="0065598A" w:rsidRDefault="0065598A" w:rsidP="0065598A">
      <w:pPr>
        <w:spacing w:line="276" w:lineRule="auto"/>
        <w:jc w:val="both"/>
        <w:rPr>
          <w:rFonts w:asciiTheme="minorHAnsi" w:hAnsiTheme="minorHAnsi"/>
          <w:i/>
        </w:rPr>
      </w:pPr>
    </w:p>
    <w:p w:rsidR="0065598A" w:rsidRDefault="0065598A" w:rsidP="0065598A">
      <w:pPr>
        <w:spacing w:line="276" w:lineRule="auto"/>
        <w:jc w:val="both"/>
        <w:rPr>
          <w:rFonts w:asciiTheme="minorHAnsi" w:hAnsiTheme="minorHAnsi"/>
          <w:i/>
        </w:rPr>
      </w:pPr>
    </w:p>
    <w:p w:rsidR="00CB50A8" w:rsidRPr="00CB50A8" w:rsidRDefault="00CB50A8" w:rsidP="007F224E">
      <w:pPr>
        <w:pStyle w:val="Caption"/>
        <w:spacing w:after="0"/>
        <w:rPr>
          <w:rFonts w:asciiTheme="minorHAnsi" w:hAnsiTheme="minorHAnsi"/>
          <w:b w:val="0"/>
          <w:bCs w:val="0"/>
          <w:i/>
          <w:color w:val="auto"/>
          <w:sz w:val="24"/>
          <w:szCs w:val="24"/>
        </w:rPr>
      </w:pPr>
      <w:bookmarkStart w:id="67" w:name="_Toc44404468"/>
      <w:r w:rsidRPr="00CB50A8">
        <w:rPr>
          <w:rFonts w:asciiTheme="minorHAnsi" w:hAnsiTheme="minorHAnsi"/>
          <w:b w:val="0"/>
          <w:bCs w:val="0"/>
          <w:i/>
          <w:color w:val="auto"/>
          <w:sz w:val="24"/>
          <w:szCs w:val="24"/>
        </w:rPr>
        <w:lastRenderedPageBreak/>
        <w:t xml:space="preserve">Grafiku </w:t>
      </w:r>
      <w:r w:rsidRPr="00CB50A8">
        <w:rPr>
          <w:rFonts w:asciiTheme="minorHAnsi" w:hAnsiTheme="minorHAnsi"/>
          <w:b w:val="0"/>
          <w:bCs w:val="0"/>
          <w:i/>
          <w:color w:val="auto"/>
          <w:sz w:val="24"/>
          <w:szCs w:val="24"/>
        </w:rPr>
        <w:fldChar w:fldCharType="begin"/>
      </w:r>
      <w:r w:rsidRPr="00CB50A8">
        <w:rPr>
          <w:rFonts w:asciiTheme="minorHAnsi" w:hAnsiTheme="minorHAnsi"/>
          <w:b w:val="0"/>
          <w:bCs w:val="0"/>
          <w:i/>
          <w:color w:val="auto"/>
          <w:sz w:val="24"/>
          <w:szCs w:val="24"/>
        </w:rPr>
        <w:instrText xml:space="preserve"> SEQ Grafiku \* ARABIC </w:instrText>
      </w:r>
      <w:r w:rsidRPr="00CB50A8">
        <w:rPr>
          <w:rFonts w:asciiTheme="minorHAnsi" w:hAnsiTheme="minorHAnsi"/>
          <w:b w:val="0"/>
          <w:bCs w:val="0"/>
          <w:i/>
          <w:color w:val="auto"/>
          <w:sz w:val="24"/>
          <w:szCs w:val="24"/>
        </w:rPr>
        <w:fldChar w:fldCharType="separate"/>
      </w:r>
      <w:r w:rsidR="00C342E2">
        <w:rPr>
          <w:rFonts w:asciiTheme="minorHAnsi" w:hAnsiTheme="minorHAnsi"/>
          <w:b w:val="0"/>
          <w:bCs w:val="0"/>
          <w:i/>
          <w:noProof/>
          <w:color w:val="auto"/>
          <w:sz w:val="24"/>
          <w:szCs w:val="24"/>
        </w:rPr>
        <w:t>28</w:t>
      </w:r>
      <w:r w:rsidRPr="00CB50A8">
        <w:rPr>
          <w:rFonts w:asciiTheme="minorHAnsi" w:hAnsiTheme="minorHAnsi"/>
          <w:b w:val="0"/>
          <w:bCs w:val="0"/>
          <w:i/>
          <w:color w:val="auto"/>
          <w:sz w:val="24"/>
          <w:szCs w:val="24"/>
        </w:rPr>
        <w:fldChar w:fldCharType="end"/>
      </w:r>
      <w:r w:rsidRPr="00CB50A8">
        <w:rPr>
          <w:rFonts w:asciiTheme="minorHAnsi" w:hAnsiTheme="minorHAnsi"/>
          <w:b w:val="0"/>
          <w:bCs w:val="0"/>
          <w:i/>
          <w:color w:val="auto"/>
          <w:sz w:val="24"/>
          <w:szCs w:val="24"/>
        </w:rPr>
        <w:t>: Të ardhurat e përgjithshme të pushtetit e pushtetit vendor</w:t>
      </w:r>
      <w:bookmarkEnd w:id="67"/>
    </w:p>
    <w:p w:rsidR="0065598A" w:rsidRPr="00E77DD2" w:rsidRDefault="0065598A" w:rsidP="0065598A">
      <w:pPr>
        <w:spacing w:line="276" w:lineRule="auto"/>
        <w:rPr>
          <w:rFonts w:asciiTheme="minorHAnsi" w:hAnsiTheme="minorHAnsi"/>
        </w:rPr>
      </w:pPr>
      <w:r w:rsidRPr="00E77DD2">
        <w:rPr>
          <w:rFonts w:asciiTheme="minorHAnsi" w:hAnsiTheme="minorHAnsi"/>
          <w:noProof/>
        </w:rPr>
        <w:drawing>
          <wp:inline distT="0" distB="0" distL="0" distR="0" wp14:anchorId="668879CF" wp14:editId="1CB5E86C">
            <wp:extent cx="5731510" cy="1714500"/>
            <wp:effectExtent l="0" t="0" r="2540" b="0"/>
            <wp:docPr id="257" name="Chart 257"/>
            <wp:cNvGraphicFramePr/>
            <a:graphic xmlns:a="http://schemas.openxmlformats.org/drawingml/2006/main">
              <a:graphicData uri="http://schemas.openxmlformats.org/drawingml/2006/chart">
                <c:chart xmlns:c="http://schemas.openxmlformats.org/drawingml/2006/chart" xmlns:r="http://schemas.openxmlformats.org/officeDocument/2006/relationships" r:id="rId44"/>
              </a:graphicData>
            </a:graphic>
          </wp:inline>
        </w:drawing>
      </w:r>
    </w:p>
    <w:p w:rsidR="0065598A" w:rsidRPr="00872AE0" w:rsidRDefault="0065598A" w:rsidP="0065598A">
      <w:pPr>
        <w:spacing w:line="276" w:lineRule="auto"/>
        <w:jc w:val="center"/>
        <w:rPr>
          <w:rFonts w:asciiTheme="minorHAnsi" w:hAnsiTheme="minorHAnsi"/>
          <w:i/>
          <w:sz w:val="22"/>
        </w:rPr>
      </w:pPr>
      <w:r w:rsidRPr="00872AE0">
        <w:rPr>
          <w:rFonts w:asciiTheme="minorHAnsi" w:hAnsiTheme="minorHAnsi"/>
          <w:i/>
          <w:sz w:val="22"/>
        </w:rPr>
        <w:t>Burimi: Drejtoria e Financave Vendore, Ministria e Financave dhe Ekonomisë (2020)</w:t>
      </w:r>
    </w:p>
    <w:p w:rsidR="0065598A" w:rsidRPr="007F224E" w:rsidRDefault="0065598A" w:rsidP="00D57F4F">
      <w:pPr>
        <w:spacing w:line="276" w:lineRule="auto"/>
        <w:rPr>
          <w:rFonts w:asciiTheme="minorHAnsi" w:hAnsiTheme="minorHAnsi"/>
          <w:sz w:val="8"/>
        </w:rPr>
      </w:pPr>
    </w:p>
    <w:p w:rsidR="0065598A" w:rsidRPr="0065598A" w:rsidRDefault="0065598A" w:rsidP="00D57F4F">
      <w:pPr>
        <w:spacing w:before="120" w:after="120" w:line="276" w:lineRule="auto"/>
        <w:jc w:val="both"/>
        <w:rPr>
          <w:rFonts w:asciiTheme="minorHAnsi" w:hAnsiTheme="minorHAnsi"/>
          <w:lang w:val="sq-AL"/>
        </w:rPr>
      </w:pPr>
      <w:r w:rsidRPr="0065598A">
        <w:rPr>
          <w:rFonts w:asciiTheme="minorHAnsi" w:hAnsiTheme="minorHAnsi"/>
          <w:lang w:val="sq-AL"/>
        </w:rPr>
        <w:t>Duke marrë në analizë të ardhurat e NJVQV-ve sipas burimit konstatohet s</w:t>
      </w:r>
      <w:r w:rsidR="00317891">
        <w:rPr>
          <w:rFonts w:asciiTheme="minorHAnsi" w:hAnsiTheme="minorHAnsi"/>
          <w:lang w:val="sq-AL"/>
        </w:rPr>
        <w:t xml:space="preserve">a </w:t>
      </w:r>
      <w:r w:rsidRPr="0065598A">
        <w:rPr>
          <w:rFonts w:asciiTheme="minorHAnsi" w:hAnsiTheme="minorHAnsi"/>
          <w:lang w:val="sq-AL"/>
        </w:rPr>
        <w:t>mëposhtë vijon:</w:t>
      </w:r>
    </w:p>
    <w:p w:rsidR="0065598A" w:rsidRPr="00D43A95" w:rsidRDefault="0065598A" w:rsidP="00D57F4F">
      <w:pPr>
        <w:spacing w:before="120" w:after="120" w:line="276" w:lineRule="auto"/>
        <w:jc w:val="both"/>
        <w:rPr>
          <w:rFonts w:asciiTheme="minorHAnsi" w:hAnsiTheme="minorHAnsi"/>
          <w:i/>
          <w:u w:val="single"/>
          <w:lang w:val="sq-AL"/>
        </w:rPr>
      </w:pPr>
      <w:r w:rsidRPr="00D43A95">
        <w:rPr>
          <w:rFonts w:asciiTheme="minorHAnsi" w:hAnsiTheme="minorHAnsi"/>
          <w:i/>
          <w:u w:val="single"/>
          <w:lang w:val="sq-AL"/>
        </w:rPr>
        <w:t>Taksa mbi pasu</w:t>
      </w:r>
      <w:r w:rsidR="00317891" w:rsidRPr="00D43A95">
        <w:rPr>
          <w:rFonts w:asciiTheme="minorHAnsi" w:hAnsiTheme="minorHAnsi"/>
          <w:i/>
          <w:u w:val="single"/>
          <w:lang w:val="sq-AL"/>
        </w:rPr>
        <w:t>r</w:t>
      </w:r>
      <w:r w:rsidRPr="00D43A95">
        <w:rPr>
          <w:rFonts w:asciiTheme="minorHAnsi" w:hAnsiTheme="minorHAnsi"/>
          <w:i/>
          <w:u w:val="single"/>
          <w:lang w:val="sq-AL"/>
        </w:rPr>
        <w:t xml:space="preserve">inë </w:t>
      </w:r>
    </w:p>
    <w:p w:rsidR="0065598A" w:rsidRPr="0065598A" w:rsidRDefault="0065598A" w:rsidP="00D57F4F">
      <w:pPr>
        <w:spacing w:before="120" w:line="276" w:lineRule="auto"/>
        <w:jc w:val="both"/>
        <w:rPr>
          <w:rFonts w:asciiTheme="minorHAnsi" w:hAnsiTheme="minorHAnsi"/>
          <w:lang w:val="sq-AL"/>
        </w:rPr>
      </w:pPr>
      <w:r w:rsidRPr="0065598A">
        <w:rPr>
          <w:rFonts w:asciiTheme="minorHAnsi" w:hAnsiTheme="minorHAnsi"/>
          <w:lang w:val="sq-AL"/>
        </w:rPr>
        <w:t>Taksa mbi pasurinë, është nje burim mjaft i rëndësishëm vendor përmes së cilës njësitë e vetëqeverisjes vendore mund të zhvillojnë politika vendore nën diskrecionin e plotë të përdorimit. Vitet e fundit në politikat qeveritare, hartimi i metodologjisë së vendosjes së kësaj takse në bazë vlerë por dhe ndërtimi i një kadastre të detajuar mbi pronën përbëjnë thelbin e reformës mbi këtë burim financimi të njësive të vetëqeverisjes vendore. Duke ju referuar të dhënave të treguesve fiskalë, nësë marrim në analizë 5 mujorin në vite do të kemi rezultatet si në grafikun  3 të mëposhtëm:</w:t>
      </w:r>
    </w:p>
    <w:p w:rsidR="00CB50A8" w:rsidRPr="0065598A" w:rsidRDefault="00CB50A8" w:rsidP="00CB50A8">
      <w:pPr>
        <w:spacing w:before="120" w:line="276" w:lineRule="auto"/>
        <w:jc w:val="both"/>
        <w:rPr>
          <w:rFonts w:asciiTheme="minorHAnsi" w:hAnsiTheme="minorHAnsi"/>
          <w:i/>
          <w:lang w:val="sq-AL"/>
        </w:rPr>
      </w:pPr>
      <w:bookmarkStart w:id="68" w:name="_Toc44404469"/>
      <w:r w:rsidRPr="00CB50A8">
        <w:rPr>
          <w:rFonts w:asciiTheme="minorHAnsi" w:hAnsiTheme="minorHAnsi"/>
          <w:i/>
          <w:lang w:val="sq-AL"/>
        </w:rPr>
        <w:t xml:space="preserve">Grafiku </w:t>
      </w:r>
      <w:r w:rsidRPr="00CB50A8">
        <w:rPr>
          <w:rFonts w:asciiTheme="minorHAnsi" w:hAnsiTheme="minorHAnsi"/>
          <w:i/>
          <w:lang w:val="sq-AL"/>
        </w:rPr>
        <w:fldChar w:fldCharType="begin"/>
      </w:r>
      <w:r w:rsidRPr="00CB50A8">
        <w:rPr>
          <w:rFonts w:asciiTheme="minorHAnsi" w:hAnsiTheme="minorHAnsi"/>
          <w:i/>
          <w:lang w:val="sq-AL"/>
        </w:rPr>
        <w:instrText xml:space="preserve"> SEQ Grafiku \* ARABIC </w:instrText>
      </w:r>
      <w:r w:rsidRPr="00CB50A8">
        <w:rPr>
          <w:rFonts w:asciiTheme="minorHAnsi" w:hAnsiTheme="minorHAnsi"/>
          <w:i/>
          <w:lang w:val="sq-AL"/>
        </w:rPr>
        <w:fldChar w:fldCharType="separate"/>
      </w:r>
      <w:r w:rsidR="00C342E2">
        <w:rPr>
          <w:rFonts w:asciiTheme="minorHAnsi" w:hAnsiTheme="minorHAnsi"/>
          <w:i/>
          <w:noProof/>
          <w:lang w:val="sq-AL"/>
        </w:rPr>
        <w:t>29</w:t>
      </w:r>
      <w:r w:rsidRPr="00CB50A8">
        <w:rPr>
          <w:rFonts w:asciiTheme="minorHAnsi" w:hAnsiTheme="minorHAnsi"/>
          <w:i/>
          <w:lang w:val="sq-AL"/>
        </w:rPr>
        <w:fldChar w:fldCharType="end"/>
      </w:r>
      <w:r w:rsidRPr="00CB50A8">
        <w:rPr>
          <w:rFonts w:asciiTheme="minorHAnsi" w:hAnsiTheme="minorHAnsi"/>
          <w:i/>
          <w:lang w:val="sq-AL"/>
        </w:rPr>
        <w:t xml:space="preserve">: </w:t>
      </w:r>
      <w:r w:rsidRPr="0065598A">
        <w:rPr>
          <w:rFonts w:asciiTheme="minorHAnsi" w:hAnsiTheme="minorHAnsi"/>
          <w:i/>
          <w:lang w:val="sq-AL"/>
        </w:rPr>
        <w:t>Të ardhurat e përgjithshme të pushtetit e pushtetit vendor</w:t>
      </w:r>
      <w:bookmarkEnd w:id="68"/>
    </w:p>
    <w:p w:rsidR="0065598A" w:rsidRPr="0065598A" w:rsidRDefault="0065598A" w:rsidP="0065598A">
      <w:pPr>
        <w:spacing w:before="120" w:line="276" w:lineRule="auto"/>
        <w:jc w:val="center"/>
        <w:rPr>
          <w:rFonts w:asciiTheme="minorHAnsi" w:hAnsiTheme="minorHAnsi"/>
          <w:b/>
          <w:lang w:val="sq-AL"/>
        </w:rPr>
      </w:pPr>
      <w:r w:rsidRPr="0065598A">
        <w:rPr>
          <w:rFonts w:asciiTheme="minorHAnsi" w:eastAsia="Century Schoolbook" w:hAnsiTheme="minorHAnsi"/>
          <w:noProof/>
          <w:sz w:val="20"/>
          <w:szCs w:val="22"/>
        </w:rPr>
        <w:drawing>
          <wp:inline distT="0" distB="0" distL="0" distR="0" wp14:anchorId="09A23222" wp14:editId="2E69ECFD">
            <wp:extent cx="5731510" cy="1645920"/>
            <wp:effectExtent l="0" t="0" r="2540" b="11430"/>
            <wp:docPr id="262" name="Chart 262"/>
            <wp:cNvGraphicFramePr/>
            <a:graphic xmlns:a="http://schemas.openxmlformats.org/drawingml/2006/main">
              <a:graphicData uri="http://schemas.openxmlformats.org/drawingml/2006/chart">
                <c:chart xmlns:c="http://schemas.openxmlformats.org/drawingml/2006/chart" xmlns:r="http://schemas.openxmlformats.org/officeDocument/2006/relationships" r:id="rId45"/>
              </a:graphicData>
            </a:graphic>
          </wp:inline>
        </w:drawing>
      </w:r>
    </w:p>
    <w:p w:rsidR="0065598A" w:rsidRPr="00EB3166" w:rsidRDefault="0065598A" w:rsidP="0065598A">
      <w:pPr>
        <w:spacing w:after="120" w:line="276" w:lineRule="auto"/>
        <w:jc w:val="center"/>
        <w:rPr>
          <w:rFonts w:asciiTheme="minorHAnsi" w:hAnsiTheme="minorHAnsi"/>
          <w:i/>
          <w:sz w:val="20"/>
          <w:szCs w:val="20"/>
          <w:lang w:val="sq-AL"/>
        </w:rPr>
      </w:pPr>
      <w:r w:rsidRPr="00EB3166">
        <w:rPr>
          <w:rFonts w:asciiTheme="minorHAnsi" w:hAnsiTheme="minorHAnsi"/>
          <w:i/>
          <w:sz w:val="20"/>
          <w:szCs w:val="20"/>
          <w:lang w:val="sq-AL"/>
        </w:rPr>
        <w:t>Burimi: Drejtoria e Financave Vendore, Ministria e Financave dhe Ekonomisë (2020)</w:t>
      </w:r>
    </w:p>
    <w:p w:rsidR="0065598A" w:rsidRPr="0065598A" w:rsidRDefault="0065598A" w:rsidP="0065598A">
      <w:pPr>
        <w:spacing w:before="120" w:after="120" w:line="276" w:lineRule="auto"/>
        <w:jc w:val="both"/>
        <w:rPr>
          <w:rFonts w:asciiTheme="minorHAnsi" w:hAnsiTheme="minorHAnsi"/>
          <w:lang w:val="sq-AL"/>
        </w:rPr>
      </w:pPr>
      <w:r w:rsidRPr="0065598A">
        <w:rPr>
          <w:rFonts w:asciiTheme="minorHAnsi" w:hAnsiTheme="minorHAnsi"/>
          <w:lang w:val="sq-AL"/>
        </w:rPr>
        <w:t>Duke analizuar në raport me një vit më parë, nga taksa mbi pasurinë është siguruar rreth 1.2 miliard lekë më pak të ardhura, pasojë kjo e situatës së krijuar nga pandemia gjatë gjysmës së parë të vitit 2020. Në total për 5 mujorin e vitit 2020 nga taska mbi pasurinë pushteti vendor ka siguruara rreth 1.6 miliard lekë, rënia me 47% në raport me një vit më parë e të ardhurave të kësaj takse, vjen si pasojë e ngjarjes së jashtëzakonshme të krijuar nga pandemia. Megjithatë. njësitë e vetëqeverisjes vendore do të synojnë rikuperimin për një periudhë afatmesme të kësaj problematike të krijuar në këtë vit.</w:t>
      </w:r>
    </w:p>
    <w:p w:rsidR="0065598A" w:rsidRPr="00D43A95" w:rsidRDefault="0065598A" w:rsidP="0065598A">
      <w:pPr>
        <w:spacing w:before="120" w:after="120" w:line="276" w:lineRule="auto"/>
        <w:jc w:val="both"/>
        <w:rPr>
          <w:rFonts w:asciiTheme="minorHAnsi" w:hAnsiTheme="minorHAnsi"/>
          <w:i/>
          <w:u w:val="single"/>
          <w:lang w:val="sq-AL"/>
        </w:rPr>
      </w:pPr>
      <w:r w:rsidRPr="00D43A95">
        <w:rPr>
          <w:rFonts w:asciiTheme="minorHAnsi" w:hAnsiTheme="minorHAnsi"/>
          <w:i/>
          <w:u w:val="single"/>
          <w:lang w:val="sq-AL"/>
        </w:rPr>
        <w:t>Taksa e Biznesit të vogël</w:t>
      </w:r>
    </w:p>
    <w:p w:rsidR="0065598A" w:rsidRPr="00CB50A8" w:rsidRDefault="0065598A" w:rsidP="00CB50A8">
      <w:pPr>
        <w:spacing w:before="120" w:after="120" w:line="276" w:lineRule="auto"/>
        <w:jc w:val="both"/>
        <w:rPr>
          <w:rFonts w:asciiTheme="minorHAnsi" w:hAnsiTheme="minorHAnsi"/>
          <w:lang w:val="sq-AL"/>
        </w:rPr>
      </w:pPr>
      <w:r w:rsidRPr="0065598A">
        <w:rPr>
          <w:rFonts w:asciiTheme="minorHAnsi" w:hAnsiTheme="minorHAnsi"/>
          <w:lang w:val="sq-AL"/>
        </w:rPr>
        <w:t>Tatimi mbi biznesin e vogël në vite si pasojë e ndryshimeve fiskale, në vite ka patur një rënie në peshën që zë në buxhetin vendor. Në këto kushte mund të evidentohet lehtësisht në grafikun e mëposhtëm nr. 4, ndryshimi në vite i këtij burimi:</w:t>
      </w:r>
    </w:p>
    <w:p w:rsidR="00CB50A8" w:rsidRPr="00CB50A8" w:rsidRDefault="00CB50A8" w:rsidP="00CB50A8">
      <w:pPr>
        <w:spacing w:before="120" w:line="276" w:lineRule="auto"/>
        <w:jc w:val="both"/>
        <w:rPr>
          <w:rFonts w:asciiTheme="minorHAnsi" w:hAnsiTheme="minorHAnsi"/>
          <w:b/>
          <w:i/>
          <w:lang w:val="sq-AL"/>
        </w:rPr>
      </w:pPr>
      <w:bookmarkStart w:id="69" w:name="_Toc44404470"/>
      <w:r w:rsidRPr="00CB50A8">
        <w:rPr>
          <w:rFonts w:asciiTheme="minorHAnsi" w:hAnsiTheme="minorHAnsi"/>
          <w:i/>
          <w:lang w:val="sq-AL"/>
        </w:rPr>
        <w:lastRenderedPageBreak/>
        <w:t xml:space="preserve">Grafiku </w:t>
      </w:r>
      <w:r w:rsidRPr="00CB50A8">
        <w:rPr>
          <w:rFonts w:asciiTheme="minorHAnsi" w:hAnsiTheme="minorHAnsi"/>
          <w:i/>
          <w:lang w:val="sq-AL"/>
        </w:rPr>
        <w:fldChar w:fldCharType="begin"/>
      </w:r>
      <w:r w:rsidRPr="00CB50A8">
        <w:rPr>
          <w:rFonts w:asciiTheme="minorHAnsi" w:hAnsiTheme="minorHAnsi"/>
          <w:i/>
          <w:lang w:val="sq-AL"/>
        </w:rPr>
        <w:instrText xml:space="preserve"> SEQ Grafiku \* ARABIC </w:instrText>
      </w:r>
      <w:r w:rsidRPr="00CB50A8">
        <w:rPr>
          <w:rFonts w:asciiTheme="minorHAnsi" w:hAnsiTheme="minorHAnsi"/>
          <w:i/>
          <w:lang w:val="sq-AL"/>
        </w:rPr>
        <w:fldChar w:fldCharType="separate"/>
      </w:r>
      <w:r w:rsidR="00C342E2">
        <w:rPr>
          <w:rFonts w:asciiTheme="minorHAnsi" w:hAnsiTheme="minorHAnsi"/>
          <w:i/>
          <w:noProof/>
          <w:lang w:val="sq-AL"/>
        </w:rPr>
        <w:t>30</w:t>
      </w:r>
      <w:r w:rsidRPr="00CB50A8">
        <w:rPr>
          <w:rFonts w:asciiTheme="minorHAnsi" w:hAnsiTheme="minorHAnsi"/>
          <w:i/>
          <w:lang w:val="sq-AL"/>
        </w:rPr>
        <w:fldChar w:fldCharType="end"/>
      </w:r>
      <w:r w:rsidRPr="00CB50A8">
        <w:rPr>
          <w:rFonts w:asciiTheme="minorHAnsi" w:hAnsiTheme="minorHAnsi"/>
          <w:i/>
          <w:lang w:val="sq-AL"/>
        </w:rPr>
        <w:t xml:space="preserve">: </w:t>
      </w:r>
      <w:r w:rsidRPr="0065598A">
        <w:rPr>
          <w:rFonts w:asciiTheme="minorHAnsi" w:hAnsiTheme="minorHAnsi"/>
          <w:i/>
          <w:lang w:val="sq-AL"/>
        </w:rPr>
        <w:t>Të ardhurat e përgjithshme të pushtetit e pushtetit vendor</w:t>
      </w:r>
      <w:bookmarkEnd w:id="69"/>
    </w:p>
    <w:p w:rsidR="0065598A" w:rsidRPr="0065598A" w:rsidRDefault="0065598A" w:rsidP="007F224E">
      <w:pPr>
        <w:jc w:val="center"/>
        <w:rPr>
          <w:rFonts w:asciiTheme="minorHAnsi" w:hAnsiTheme="minorHAnsi"/>
          <w:b/>
          <w:lang w:val="sq-AL"/>
        </w:rPr>
      </w:pPr>
      <w:r w:rsidRPr="0065598A">
        <w:rPr>
          <w:rFonts w:asciiTheme="minorHAnsi" w:eastAsia="Century Schoolbook" w:hAnsiTheme="minorHAnsi"/>
          <w:noProof/>
          <w:sz w:val="20"/>
          <w:szCs w:val="22"/>
        </w:rPr>
        <w:drawing>
          <wp:inline distT="0" distB="0" distL="0" distR="0" wp14:anchorId="30B566F3" wp14:editId="3A3B453B">
            <wp:extent cx="5731510" cy="1859280"/>
            <wp:effectExtent l="0" t="0" r="21590" b="26670"/>
            <wp:docPr id="263" name="Chart 263"/>
            <wp:cNvGraphicFramePr/>
            <a:graphic xmlns:a="http://schemas.openxmlformats.org/drawingml/2006/main">
              <a:graphicData uri="http://schemas.openxmlformats.org/drawingml/2006/chart">
                <c:chart xmlns:c="http://schemas.openxmlformats.org/drawingml/2006/chart" xmlns:r="http://schemas.openxmlformats.org/officeDocument/2006/relationships" r:id="rId46"/>
              </a:graphicData>
            </a:graphic>
          </wp:inline>
        </w:drawing>
      </w:r>
    </w:p>
    <w:p w:rsidR="0065598A" w:rsidRPr="00EB3166" w:rsidRDefault="0065598A" w:rsidP="0065598A">
      <w:pPr>
        <w:spacing w:line="276" w:lineRule="auto"/>
        <w:jc w:val="center"/>
        <w:rPr>
          <w:rFonts w:asciiTheme="minorHAnsi" w:hAnsiTheme="minorHAnsi"/>
          <w:i/>
          <w:sz w:val="20"/>
          <w:szCs w:val="20"/>
          <w:lang w:val="sq-AL"/>
        </w:rPr>
      </w:pPr>
      <w:r w:rsidRPr="00EB3166">
        <w:rPr>
          <w:rFonts w:asciiTheme="minorHAnsi" w:hAnsiTheme="minorHAnsi"/>
          <w:i/>
          <w:sz w:val="20"/>
          <w:szCs w:val="20"/>
          <w:lang w:val="sq-AL"/>
        </w:rPr>
        <w:t>Burimi: Drejtoria e Financave Vendore, Ministria e Financave dhe Ekonomisë (2020)</w:t>
      </w:r>
    </w:p>
    <w:p w:rsidR="0065598A" w:rsidRPr="0065598A" w:rsidRDefault="0065598A" w:rsidP="0065598A">
      <w:pPr>
        <w:spacing w:line="276" w:lineRule="auto"/>
        <w:jc w:val="both"/>
        <w:rPr>
          <w:rFonts w:asciiTheme="minorHAnsi" w:hAnsiTheme="minorHAnsi"/>
          <w:sz w:val="8"/>
          <w:lang w:val="sq-AL"/>
        </w:rPr>
      </w:pPr>
    </w:p>
    <w:p w:rsidR="0065598A" w:rsidRDefault="0065598A" w:rsidP="0065598A">
      <w:pPr>
        <w:spacing w:before="120" w:after="120" w:line="276" w:lineRule="auto"/>
        <w:jc w:val="both"/>
        <w:rPr>
          <w:rFonts w:asciiTheme="minorHAnsi" w:hAnsiTheme="minorHAnsi"/>
          <w:lang w:val="sq-AL"/>
        </w:rPr>
      </w:pPr>
      <w:r w:rsidRPr="0065598A">
        <w:rPr>
          <w:rFonts w:asciiTheme="minorHAnsi" w:hAnsiTheme="minorHAnsi"/>
          <w:lang w:val="sq-AL"/>
        </w:rPr>
        <w:t>Duke analizuar trendin e ndryshimit, në krahasim me 5 mujorin e vitit 2019, gjatë vitit 2020 nga kjo taskë janë siguruar rreth 306 milion lekë ose 8% më shumë. Ky burim pamvarësisht se zë vetëm 4.3% të të ardhura vendore, ka pësuar një rritje me rreth 24 milion lekë. Vlen për tu theksuar fakti që si pasojë e situatës së krijuar taksa e biznesit të vogel është i vetmi burim i të ardhurave që ka shënuar rritje në raport me një vit më parë.</w:t>
      </w:r>
    </w:p>
    <w:p w:rsidR="0065598A" w:rsidRPr="00D43A95" w:rsidRDefault="0065598A" w:rsidP="0065598A">
      <w:pPr>
        <w:spacing w:before="120" w:after="120" w:line="276" w:lineRule="auto"/>
        <w:jc w:val="both"/>
        <w:rPr>
          <w:rFonts w:asciiTheme="minorHAnsi" w:hAnsiTheme="minorHAnsi"/>
          <w:i/>
          <w:u w:val="single"/>
          <w:lang w:val="sq-AL"/>
        </w:rPr>
      </w:pPr>
      <w:r w:rsidRPr="00D43A95">
        <w:rPr>
          <w:rFonts w:asciiTheme="minorHAnsi" w:hAnsiTheme="minorHAnsi"/>
          <w:i/>
          <w:u w:val="single"/>
          <w:lang w:val="sq-AL"/>
        </w:rPr>
        <w:t>Taksat Lokale</w:t>
      </w:r>
    </w:p>
    <w:p w:rsidR="0065598A" w:rsidRPr="0065598A" w:rsidRDefault="0065598A" w:rsidP="0065598A">
      <w:pPr>
        <w:spacing w:before="120" w:after="120" w:line="276" w:lineRule="auto"/>
        <w:jc w:val="both"/>
        <w:rPr>
          <w:rFonts w:asciiTheme="minorHAnsi" w:hAnsiTheme="minorHAnsi"/>
          <w:lang w:val="sq-AL"/>
        </w:rPr>
      </w:pPr>
      <w:r w:rsidRPr="0065598A">
        <w:rPr>
          <w:rFonts w:asciiTheme="minorHAnsi" w:hAnsiTheme="minorHAnsi"/>
          <w:lang w:val="sq-AL"/>
        </w:rPr>
        <w:t>Njësitë e vetëqeverisjes vendore gjithmonë e më shumë po konsolidohen në këndvështimin financiar dhe për këtë e dëshmon rritja e të ardhurave nga takasta lokale si një ndër burimet më të rëndësishme të financimit. Në total, të ardhurat nga taksat vendore zënë rreth 75.4% të të ardhurave të veta vendore, tregues ky i cili reflektohet si në grafikun 5 e mëposhtëm:</w:t>
      </w:r>
    </w:p>
    <w:p w:rsidR="00CB50A8" w:rsidRPr="00CB50A8" w:rsidRDefault="00CB50A8" w:rsidP="00CB50A8">
      <w:pPr>
        <w:pStyle w:val="Caption"/>
        <w:rPr>
          <w:rFonts w:asciiTheme="minorHAnsi" w:hAnsiTheme="minorHAnsi"/>
          <w:b w:val="0"/>
          <w:bCs w:val="0"/>
          <w:i/>
          <w:color w:val="auto"/>
          <w:sz w:val="24"/>
          <w:szCs w:val="24"/>
          <w:lang w:val="sq-AL"/>
        </w:rPr>
      </w:pPr>
      <w:bookmarkStart w:id="70" w:name="_Toc44404471"/>
      <w:r w:rsidRPr="00CB50A8">
        <w:rPr>
          <w:rFonts w:asciiTheme="minorHAnsi" w:hAnsiTheme="minorHAnsi"/>
          <w:b w:val="0"/>
          <w:bCs w:val="0"/>
          <w:i/>
          <w:color w:val="auto"/>
          <w:sz w:val="24"/>
          <w:szCs w:val="24"/>
          <w:lang w:val="sq-AL"/>
        </w:rPr>
        <w:t xml:space="preserve">Grafiku </w:t>
      </w:r>
      <w:r w:rsidRPr="00CB50A8">
        <w:rPr>
          <w:rFonts w:asciiTheme="minorHAnsi" w:hAnsiTheme="minorHAnsi"/>
          <w:b w:val="0"/>
          <w:bCs w:val="0"/>
          <w:i/>
          <w:color w:val="auto"/>
          <w:sz w:val="24"/>
          <w:szCs w:val="24"/>
          <w:lang w:val="sq-AL"/>
        </w:rPr>
        <w:fldChar w:fldCharType="begin"/>
      </w:r>
      <w:r w:rsidRPr="00CB50A8">
        <w:rPr>
          <w:rFonts w:asciiTheme="minorHAnsi" w:hAnsiTheme="minorHAnsi"/>
          <w:b w:val="0"/>
          <w:bCs w:val="0"/>
          <w:i/>
          <w:color w:val="auto"/>
          <w:sz w:val="24"/>
          <w:szCs w:val="24"/>
          <w:lang w:val="sq-AL"/>
        </w:rPr>
        <w:instrText xml:space="preserve"> SEQ Grafiku \* ARABIC </w:instrText>
      </w:r>
      <w:r w:rsidRPr="00CB50A8">
        <w:rPr>
          <w:rFonts w:asciiTheme="minorHAnsi" w:hAnsiTheme="minorHAnsi"/>
          <w:b w:val="0"/>
          <w:bCs w:val="0"/>
          <w:i/>
          <w:color w:val="auto"/>
          <w:sz w:val="24"/>
          <w:szCs w:val="24"/>
          <w:lang w:val="sq-AL"/>
        </w:rPr>
        <w:fldChar w:fldCharType="separate"/>
      </w:r>
      <w:r w:rsidR="00C342E2">
        <w:rPr>
          <w:rFonts w:asciiTheme="minorHAnsi" w:hAnsiTheme="minorHAnsi"/>
          <w:b w:val="0"/>
          <w:bCs w:val="0"/>
          <w:i/>
          <w:noProof/>
          <w:color w:val="auto"/>
          <w:sz w:val="24"/>
          <w:szCs w:val="24"/>
          <w:lang w:val="sq-AL"/>
        </w:rPr>
        <w:t>31</w:t>
      </w:r>
      <w:r w:rsidRPr="00CB50A8">
        <w:rPr>
          <w:rFonts w:asciiTheme="minorHAnsi" w:hAnsiTheme="minorHAnsi"/>
          <w:b w:val="0"/>
          <w:bCs w:val="0"/>
          <w:i/>
          <w:color w:val="auto"/>
          <w:sz w:val="24"/>
          <w:szCs w:val="24"/>
          <w:lang w:val="sq-AL"/>
        </w:rPr>
        <w:fldChar w:fldCharType="end"/>
      </w:r>
      <w:r w:rsidRPr="00CB50A8">
        <w:rPr>
          <w:rFonts w:asciiTheme="minorHAnsi" w:hAnsiTheme="minorHAnsi"/>
          <w:b w:val="0"/>
          <w:bCs w:val="0"/>
          <w:i/>
          <w:color w:val="auto"/>
          <w:sz w:val="24"/>
          <w:szCs w:val="24"/>
          <w:lang w:val="sq-AL"/>
        </w:rPr>
        <w:t>: Të ardhurat e përgjithshme të pushtetit e pushtetit vendor</w:t>
      </w:r>
      <w:bookmarkEnd w:id="70"/>
    </w:p>
    <w:p w:rsidR="0065598A" w:rsidRPr="0065598A" w:rsidRDefault="0065598A" w:rsidP="0065598A">
      <w:pPr>
        <w:spacing w:before="120" w:line="276" w:lineRule="auto"/>
        <w:jc w:val="center"/>
        <w:rPr>
          <w:rFonts w:asciiTheme="minorHAnsi" w:hAnsiTheme="minorHAnsi"/>
          <w:b/>
          <w:lang w:val="sq-AL"/>
        </w:rPr>
      </w:pPr>
      <w:r w:rsidRPr="0065598A">
        <w:rPr>
          <w:rFonts w:asciiTheme="minorHAnsi" w:eastAsia="Century Schoolbook" w:hAnsiTheme="minorHAnsi"/>
          <w:noProof/>
          <w:sz w:val="20"/>
          <w:szCs w:val="22"/>
        </w:rPr>
        <w:drawing>
          <wp:inline distT="0" distB="0" distL="0" distR="0" wp14:anchorId="0EDBB0D1" wp14:editId="1D1B073D">
            <wp:extent cx="5731510" cy="1737360"/>
            <wp:effectExtent l="0" t="0" r="2540" b="15240"/>
            <wp:docPr id="264" name="Chart 264"/>
            <wp:cNvGraphicFramePr/>
            <a:graphic xmlns:a="http://schemas.openxmlformats.org/drawingml/2006/main">
              <a:graphicData uri="http://schemas.openxmlformats.org/drawingml/2006/chart">
                <c:chart xmlns:c="http://schemas.openxmlformats.org/drawingml/2006/chart" xmlns:r="http://schemas.openxmlformats.org/officeDocument/2006/relationships" r:id="rId47"/>
              </a:graphicData>
            </a:graphic>
          </wp:inline>
        </w:drawing>
      </w:r>
    </w:p>
    <w:p w:rsidR="0065598A" w:rsidRPr="00EB3166" w:rsidRDefault="0065598A" w:rsidP="0065598A">
      <w:pPr>
        <w:spacing w:after="120" w:line="276" w:lineRule="auto"/>
        <w:jc w:val="center"/>
        <w:rPr>
          <w:rFonts w:asciiTheme="minorHAnsi" w:hAnsiTheme="minorHAnsi"/>
          <w:i/>
          <w:sz w:val="20"/>
          <w:szCs w:val="20"/>
          <w:lang w:val="sq-AL"/>
        </w:rPr>
      </w:pPr>
      <w:r w:rsidRPr="00EB3166">
        <w:rPr>
          <w:rFonts w:asciiTheme="minorHAnsi" w:hAnsiTheme="minorHAnsi"/>
          <w:i/>
          <w:sz w:val="20"/>
          <w:szCs w:val="20"/>
          <w:lang w:val="sq-AL"/>
        </w:rPr>
        <w:t>Burimi: Drejtoria e Financave Vendore, Ministria e Financave dhe Ekonomisë (2020)</w:t>
      </w:r>
    </w:p>
    <w:p w:rsidR="0065598A" w:rsidRPr="0065598A" w:rsidRDefault="0065598A" w:rsidP="0065598A">
      <w:pPr>
        <w:spacing w:line="276" w:lineRule="auto"/>
        <w:jc w:val="both"/>
        <w:rPr>
          <w:rFonts w:asciiTheme="minorHAnsi" w:hAnsiTheme="minorHAnsi"/>
          <w:lang w:val="sq-AL"/>
        </w:rPr>
      </w:pPr>
      <w:r w:rsidRPr="0065598A">
        <w:rPr>
          <w:rFonts w:asciiTheme="minorHAnsi" w:hAnsiTheme="minorHAnsi"/>
          <w:lang w:val="sq-AL"/>
        </w:rPr>
        <w:t>Të ardhurat nga taksat lokale në 5 mujorin e parë të vitit 2020 kanë arritur në rreth 5.2 miliard lekë, ose rreth 3.1 miliard lekë më pak se e njëjta periudhë e një viti më parë. Kjo rënie me rreth 37% tregon vështirësitë e krijuara për të ardhurat vendore nga situata e pandemisë dhe gjithasthtu rolin e rëndësishëm që kanë patur njësitë e vetëqeverisjes vendore në përballimin me sukses të situatës. Vazhdimisht nga Ministria e Financave dhe Ekonomisë është vënë theksi jo vetëm në mënyrën e përdorimit të fondeve publike por edhe në rëndësinë që ka rritja e të ardhurave të veta vendore në zhvillimin cilësorë të shërbimeve që ofron pushteti vendor për qytetarët. Njësitë e vetëqeverisjes vendore synojnë rikuperimin e gjendjes financiare brenda një periudhe afatmesme me qëllim rikthimin e trendit normal të të ardhurave nga burimet e veta vendore.</w:t>
      </w:r>
    </w:p>
    <w:p w:rsidR="00D17FD3" w:rsidRPr="00D17FD3" w:rsidRDefault="00D17FD3" w:rsidP="00317891">
      <w:pPr>
        <w:spacing w:before="120" w:after="120" w:line="276" w:lineRule="auto"/>
        <w:jc w:val="both"/>
        <w:rPr>
          <w:rFonts w:asciiTheme="minorHAnsi" w:hAnsiTheme="minorHAnsi"/>
          <w:b/>
          <w:i/>
          <w:lang w:val="sq-AL"/>
        </w:rPr>
      </w:pPr>
      <w:r w:rsidRPr="00D17FD3">
        <w:rPr>
          <w:rFonts w:asciiTheme="minorHAnsi" w:hAnsiTheme="minorHAnsi"/>
          <w:b/>
          <w:i/>
          <w:lang w:val="sq-AL"/>
        </w:rPr>
        <w:lastRenderedPageBreak/>
        <w:t>Shpenzimet vendor</w:t>
      </w:r>
      <w:r w:rsidR="00317891">
        <w:rPr>
          <w:rFonts w:asciiTheme="minorHAnsi" w:hAnsiTheme="minorHAnsi"/>
          <w:b/>
          <w:i/>
          <w:lang w:val="sq-AL"/>
        </w:rPr>
        <w:t>e</w:t>
      </w:r>
    </w:p>
    <w:p w:rsidR="00D17FD3" w:rsidRPr="00D17FD3" w:rsidRDefault="00D17FD3" w:rsidP="00D17FD3">
      <w:pPr>
        <w:spacing w:before="120" w:after="120" w:line="276" w:lineRule="auto"/>
        <w:jc w:val="both"/>
        <w:rPr>
          <w:rFonts w:asciiTheme="minorHAnsi" w:hAnsiTheme="minorHAnsi"/>
          <w:lang w:val="sq-AL"/>
        </w:rPr>
      </w:pPr>
      <w:r w:rsidRPr="00D17FD3">
        <w:rPr>
          <w:rFonts w:asciiTheme="minorHAnsi" w:hAnsiTheme="minorHAnsi"/>
          <w:lang w:val="sq-AL"/>
        </w:rPr>
        <w:t>Shpenzimet e Pushtetit Vendor janë një tregues i rëndësishëm i p</w:t>
      </w:r>
      <w:r w:rsidR="00317891">
        <w:rPr>
          <w:rFonts w:asciiTheme="minorHAnsi" w:hAnsiTheme="minorHAnsi"/>
          <w:lang w:val="sq-AL"/>
        </w:rPr>
        <w:t>r</w:t>
      </w:r>
      <w:r w:rsidRPr="00D17FD3">
        <w:rPr>
          <w:rFonts w:asciiTheme="minorHAnsi" w:hAnsiTheme="minorHAnsi"/>
          <w:lang w:val="sq-AL"/>
        </w:rPr>
        <w:t xml:space="preserve">ocesit të menaxhimit të financave publike në nivel vendor. Ndër vite shpenzimet e pushtetit vendor janë një tregues në rritje të lehtë dhe kjo vjen si pasojë e rritjes së nivelit të shërbimeve dhe funksioneve që pushteti vendor ofron për qytetarët e saj. </w:t>
      </w:r>
    </w:p>
    <w:p w:rsidR="00D17FD3" w:rsidRPr="00D17FD3" w:rsidRDefault="00D17FD3" w:rsidP="00D17FD3">
      <w:pPr>
        <w:spacing w:before="120" w:after="120" w:line="276" w:lineRule="auto"/>
        <w:jc w:val="both"/>
        <w:rPr>
          <w:rFonts w:asciiTheme="minorHAnsi" w:hAnsiTheme="minorHAnsi"/>
          <w:lang w:val="sq-AL"/>
        </w:rPr>
      </w:pPr>
      <w:r w:rsidRPr="00D17FD3">
        <w:rPr>
          <w:rFonts w:asciiTheme="minorHAnsi" w:hAnsiTheme="minorHAnsi"/>
          <w:lang w:val="sq-AL"/>
        </w:rPr>
        <w:t>Buxheti vendor për 5 mujorin e parë të vitit 2020, nga të dhënat faktike të thesarit rezulton të jetë realizuar në masën 17.2 miliard lekë ose 6.4 miliard më pak se e njëjta periudhë e një viti më parë. Nga analiza e të dhënave të thesarit vihet re që pjesën më të madhe të kësaj rënie të konsiderueshme krahasuar me një vit më parë të shpenzimeve vendore lidhet me situatën e krijuar nga pandemia dhe ndalimi i shume punëve publike në formën e investimeve për të cilat kanë marrë anagazhim njësitë e vetëqeverisjes vendore. Kjo evidentohet qartë nëse analizojmë në nivel llogarie, ku pjesën më të madhe të rënie së shpenzimeve e ka zëri i shpenzimeve për investime e cila ka një rënie me rreth 61% më më pak se e njëjta periudhë e vitit 2019.</w:t>
      </w:r>
    </w:p>
    <w:p w:rsidR="00CB50A8" w:rsidRPr="00D17FD3" w:rsidRDefault="00CB50A8" w:rsidP="00CB50A8">
      <w:pPr>
        <w:spacing w:before="120" w:after="120" w:line="276" w:lineRule="auto"/>
        <w:ind w:right="-43"/>
        <w:rPr>
          <w:rFonts w:asciiTheme="minorHAnsi" w:hAnsiTheme="minorHAnsi"/>
          <w:i/>
          <w:lang w:val="sq-AL"/>
        </w:rPr>
      </w:pPr>
      <w:bookmarkStart w:id="71" w:name="_Toc44404472"/>
      <w:r w:rsidRPr="00CB50A8">
        <w:rPr>
          <w:rFonts w:asciiTheme="minorHAnsi" w:hAnsiTheme="minorHAnsi"/>
          <w:i/>
          <w:lang w:val="sq-AL"/>
        </w:rPr>
        <w:t xml:space="preserve">Grafiku </w:t>
      </w:r>
      <w:r w:rsidRPr="00CB50A8">
        <w:rPr>
          <w:rFonts w:asciiTheme="minorHAnsi" w:hAnsiTheme="minorHAnsi"/>
          <w:i/>
          <w:lang w:val="sq-AL"/>
        </w:rPr>
        <w:fldChar w:fldCharType="begin"/>
      </w:r>
      <w:r w:rsidRPr="00CB50A8">
        <w:rPr>
          <w:rFonts w:asciiTheme="minorHAnsi" w:hAnsiTheme="minorHAnsi"/>
          <w:i/>
          <w:lang w:val="sq-AL"/>
        </w:rPr>
        <w:instrText xml:space="preserve"> SEQ Grafiku \* ARABIC </w:instrText>
      </w:r>
      <w:r w:rsidRPr="00CB50A8">
        <w:rPr>
          <w:rFonts w:asciiTheme="minorHAnsi" w:hAnsiTheme="minorHAnsi"/>
          <w:i/>
          <w:lang w:val="sq-AL"/>
        </w:rPr>
        <w:fldChar w:fldCharType="separate"/>
      </w:r>
      <w:r w:rsidR="00C342E2">
        <w:rPr>
          <w:rFonts w:asciiTheme="minorHAnsi" w:hAnsiTheme="minorHAnsi"/>
          <w:i/>
          <w:noProof/>
          <w:lang w:val="sq-AL"/>
        </w:rPr>
        <w:t>32</w:t>
      </w:r>
      <w:r w:rsidRPr="00CB50A8">
        <w:rPr>
          <w:rFonts w:asciiTheme="minorHAnsi" w:hAnsiTheme="minorHAnsi"/>
          <w:i/>
          <w:lang w:val="sq-AL"/>
        </w:rPr>
        <w:fldChar w:fldCharType="end"/>
      </w:r>
      <w:r w:rsidRPr="00D17FD3">
        <w:rPr>
          <w:rFonts w:asciiTheme="minorHAnsi" w:hAnsiTheme="minorHAnsi"/>
          <w:i/>
          <w:lang w:val="sq-AL"/>
        </w:rPr>
        <w:t>: Shpenzimet për pushtetin vendor dhe ritimi i ndryshimit të tyre</w:t>
      </w:r>
      <w:bookmarkEnd w:id="71"/>
    </w:p>
    <w:p w:rsidR="00D17FD3" w:rsidRPr="00D17FD3" w:rsidRDefault="00D17FD3" w:rsidP="00317891">
      <w:pPr>
        <w:spacing w:before="120" w:after="120" w:line="276" w:lineRule="auto"/>
        <w:jc w:val="center"/>
        <w:rPr>
          <w:rFonts w:asciiTheme="minorHAnsi" w:hAnsiTheme="minorHAnsi"/>
          <w:lang w:val="sq-AL"/>
        </w:rPr>
      </w:pPr>
      <w:r w:rsidRPr="00D17FD3">
        <w:rPr>
          <w:rFonts w:asciiTheme="minorHAnsi" w:eastAsia="Century Schoolbook" w:hAnsiTheme="minorHAnsi"/>
          <w:noProof/>
          <w:sz w:val="20"/>
          <w:szCs w:val="22"/>
        </w:rPr>
        <w:drawing>
          <wp:inline distT="0" distB="0" distL="0" distR="0" wp14:anchorId="30F16350" wp14:editId="377BB7B9">
            <wp:extent cx="5731510" cy="1760220"/>
            <wp:effectExtent l="0" t="0" r="2540" b="11430"/>
            <wp:docPr id="267" name="Chart 267"/>
            <wp:cNvGraphicFramePr/>
            <a:graphic xmlns:a="http://schemas.openxmlformats.org/drawingml/2006/main">
              <a:graphicData uri="http://schemas.openxmlformats.org/drawingml/2006/chart">
                <c:chart xmlns:c="http://schemas.openxmlformats.org/drawingml/2006/chart" xmlns:r="http://schemas.openxmlformats.org/officeDocument/2006/relationships" r:id="rId48"/>
              </a:graphicData>
            </a:graphic>
          </wp:inline>
        </w:drawing>
      </w:r>
    </w:p>
    <w:p w:rsidR="00D17FD3" w:rsidRPr="00EB3166" w:rsidRDefault="00D17FD3" w:rsidP="00D17FD3">
      <w:pPr>
        <w:spacing w:before="120" w:after="120" w:line="276" w:lineRule="auto"/>
        <w:jc w:val="center"/>
        <w:rPr>
          <w:rFonts w:asciiTheme="minorHAnsi" w:hAnsiTheme="minorHAnsi"/>
          <w:i/>
          <w:sz w:val="20"/>
          <w:szCs w:val="20"/>
          <w:lang w:val="sq-AL"/>
        </w:rPr>
      </w:pPr>
      <w:r w:rsidRPr="00EB3166">
        <w:rPr>
          <w:rFonts w:asciiTheme="minorHAnsi" w:hAnsiTheme="minorHAnsi"/>
          <w:i/>
          <w:sz w:val="20"/>
          <w:szCs w:val="20"/>
          <w:lang w:val="sq-AL"/>
        </w:rPr>
        <w:t>Burimi: Drejtoria e Financave Vendore, Ministria e Financave dhe Ekonomisë (2020);</w:t>
      </w:r>
    </w:p>
    <w:p w:rsidR="00D17FD3" w:rsidRPr="00D17FD3" w:rsidRDefault="00D17FD3" w:rsidP="00D17FD3">
      <w:pPr>
        <w:spacing w:before="120" w:after="120" w:line="276" w:lineRule="auto"/>
        <w:jc w:val="both"/>
        <w:rPr>
          <w:rFonts w:asciiTheme="minorHAnsi" w:hAnsiTheme="minorHAnsi"/>
          <w:lang w:val="sq-AL"/>
        </w:rPr>
      </w:pPr>
      <w:r w:rsidRPr="00D17FD3">
        <w:rPr>
          <w:rFonts w:asciiTheme="minorHAnsi" w:hAnsiTheme="minorHAnsi"/>
          <w:lang w:val="sq-AL"/>
        </w:rPr>
        <w:t>Shpenzimet e pushtetit vendor në vite sipas strukturës nuk kanë pësuar ndryshime të mëdha, por vihet re një tendencë pozitive e qendrueshmërisë së shpenzimeve për investime dhe zgjerimi i shpenzimeve të mirëmbajtjes së aseteve që njësitë vendore zotërojnë përmes përdorimit në formën e shpenzimeve operative. Viti 2020, përbën një vit të veçantë për treguesit fikalë në tërësi dhe sigurisht këtu nuk bëjën përjshtim njësitë e vetëqeveriejse vendore. Sipas të dhënave në nivel llogarie ekonomike, struktura e shpenzimeve rezulton si në grafikun më poshtë:</w:t>
      </w:r>
    </w:p>
    <w:p w:rsidR="00CB50A8" w:rsidRPr="00D17FD3" w:rsidRDefault="00CB50A8" w:rsidP="00CB50A8">
      <w:pPr>
        <w:spacing w:before="120" w:line="276" w:lineRule="auto"/>
        <w:jc w:val="both"/>
        <w:rPr>
          <w:rFonts w:asciiTheme="minorHAnsi" w:hAnsiTheme="minorHAnsi"/>
          <w:i/>
          <w:sz w:val="22"/>
          <w:lang w:val="sq-AL"/>
        </w:rPr>
      </w:pPr>
      <w:bookmarkStart w:id="72" w:name="_Toc44404473"/>
      <w:r w:rsidRPr="00CB50A8">
        <w:rPr>
          <w:rFonts w:asciiTheme="minorHAnsi" w:hAnsiTheme="minorHAnsi"/>
          <w:i/>
          <w:lang w:val="sq-AL"/>
        </w:rPr>
        <w:t xml:space="preserve">Grafiku </w:t>
      </w:r>
      <w:r w:rsidRPr="00CB50A8">
        <w:rPr>
          <w:rFonts w:asciiTheme="minorHAnsi" w:hAnsiTheme="minorHAnsi"/>
          <w:i/>
          <w:lang w:val="sq-AL"/>
        </w:rPr>
        <w:fldChar w:fldCharType="begin"/>
      </w:r>
      <w:r w:rsidRPr="00CB50A8">
        <w:rPr>
          <w:rFonts w:asciiTheme="minorHAnsi" w:hAnsiTheme="minorHAnsi"/>
          <w:i/>
          <w:lang w:val="sq-AL"/>
        </w:rPr>
        <w:instrText xml:space="preserve"> SEQ Grafiku \* ARABIC </w:instrText>
      </w:r>
      <w:r w:rsidRPr="00CB50A8">
        <w:rPr>
          <w:rFonts w:asciiTheme="minorHAnsi" w:hAnsiTheme="minorHAnsi"/>
          <w:i/>
          <w:lang w:val="sq-AL"/>
        </w:rPr>
        <w:fldChar w:fldCharType="separate"/>
      </w:r>
      <w:r w:rsidR="00C342E2">
        <w:rPr>
          <w:rFonts w:asciiTheme="minorHAnsi" w:hAnsiTheme="minorHAnsi"/>
          <w:i/>
          <w:noProof/>
          <w:lang w:val="sq-AL"/>
        </w:rPr>
        <w:t>33</w:t>
      </w:r>
      <w:r w:rsidRPr="00CB50A8">
        <w:rPr>
          <w:rFonts w:asciiTheme="minorHAnsi" w:hAnsiTheme="minorHAnsi"/>
          <w:i/>
          <w:lang w:val="sq-AL"/>
        </w:rPr>
        <w:fldChar w:fldCharType="end"/>
      </w:r>
      <w:r w:rsidRPr="00CB50A8">
        <w:rPr>
          <w:rFonts w:asciiTheme="minorHAnsi" w:hAnsiTheme="minorHAnsi"/>
          <w:i/>
          <w:lang w:val="sq-AL"/>
        </w:rPr>
        <w:t>: Shpenzimet e pushtetit vendor sipas strukturës</w:t>
      </w:r>
      <w:bookmarkEnd w:id="72"/>
    </w:p>
    <w:p w:rsidR="00D17FD3" w:rsidRPr="00D17FD3" w:rsidRDefault="00D17FD3" w:rsidP="00D17FD3">
      <w:pPr>
        <w:spacing w:line="276" w:lineRule="auto"/>
        <w:ind w:hanging="90"/>
        <w:jc w:val="center"/>
        <w:rPr>
          <w:rFonts w:asciiTheme="minorHAnsi" w:eastAsia="Century Schoolbook" w:hAnsiTheme="minorHAnsi"/>
          <w:noProof/>
          <w:sz w:val="20"/>
          <w:szCs w:val="22"/>
          <w:lang w:val="sq-AL" w:eastAsia="sq-AL"/>
        </w:rPr>
      </w:pPr>
      <w:r w:rsidRPr="00D17FD3">
        <w:rPr>
          <w:rFonts w:asciiTheme="minorHAnsi" w:eastAsia="Century Schoolbook" w:hAnsiTheme="minorHAnsi"/>
          <w:noProof/>
          <w:sz w:val="20"/>
          <w:szCs w:val="22"/>
        </w:rPr>
        <w:drawing>
          <wp:inline distT="0" distB="0" distL="0" distR="0" wp14:anchorId="20440EDF" wp14:editId="6DFB529B">
            <wp:extent cx="5960110" cy="1897380"/>
            <wp:effectExtent l="0" t="0" r="21590" b="26670"/>
            <wp:docPr id="268" name="Chart 268"/>
            <wp:cNvGraphicFramePr/>
            <a:graphic xmlns:a="http://schemas.openxmlformats.org/drawingml/2006/main">
              <a:graphicData uri="http://schemas.openxmlformats.org/drawingml/2006/chart">
                <c:chart xmlns:c="http://schemas.openxmlformats.org/drawingml/2006/chart" xmlns:r="http://schemas.openxmlformats.org/officeDocument/2006/relationships" r:id="rId49"/>
              </a:graphicData>
            </a:graphic>
          </wp:inline>
        </w:drawing>
      </w:r>
    </w:p>
    <w:p w:rsidR="00D17FD3" w:rsidRPr="00EB3166" w:rsidRDefault="00D17FD3" w:rsidP="00D17FD3">
      <w:pPr>
        <w:spacing w:after="120" w:line="276" w:lineRule="auto"/>
        <w:jc w:val="center"/>
        <w:rPr>
          <w:rFonts w:asciiTheme="minorHAnsi" w:hAnsiTheme="minorHAnsi"/>
          <w:i/>
          <w:sz w:val="20"/>
          <w:szCs w:val="20"/>
          <w:lang w:val="sq-AL"/>
        </w:rPr>
      </w:pPr>
      <w:r w:rsidRPr="00EB3166">
        <w:rPr>
          <w:rFonts w:asciiTheme="minorHAnsi" w:hAnsiTheme="minorHAnsi"/>
          <w:i/>
          <w:sz w:val="20"/>
          <w:szCs w:val="20"/>
          <w:lang w:val="sq-AL"/>
        </w:rPr>
        <w:t>Burimi: Drejtoria e Financave Vendore, Ministria e Financave dhe Ekonomisë (2020);</w:t>
      </w:r>
    </w:p>
    <w:p w:rsidR="00D17FD3" w:rsidRPr="00D17FD3" w:rsidRDefault="007F224E" w:rsidP="00D17FD3">
      <w:pPr>
        <w:spacing w:before="120" w:after="120" w:line="276" w:lineRule="auto"/>
        <w:jc w:val="both"/>
        <w:rPr>
          <w:rFonts w:asciiTheme="minorHAnsi" w:hAnsiTheme="minorHAnsi"/>
          <w:lang w:val="sq-AL"/>
        </w:rPr>
      </w:pPr>
      <w:r>
        <w:rPr>
          <w:rFonts w:asciiTheme="minorHAnsi" w:hAnsiTheme="minorHAnsi"/>
          <w:lang w:val="sq-AL"/>
        </w:rPr>
        <w:lastRenderedPageBreak/>
        <w:t>Më</w:t>
      </w:r>
      <w:r w:rsidR="00D17FD3" w:rsidRPr="00D17FD3">
        <w:rPr>
          <w:rFonts w:asciiTheme="minorHAnsi" w:hAnsiTheme="minorHAnsi"/>
          <w:lang w:val="sq-AL"/>
        </w:rPr>
        <w:t>poshtë janë paraqitur në mënyrë të përmbledhur tabela e ndryshimeve të të ardhurave dhe shpenzimeve ne fianancat publike vendore gjatë 5 mujorit të vitit 2020 dhe vitit 2019.</w:t>
      </w:r>
    </w:p>
    <w:p w:rsidR="00565D2C" w:rsidRPr="00565D2C" w:rsidRDefault="00565D2C" w:rsidP="00565D2C">
      <w:pPr>
        <w:pStyle w:val="Caption"/>
        <w:spacing w:after="0"/>
        <w:rPr>
          <w:rFonts w:asciiTheme="minorHAnsi" w:hAnsiTheme="minorHAnsi"/>
          <w:b w:val="0"/>
          <w:bCs w:val="0"/>
          <w:i/>
          <w:color w:val="auto"/>
          <w:sz w:val="24"/>
          <w:szCs w:val="24"/>
          <w:lang w:val="sq-AL"/>
        </w:rPr>
      </w:pPr>
      <w:bookmarkStart w:id="73" w:name="_Toc44404411"/>
      <w:r w:rsidRPr="00565D2C">
        <w:rPr>
          <w:rFonts w:asciiTheme="minorHAnsi" w:hAnsiTheme="minorHAnsi"/>
          <w:b w:val="0"/>
          <w:bCs w:val="0"/>
          <w:i/>
          <w:color w:val="auto"/>
          <w:sz w:val="24"/>
          <w:szCs w:val="24"/>
          <w:lang w:val="sq-AL"/>
        </w:rPr>
        <w:t xml:space="preserve">Tabela </w:t>
      </w:r>
      <w:r w:rsidRPr="00565D2C">
        <w:rPr>
          <w:rFonts w:asciiTheme="minorHAnsi" w:hAnsiTheme="minorHAnsi"/>
          <w:b w:val="0"/>
          <w:bCs w:val="0"/>
          <w:i/>
          <w:color w:val="auto"/>
          <w:sz w:val="24"/>
          <w:szCs w:val="24"/>
          <w:lang w:val="sq-AL"/>
        </w:rPr>
        <w:fldChar w:fldCharType="begin"/>
      </w:r>
      <w:r w:rsidRPr="00565D2C">
        <w:rPr>
          <w:rFonts w:asciiTheme="minorHAnsi" w:hAnsiTheme="minorHAnsi"/>
          <w:b w:val="0"/>
          <w:bCs w:val="0"/>
          <w:i/>
          <w:color w:val="auto"/>
          <w:sz w:val="24"/>
          <w:szCs w:val="24"/>
          <w:lang w:val="sq-AL"/>
        </w:rPr>
        <w:instrText xml:space="preserve"> SEQ Tabela \* ARABIC </w:instrText>
      </w:r>
      <w:r w:rsidRPr="00565D2C">
        <w:rPr>
          <w:rFonts w:asciiTheme="minorHAnsi" w:hAnsiTheme="minorHAnsi"/>
          <w:b w:val="0"/>
          <w:bCs w:val="0"/>
          <w:i/>
          <w:color w:val="auto"/>
          <w:sz w:val="24"/>
          <w:szCs w:val="24"/>
          <w:lang w:val="sq-AL"/>
        </w:rPr>
        <w:fldChar w:fldCharType="separate"/>
      </w:r>
      <w:r w:rsidR="00C342E2">
        <w:rPr>
          <w:rFonts w:asciiTheme="minorHAnsi" w:hAnsiTheme="minorHAnsi"/>
          <w:b w:val="0"/>
          <w:bCs w:val="0"/>
          <w:i/>
          <w:noProof/>
          <w:color w:val="auto"/>
          <w:sz w:val="24"/>
          <w:szCs w:val="24"/>
          <w:lang w:val="sq-AL"/>
        </w:rPr>
        <w:t>10</w:t>
      </w:r>
      <w:r w:rsidRPr="00565D2C">
        <w:rPr>
          <w:rFonts w:asciiTheme="minorHAnsi" w:hAnsiTheme="minorHAnsi"/>
          <w:b w:val="0"/>
          <w:bCs w:val="0"/>
          <w:i/>
          <w:color w:val="auto"/>
          <w:sz w:val="24"/>
          <w:szCs w:val="24"/>
          <w:lang w:val="sq-AL"/>
        </w:rPr>
        <w:fldChar w:fldCharType="end"/>
      </w:r>
      <w:r w:rsidRPr="00565D2C">
        <w:rPr>
          <w:rFonts w:asciiTheme="minorHAnsi" w:hAnsiTheme="minorHAnsi"/>
          <w:b w:val="0"/>
          <w:bCs w:val="0"/>
          <w:i/>
          <w:color w:val="auto"/>
          <w:sz w:val="24"/>
          <w:szCs w:val="24"/>
          <w:lang w:val="sq-AL"/>
        </w:rPr>
        <w:t>: Të ardhurat dhe shpenzimet faktike të pushtetit vendor sipas natyrës</w:t>
      </w:r>
      <w:bookmarkEnd w:id="73"/>
    </w:p>
    <w:tbl>
      <w:tblPr>
        <w:tblW w:w="9296" w:type="dxa"/>
        <w:jc w:val="center"/>
        <w:tblLook w:val="04A0" w:firstRow="1" w:lastRow="0" w:firstColumn="1" w:lastColumn="0" w:noHBand="0" w:noVBand="1"/>
      </w:tblPr>
      <w:tblGrid>
        <w:gridCol w:w="534"/>
        <w:gridCol w:w="3840"/>
        <w:gridCol w:w="987"/>
        <w:gridCol w:w="988"/>
        <w:gridCol w:w="1424"/>
        <w:gridCol w:w="1523"/>
      </w:tblGrid>
      <w:tr w:rsidR="00D17FD3" w:rsidRPr="00D17FD3" w:rsidTr="00317891">
        <w:trPr>
          <w:trHeight w:val="204"/>
          <w:jc w:val="center"/>
        </w:trPr>
        <w:tc>
          <w:tcPr>
            <w:tcW w:w="4374" w:type="dxa"/>
            <w:gridSpan w:val="2"/>
            <w:tcBorders>
              <w:top w:val="nil"/>
              <w:left w:val="nil"/>
              <w:bottom w:val="double" w:sz="6" w:space="0" w:color="auto"/>
              <w:right w:val="nil"/>
            </w:tcBorders>
            <w:shd w:val="clear" w:color="auto" w:fill="auto"/>
            <w:noWrap/>
            <w:vAlign w:val="center"/>
            <w:hideMark/>
          </w:tcPr>
          <w:p w:rsidR="00D17FD3" w:rsidRPr="00D17FD3" w:rsidRDefault="00D17FD3" w:rsidP="00565D2C">
            <w:pPr>
              <w:rPr>
                <w:rFonts w:asciiTheme="minorHAnsi" w:hAnsiTheme="minorHAnsi"/>
                <w:i/>
                <w:iCs/>
                <w:color w:val="000000"/>
                <w:sz w:val="18"/>
                <w:szCs w:val="18"/>
              </w:rPr>
            </w:pPr>
            <w:r w:rsidRPr="00D17FD3">
              <w:rPr>
                <w:rFonts w:asciiTheme="minorHAnsi" w:hAnsiTheme="minorHAnsi"/>
                <w:i/>
                <w:iCs/>
                <w:color w:val="000000"/>
                <w:sz w:val="18"/>
                <w:szCs w:val="18"/>
              </w:rPr>
              <w:t> </w:t>
            </w:r>
          </w:p>
        </w:tc>
        <w:tc>
          <w:tcPr>
            <w:tcW w:w="4922" w:type="dxa"/>
            <w:gridSpan w:val="4"/>
            <w:tcBorders>
              <w:top w:val="nil"/>
              <w:left w:val="nil"/>
              <w:bottom w:val="double" w:sz="6" w:space="0" w:color="auto"/>
              <w:right w:val="nil"/>
            </w:tcBorders>
            <w:shd w:val="clear" w:color="auto" w:fill="auto"/>
            <w:noWrap/>
            <w:vAlign w:val="bottom"/>
            <w:hideMark/>
          </w:tcPr>
          <w:p w:rsidR="00D17FD3" w:rsidRPr="00D17FD3" w:rsidRDefault="00D17FD3" w:rsidP="00565D2C">
            <w:pPr>
              <w:jc w:val="right"/>
              <w:rPr>
                <w:rFonts w:asciiTheme="minorHAnsi" w:hAnsiTheme="minorHAnsi"/>
                <w:i/>
                <w:color w:val="000000"/>
                <w:sz w:val="18"/>
                <w:szCs w:val="22"/>
              </w:rPr>
            </w:pPr>
            <w:r w:rsidRPr="00D17FD3">
              <w:rPr>
                <w:rFonts w:asciiTheme="minorHAnsi" w:hAnsiTheme="minorHAnsi"/>
                <w:i/>
                <w:color w:val="000000"/>
                <w:sz w:val="18"/>
                <w:szCs w:val="22"/>
              </w:rPr>
              <w:t>Të dhëna progresive (në milion LEK)</w:t>
            </w:r>
          </w:p>
        </w:tc>
      </w:tr>
      <w:tr w:rsidR="00D17FD3" w:rsidRPr="00D17FD3" w:rsidTr="00317891">
        <w:trPr>
          <w:trHeight w:val="215"/>
          <w:jc w:val="center"/>
        </w:trPr>
        <w:tc>
          <w:tcPr>
            <w:tcW w:w="534" w:type="dxa"/>
            <w:vMerge w:val="restart"/>
            <w:tcBorders>
              <w:top w:val="nil"/>
              <w:left w:val="double" w:sz="6" w:space="0" w:color="auto"/>
              <w:bottom w:val="single" w:sz="8" w:space="0" w:color="000000"/>
              <w:right w:val="nil"/>
            </w:tcBorders>
            <w:shd w:val="clear" w:color="auto" w:fill="DBE5F1" w:themeFill="accent1" w:themeFillTint="33"/>
            <w:noWrap/>
            <w:vAlign w:val="center"/>
            <w:hideMark/>
          </w:tcPr>
          <w:p w:rsidR="00D17FD3" w:rsidRPr="00D17FD3" w:rsidRDefault="00D17FD3" w:rsidP="00565D2C">
            <w:pPr>
              <w:jc w:val="both"/>
              <w:rPr>
                <w:rFonts w:asciiTheme="minorHAnsi" w:hAnsiTheme="minorHAnsi"/>
                <w:b/>
                <w:bCs/>
                <w:color w:val="000000"/>
                <w:sz w:val="18"/>
                <w:szCs w:val="20"/>
              </w:rPr>
            </w:pPr>
            <w:r w:rsidRPr="00D17FD3">
              <w:rPr>
                <w:rFonts w:asciiTheme="minorHAnsi" w:hAnsiTheme="minorHAnsi"/>
                <w:b/>
                <w:bCs/>
                <w:color w:val="000000"/>
                <w:sz w:val="18"/>
                <w:szCs w:val="20"/>
              </w:rPr>
              <w:t>Nr</w:t>
            </w:r>
          </w:p>
        </w:tc>
        <w:tc>
          <w:tcPr>
            <w:tcW w:w="3840" w:type="dxa"/>
            <w:vMerge w:val="restart"/>
            <w:tcBorders>
              <w:top w:val="nil"/>
              <w:left w:val="single" w:sz="8" w:space="0" w:color="auto"/>
              <w:bottom w:val="single" w:sz="8" w:space="0" w:color="000000"/>
              <w:right w:val="double" w:sz="6" w:space="0" w:color="auto"/>
            </w:tcBorders>
            <w:shd w:val="clear" w:color="auto" w:fill="DBE5F1" w:themeFill="accent1" w:themeFillTint="33"/>
            <w:noWrap/>
            <w:vAlign w:val="center"/>
            <w:hideMark/>
          </w:tcPr>
          <w:p w:rsidR="00D17FD3" w:rsidRPr="00D17FD3" w:rsidRDefault="00D17FD3" w:rsidP="00565D2C">
            <w:pPr>
              <w:jc w:val="center"/>
              <w:rPr>
                <w:rFonts w:asciiTheme="minorHAnsi" w:hAnsiTheme="minorHAnsi"/>
                <w:b/>
                <w:bCs/>
                <w:color w:val="000000"/>
                <w:sz w:val="18"/>
                <w:szCs w:val="20"/>
              </w:rPr>
            </w:pPr>
            <w:r w:rsidRPr="00D17FD3">
              <w:rPr>
                <w:rFonts w:asciiTheme="minorHAnsi" w:hAnsiTheme="minorHAnsi"/>
                <w:b/>
                <w:bCs/>
                <w:color w:val="000000"/>
                <w:sz w:val="18"/>
                <w:szCs w:val="20"/>
              </w:rPr>
              <w:t>E  M  Ë  R  T  I  M  I</w:t>
            </w:r>
          </w:p>
        </w:tc>
        <w:tc>
          <w:tcPr>
            <w:tcW w:w="1975" w:type="dxa"/>
            <w:gridSpan w:val="2"/>
            <w:tcBorders>
              <w:top w:val="double" w:sz="6" w:space="0" w:color="auto"/>
              <w:left w:val="nil"/>
              <w:bottom w:val="single" w:sz="8" w:space="0" w:color="auto"/>
              <w:right w:val="nil"/>
            </w:tcBorders>
            <w:shd w:val="clear" w:color="auto" w:fill="DBE5F1" w:themeFill="accent1" w:themeFillTint="33"/>
            <w:noWrap/>
            <w:vAlign w:val="center"/>
            <w:hideMark/>
          </w:tcPr>
          <w:p w:rsidR="00D17FD3" w:rsidRPr="00D17FD3" w:rsidRDefault="00D17FD3" w:rsidP="00565D2C">
            <w:pPr>
              <w:jc w:val="center"/>
              <w:rPr>
                <w:rFonts w:asciiTheme="minorHAnsi" w:hAnsiTheme="minorHAnsi"/>
                <w:b/>
                <w:bCs/>
                <w:color w:val="000000"/>
                <w:sz w:val="18"/>
                <w:szCs w:val="20"/>
              </w:rPr>
            </w:pPr>
            <w:r w:rsidRPr="00D17FD3">
              <w:rPr>
                <w:rFonts w:asciiTheme="minorHAnsi" w:hAnsiTheme="minorHAnsi"/>
                <w:b/>
                <w:bCs/>
                <w:color w:val="000000"/>
                <w:sz w:val="18"/>
                <w:szCs w:val="20"/>
              </w:rPr>
              <w:t>Fakt 5 mujori</w:t>
            </w:r>
          </w:p>
        </w:tc>
        <w:tc>
          <w:tcPr>
            <w:tcW w:w="2947" w:type="dxa"/>
            <w:gridSpan w:val="2"/>
            <w:tcBorders>
              <w:top w:val="double" w:sz="6" w:space="0" w:color="auto"/>
              <w:left w:val="double" w:sz="6" w:space="0" w:color="auto"/>
              <w:bottom w:val="single" w:sz="8" w:space="0" w:color="auto"/>
              <w:right w:val="double" w:sz="6" w:space="0" w:color="000000"/>
            </w:tcBorders>
            <w:shd w:val="clear" w:color="auto" w:fill="DBE5F1" w:themeFill="accent1" w:themeFillTint="33"/>
            <w:noWrap/>
            <w:vAlign w:val="center"/>
            <w:hideMark/>
          </w:tcPr>
          <w:p w:rsidR="00D17FD3" w:rsidRPr="00D17FD3" w:rsidRDefault="00D17FD3" w:rsidP="00565D2C">
            <w:pPr>
              <w:jc w:val="center"/>
              <w:rPr>
                <w:rFonts w:asciiTheme="minorHAnsi" w:hAnsiTheme="minorHAnsi"/>
                <w:b/>
                <w:bCs/>
                <w:color w:val="000000"/>
                <w:sz w:val="18"/>
                <w:szCs w:val="20"/>
              </w:rPr>
            </w:pPr>
            <w:r w:rsidRPr="00D17FD3">
              <w:rPr>
                <w:rFonts w:asciiTheme="minorHAnsi" w:hAnsiTheme="minorHAnsi"/>
                <w:b/>
                <w:bCs/>
                <w:color w:val="000000"/>
                <w:sz w:val="18"/>
                <w:szCs w:val="20"/>
              </w:rPr>
              <w:t>Diferenca</w:t>
            </w:r>
          </w:p>
        </w:tc>
      </w:tr>
      <w:tr w:rsidR="00D17FD3" w:rsidRPr="00D17FD3" w:rsidTr="00317891">
        <w:trPr>
          <w:trHeight w:val="195"/>
          <w:jc w:val="center"/>
        </w:trPr>
        <w:tc>
          <w:tcPr>
            <w:tcW w:w="534" w:type="dxa"/>
            <w:vMerge/>
            <w:tcBorders>
              <w:top w:val="nil"/>
              <w:left w:val="double" w:sz="6" w:space="0" w:color="auto"/>
              <w:bottom w:val="single" w:sz="8" w:space="0" w:color="000000"/>
              <w:right w:val="nil"/>
            </w:tcBorders>
            <w:shd w:val="clear" w:color="auto" w:fill="DBE5F1" w:themeFill="accent1" w:themeFillTint="33"/>
            <w:vAlign w:val="center"/>
            <w:hideMark/>
          </w:tcPr>
          <w:p w:rsidR="00D17FD3" w:rsidRPr="00D17FD3" w:rsidRDefault="00D17FD3" w:rsidP="00565D2C">
            <w:pPr>
              <w:rPr>
                <w:rFonts w:asciiTheme="minorHAnsi" w:hAnsiTheme="minorHAnsi"/>
                <w:b/>
                <w:bCs/>
                <w:color w:val="000000"/>
                <w:sz w:val="18"/>
                <w:szCs w:val="20"/>
              </w:rPr>
            </w:pPr>
          </w:p>
        </w:tc>
        <w:tc>
          <w:tcPr>
            <w:tcW w:w="3840" w:type="dxa"/>
            <w:vMerge/>
            <w:tcBorders>
              <w:top w:val="nil"/>
              <w:left w:val="single" w:sz="8" w:space="0" w:color="auto"/>
              <w:bottom w:val="single" w:sz="8" w:space="0" w:color="000000"/>
              <w:right w:val="double" w:sz="6" w:space="0" w:color="auto"/>
            </w:tcBorders>
            <w:shd w:val="clear" w:color="auto" w:fill="DBE5F1" w:themeFill="accent1" w:themeFillTint="33"/>
            <w:vAlign w:val="center"/>
            <w:hideMark/>
          </w:tcPr>
          <w:p w:rsidR="00D17FD3" w:rsidRPr="00D17FD3" w:rsidRDefault="00D17FD3" w:rsidP="00565D2C">
            <w:pPr>
              <w:rPr>
                <w:rFonts w:asciiTheme="minorHAnsi" w:hAnsiTheme="minorHAnsi"/>
                <w:b/>
                <w:bCs/>
                <w:color w:val="000000"/>
                <w:sz w:val="18"/>
                <w:szCs w:val="20"/>
              </w:rPr>
            </w:pPr>
          </w:p>
        </w:tc>
        <w:tc>
          <w:tcPr>
            <w:tcW w:w="987" w:type="dxa"/>
            <w:vMerge w:val="restart"/>
            <w:tcBorders>
              <w:top w:val="nil"/>
              <w:left w:val="double" w:sz="6" w:space="0" w:color="auto"/>
              <w:bottom w:val="single" w:sz="8" w:space="0" w:color="000000"/>
              <w:right w:val="nil"/>
            </w:tcBorders>
            <w:shd w:val="clear" w:color="auto" w:fill="DBE5F1" w:themeFill="accent1" w:themeFillTint="33"/>
            <w:noWrap/>
            <w:vAlign w:val="center"/>
            <w:hideMark/>
          </w:tcPr>
          <w:p w:rsidR="00D17FD3" w:rsidRPr="00D17FD3" w:rsidRDefault="00D17FD3" w:rsidP="00565D2C">
            <w:pPr>
              <w:jc w:val="center"/>
              <w:rPr>
                <w:rFonts w:asciiTheme="minorHAnsi" w:hAnsiTheme="minorHAnsi"/>
                <w:b/>
                <w:bCs/>
                <w:color w:val="000000"/>
                <w:sz w:val="18"/>
                <w:szCs w:val="20"/>
              </w:rPr>
            </w:pPr>
            <w:r w:rsidRPr="00D17FD3">
              <w:rPr>
                <w:rFonts w:asciiTheme="minorHAnsi" w:hAnsiTheme="minorHAnsi"/>
                <w:b/>
                <w:bCs/>
                <w:color w:val="000000"/>
                <w:sz w:val="18"/>
                <w:szCs w:val="20"/>
              </w:rPr>
              <w:t>2020</w:t>
            </w:r>
          </w:p>
        </w:tc>
        <w:tc>
          <w:tcPr>
            <w:tcW w:w="987" w:type="dxa"/>
            <w:vMerge w:val="restart"/>
            <w:tcBorders>
              <w:top w:val="nil"/>
              <w:left w:val="single" w:sz="4" w:space="0" w:color="auto"/>
              <w:bottom w:val="single" w:sz="8" w:space="0" w:color="000000"/>
              <w:right w:val="double" w:sz="6" w:space="0" w:color="auto"/>
            </w:tcBorders>
            <w:shd w:val="clear" w:color="auto" w:fill="DBE5F1" w:themeFill="accent1" w:themeFillTint="33"/>
            <w:noWrap/>
            <w:vAlign w:val="center"/>
            <w:hideMark/>
          </w:tcPr>
          <w:p w:rsidR="00D17FD3" w:rsidRPr="00D17FD3" w:rsidRDefault="00D17FD3" w:rsidP="00565D2C">
            <w:pPr>
              <w:jc w:val="center"/>
              <w:rPr>
                <w:rFonts w:asciiTheme="minorHAnsi" w:hAnsiTheme="minorHAnsi"/>
                <w:b/>
                <w:bCs/>
                <w:color w:val="000000"/>
                <w:sz w:val="18"/>
                <w:szCs w:val="20"/>
              </w:rPr>
            </w:pPr>
            <w:r w:rsidRPr="00D17FD3">
              <w:rPr>
                <w:rFonts w:asciiTheme="minorHAnsi" w:hAnsiTheme="minorHAnsi"/>
                <w:b/>
                <w:bCs/>
                <w:color w:val="000000"/>
                <w:sz w:val="18"/>
                <w:szCs w:val="20"/>
              </w:rPr>
              <w:t>2019</w:t>
            </w:r>
          </w:p>
        </w:tc>
        <w:tc>
          <w:tcPr>
            <w:tcW w:w="1424" w:type="dxa"/>
            <w:tcBorders>
              <w:top w:val="nil"/>
              <w:left w:val="nil"/>
              <w:bottom w:val="nil"/>
              <w:right w:val="nil"/>
            </w:tcBorders>
            <w:shd w:val="clear" w:color="auto" w:fill="DBE5F1" w:themeFill="accent1" w:themeFillTint="33"/>
            <w:vAlign w:val="center"/>
            <w:hideMark/>
          </w:tcPr>
          <w:p w:rsidR="00D17FD3" w:rsidRPr="00D17FD3" w:rsidRDefault="00D17FD3" w:rsidP="00565D2C">
            <w:pPr>
              <w:jc w:val="center"/>
              <w:rPr>
                <w:rFonts w:asciiTheme="minorHAnsi" w:hAnsiTheme="minorHAnsi"/>
                <w:b/>
                <w:bCs/>
                <w:color w:val="000000"/>
                <w:sz w:val="18"/>
                <w:szCs w:val="20"/>
              </w:rPr>
            </w:pPr>
            <w:r w:rsidRPr="00D17FD3">
              <w:rPr>
                <w:rFonts w:asciiTheme="minorHAnsi" w:hAnsiTheme="minorHAnsi"/>
                <w:b/>
                <w:bCs/>
                <w:color w:val="000000"/>
                <w:sz w:val="18"/>
                <w:szCs w:val="20"/>
              </w:rPr>
              <w:t>2020 /</w:t>
            </w:r>
          </w:p>
        </w:tc>
        <w:tc>
          <w:tcPr>
            <w:tcW w:w="1522" w:type="dxa"/>
            <w:vMerge w:val="restart"/>
            <w:tcBorders>
              <w:top w:val="nil"/>
              <w:left w:val="single" w:sz="4" w:space="0" w:color="auto"/>
              <w:bottom w:val="single" w:sz="8" w:space="0" w:color="000000"/>
              <w:right w:val="double" w:sz="6" w:space="0" w:color="auto"/>
            </w:tcBorders>
            <w:shd w:val="clear" w:color="auto" w:fill="DBE5F1" w:themeFill="accent1" w:themeFillTint="33"/>
            <w:vAlign w:val="center"/>
            <w:hideMark/>
          </w:tcPr>
          <w:p w:rsidR="00D17FD3" w:rsidRPr="00D17FD3" w:rsidRDefault="00D17FD3" w:rsidP="00565D2C">
            <w:pPr>
              <w:jc w:val="center"/>
              <w:rPr>
                <w:rFonts w:asciiTheme="minorHAnsi" w:hAnsiTheme="minorHAnsi"/>
                <w:b/>
                <w:bCs/>
                <w:color w:val="000000"/>
                <w:sz w:val="18"/>
                <w:szCs w:val="20"/>
              </w:rPr>
            </w:pPr>
            <w:r w:rsidRPr="00D17FD3">
              <w:rPr>
                <w:rFonts w:asciiTheme="minorHAnsi" w:hAnsiTheme="minorHAnsi"/>
                <w:b/>
                <w:bCs/>
                <w:color w:val="000000"/>
                <w:sz w:val="18"/>
                <w:szCs w:val="20"/>
              </w:rPr>
              <w:t>% e 2020 kundrejt 2019</w:t>
            </w:r>
          </w:p>
        </w:tc>
      </w:tr>
      <w:tr w:rsidR="00D17FD3" w:rsidRPr="00D17FD3" w:rsidTr="00317891">
        <w:trPr>
          <w:trHeight w:val="274"/>
          <w:jc w:val="center"/>
        </w:trPr>
        <w:tc>
          <w:tcPr>
            <w:tcW w:w="534" w:type="dxa"/>
            <w:vMerge/>
            <w:tcBorders>
              <w:top w:val="nil"/>
              <w:left w:val="double" w:sz="6" w:space="0" w:color="auto"/>
              <w:bottom w:val="single" w:sz="8" w:space="0" w:color="000000"/>
              <w:right w:val="nil"/>
            </w:tcBorders>
            <w:vAlign w:val="center"/>
            <w:hideMark/>
          </w:tcPr>
          <w:p w:rsidR="00D17FD3" w:rsidRPr="00D17FD3" w:rsidRDefault="00D17FD3" w:rsidP="00565D2C">
            <w:pPr>
              <w:rPr>
                <w:rFonts w:asciiTheme="minorHAnsi" w:hAnsiTheme="minorHAnsi"/>
                <w:b/>
                <w:bCs/>
                <w:color w:val="000000"/>
                <w:sz w:val="18"/>
                <w:szCs w:val="20"/>
              </w:rPr>
            </w:pPr>
          </w:p>
        </w:tc>
        <w:tc>
          <w:tcPr>
            <w:tcW w:w="3840" w:type="dxa"/>
            <w:vMerge/>
            <w:tcBorders>
              <w:top w:val="nil"/>
              <w:left w:val="single" w:sz="8" w:space="0" w:color="auto"/>
              <w:bottom w:val="single" w:sz="8" w:space="0" w:color="000000"/>
              <w:right w:val="double" w:sz="6" w:space="0" w:color="auto"/>
            </w:tcBorders>
            <w:vAlign w:val="center"/>
            <w:hideMark/>
          </w:tcPr>
          <w:p w:rsidR="00D17FD3" w:rsidRPr="00D17FD3" w:rsidRDefault="00D17FD3" w:rsidP="00565D2C">
            <w:pPr>
              <w:rPr>
                <w:rFonts w:asciiTheme="minorHAnsi" w:hAnsiTheme="minorHAnsi"/>
                <w:b/>
                <w:bCs/>
                <w:color w:val="000000"/>
                <w:sz w:val="18"/>
                <w:szCs w:val="20"/>
              </w:rPr>
            </w:pPr>
          </w:p>
        </w:tc>
        <w:tc>
          <w:tcPr>
            <w:tcW w:w="987" w:type="dxa"/>
            <w:vMerge/>
            <w:tcBorders>
              <w:top w:val="nil"/>
              <w:left w:val="double" w:sz="6" w:space="0" w:color="auto"/>
              <w:bottom w:val="single" w:sz="8" w:space="0" w:color="000000"/>
              <w:right w:val="nil"/>
            </w:tcBorders>
            <w:vAlign w:val="center"/>
            <w:hideMark/>
          </w:tcPr>
          <w:p w:rsidR="00D17FD3" w:rsidRPr="00D17FD3" w:rsidRDefault="00D17FD3" w:rsidP="00565D2C">
            <w:pPr>
              <w:rPr>
                <w:rFonts w:asciiTheme="minorHAnsi" w:hAnsiTheme="minorHAnsi"/>
                <w:b/>
                <w:bCs/>
                <w:color w:val="000000"/>
                <w:sz w:val="18"/>
                <w:szCs w:val="20"/>
              </w:rPr>
            </w:pPr>
          </w:p>
        </w:tc>
        <w:tc>
          <w:tcPr>
            <w:tcW w:w="987" w:type="dxa"/>
            <w:vMerge/>
            <w:tcBorders>
              <w:top w:val="nil"/>
              <w:left w:val="single" w:sz="4" w:space="0" w:color="auto"/>
              <w:bottom w:val="single" w:sz="8" w:space="0" w:color="000000"/>
              <w:right w:val="double" w:sz="6" w:space="0" w:color="auto"/>
            </w:tcBorders>
            <w:vAlign w:val="center"/>
            <w:hideMark/>
          </w:tcPr>
          <w:p w:rsidR="00D17FD3" w:rsidRPr="00D17FD3" w:rsidRDefault="00D17FD3" w:rsidP="00565D2C">
            <w:pPr>
              <w:rPr>
                <w:rFonts w:asciiTheme="minorHAnsi" w:hAnsiTheme="minorHAnsi"/>
                <w:b/>
                <w:bCs/>
                <w:color w:val="000000"/>
                <w:sz w:val="18"/>
                <w:szCs w:val="20"/>
              </w:rPr>
            </w:pPr>
          </w:p>
        </w:tc>
        <w:tc>
          <w:tcPr>
            <w:tcW w:w="1424" w:type="dxa"/>
            <w:tcBorders>
              <w:top w:val="nil"/>
              <w:left w:val="nil"/>
              <w:bottom w:val="single" w:sz="8" w:space="0" w:color="auto"/>
              <w:right w:val="nil"/>
            </w:tcBorders>
            <w:shd w:val="clear" w:color="auto" w:fill="DBE5F1" w:themeFill="accent1" w:themeFillTint="33"/>
            <w:vAlign w:val="center"/>
            <w:hideMark/>
          </w:tcPr>
          <w:p w:rsidR="00D17FD3" w:rsidRPr="00D17FD3" w:rsidRDefault="00D17FD3" w:rsidP="00565D2C">
            <w:pPr>
              <w:jc w:val="center"/>
              <w:rPr>
                <w:rFonts w:asciiTheme="minorHAnsi" w:hAnsiTheme="minorHAnsi"/>
                <w:b/>
                <w:bCs/>
                <w:color w:val="000000"/>
                <w:sz w:val="18"/>
                <w:szCs w:val="20"/>
              </w:rPr>
            </w:pPr>
            <w:r w:rsidRPr="00D17FD3">
              <w:rPr>
                <w:rFonts w:asciiTheme="minorHAnsi" w:hAnsiTheme="minorHAnsi"/>
                <w:b/>
                <w:bCs/>
                <w:color w:val="000000"/>
                <w:sz w:val="18"/>
                <w:szCs w:val="20"/>
              </w:rPr>
              <w:t>2019</w:t>
            </w:r>
          </w:p>
        </w:tc>
        <w:tc>
          <w:tcPr>
            <w:tcW w:w="1522" w:type="dxa"/>
            <w:vMerge/>
            <w:tcBorders>
              <w:top w:val="nil"/>
              <w:left w:val="single" w:sz="4" w:space="0" w:color="auto"/>
              <w:bottom w:val="single" w:sz="8" w:space="0" w:color="000000"/>
              <w:right w:val="double" w:sz="6" w:space="0" w:color="auto"/>
            </w:tcBorders>
            <w:vAlign w:val="center"/>
            <w:hideMark/>
          </w:tcPr>
          <w:p w:rsidR="00D17FD3" w:rsidRPr="00D17FD3" w:rsidRDefault="00D17FD3" w:rsidP="00565D2C">
            <w:pPr>
              <w:rPr>
                <w:rFonts w:asciiTheme="minorHAnsi" w:hAnsiTheme="minorHAnsi"/>
                <w:b/>
                <w:bCs/>
                <w:color w:val="000000"/>
                <w:sz w:val="18"/>
                <w:szCs w:val="20"/>
              </w:rPr>
            </w:pPr>
          </w:p>
        </w:tc>
      </w:tr>
      <w:tr w:rsidR="00D17FD3" w:rsidRPr="00D17FD3" w:rsidTr="00317891">
        <w:trPr>
          <w:trHeight w:val="215"/>
          <w:jc w:val="center"/>
        </w:trPr>
        <w:tc>
          <w:tcPr>
            <w:tcW w:w="534" w:type="dxa"/>
            <w:tcBorders>
              <w:top w:val="nil"/>
              <w:left w:val="double" w:sz="6" w:space="0" w:color="auto"/>
              <w:bottom w:val="single" w:sz="8" w:space="0" w:color="auto"/>
              <w:right w:val="single" w:sz="8" w:space="0" w:color="C0C0C0"/>
            </w:tcBorders>
            <w:shd w:val="clear" w:color="auto" w:fill="auto"/>
            <w:noWrap/>
            <w:vAlign w:val="center"/>
            <w:hideMark/>
          </w:tcPr>
          <w:p w:rsidR="00D17FD3" w:rsidRPr="00D17FD3" w:rsidRDefault="00D17FD3" w:rsidP="00565D2C">
            <w:pPr>
              <w:jc w:val="center"/>
              <w:rPr>
                <w:rFonts w:asciiTheme="minorHAnsi" w:hAnsiTheme="minorHAnsi"/>
                <w:b/>
                <w:bCs/>
                <w:color w:val="000000"/>
                <w:sz w:val="18"/>
                <w:szCs w:val="22"/>
              </w:rPr>
            </w:pPr>
            <w:r w:rsidRPr="00D17FD3">
              <w:rPr>
                <w:rFonts w:asciiTheme="minorHAnsi" w:hAnsiTheme="minorHAnsi"/>
                <w:b/>
                <w:bCs/>
                <w:color w:val="000000"/>
                <w:sz w:val="18"/>
                <w:szCs w:val="22"/>
              </w:rPr>
              <w:t>I.</w:t>
            </w:r>
          </w:p>
        </w:tc>
        <w:tc>
          <w:tcPr>
            <w:tcW w:w="3840" w:type="dxa"/>
            <w:tcBorders>
              <w:top w:val="nil"/>
              <w:left w:val="nil"/>
              <w:bottom w:val="single" w:sz="8" w:space="0" w:color="auto"/>
              <w:right w:val="double" w:sz="6" w:space="0" w:color="auto"/>
            </w:tcBorders>
            <w:shd w:val="clear" w:color="auto" w:fill="auto"/>
            <w:noWrap/>
            <w:vAlign w:val="center"/>
            <w:hideMark/>
          </w:tcPr>
          <w:p w:rsidR="00D17FD3" w:rsidRPr="00D17FD3" w:rsidRDefault="00D17FD3" w:rsidP="00565D2C">
            <w:pPr>
              <w:rPr>
                <w:rFonts w:asciiTheme="minorHAnsi" w:hAnsiTheme="minorHAnsi"/>
                <w:b/>
                <w:bCs/>
                <w:color w:val="000000"/>
                <w:sz w:val="18"/>
                <w:szCs w:val="22"/>
                <w:lang w:val="sq-AL"/>
              </w:rPr>
            </w:pPr>
            <w:r w:rsidRPr="00D17FD3">
              <w:rPr>
                <w:rFonts w:asciiTheme="minorHAnsi" w:hAnsiTheme="minorHAnsi"/>
                <w:b/>
                <w:bCs/>
                <w:color w:val="000000"/>
                <w:sz w:val="18"/>
                <w:szCs w:val="22"/>
                <w:lang w:val="sq-AL"/>
              </w:rPr>
              <w:t>Të ardhura nga Pushteti vendor</w:t>
            </w:r>
          </w:p>
        </w:tc>
        <w:tc>
          <w:tcPr>
            <w:tcW w:w="987" w:type="dxa"/>
            <w:tcBorders>
              <w:top w:val="nil"/>
              <w:left w:val="nil"/>
              <w:bottom w:val="single" w:sz="8" w:space="0" w:color="auto"/>
              <w:right w:val="nil"/>
            </w:tcBorders>
            <w:shd w:val="clear" w:color="auto" w:fill="auto"/>
            <w:noWrap/>
            <w:vAlign w:val="center"/>
            <w:hideMark/>
          </w:tcPr>
          <w:p w:rsidR="00D17FD3" w:rsidRPr="00D17FD3" w:rsidRDefault="00D17FD3" w:rsidP="00565D2C">
            <w:pPr>
              <w:jc w:val="right"/>
              <w:rPr>
                <w:rFonts w:asciiTheme="minorHAnsi" w:hAnsiTheme="minorHAnsi"/>
                <w:b/>
                <w:bCs/>
                <w:color w:val="000000"/>
                <w:sz w:val="18"/>
              </w:rPr>
            </w:pPr>
            <w:r w:rsidRPr="00D17FD3">
              <w:rPr>
                <w:rFonts w:asciiTheme="minorHAnsi" w:hAnsiTheme="minorHAnsi"/>
                <w:b/>
                <w:bCs/>
                <w:color w:val="000000"/>
                <w:sz w:val="18"/>
              </w:rPr>
              <w:t>6,995</w:t>
            </w:r>
          </w:p>
        </w:tc>
        <w:tc>
          <w:tcPr>
            <w:tcW w:w="987" w:type="dxa"/>
            <w:tcBorders>
              <w:top w:val="nil"/>
              <w:left w:val="nil"/>
              <w:bottom w:val="single" w:sz="8" w:space="0" w:color="auto"/>
              <w:right w:val="nil"/>
            </w:tcBorders>
            <w:shd w:val="clear" w:color="auto" w:fill="auto"/>
            <w:noWrap/>
            <w:vAlign w:val="center"/>
            <w:hideMark/>
          </w:tcPr>
          <w:p w:rsidR="00D17FD3" w:rsidRPr="00D17FD3" w:rsidRDefault="00D17FD3" w:rsidP="00565D2C">
            <w:pPr>
              <w:jc w:val="right"/>
              <w:rPr>
                <w:rFonts w:asciiTheme="minorHAnsi" w:hAnsiTheme="minorHAnsi"/>
                <w:b/>
                <w:bCs/>
                <w:color w:val="000000"/>
                <w:sz w:val="18"/>
              </w:rPr>
            </w:pPr>
            <w:r w:rsidRPr="00D17FD3">
              <w:rPr>
                <w:rFonts w:asciiTheme="minorHAnsi" w:hAnsiTheme="minorHAnsi"/>
                <w:b/>
                <w:bCs/>
                <w:color w:val="000000"/>
                <w:sz w:val="18"/>
              </w:rPr>
              <w:t>11,349</w:t>
            </w:r>
          </w:p>
        </w:tc>
        <w:tc>
          <w:tcPr>
            <w:tcW w:w="1424" w:type="dxa"/>
            <w:tcBorders>
              <w:top w:val="nil"/>
              <w:left w:val="double" w:sz="6" w:space="0" w:color="auto"/>
              <w:bottom w:val="single" w:sz="8" w:space="0" w:color="auto"/>
              <w:right w:val="nil"/>
            </w:tcBorders>
            <w:shd w:val="clear" w:color="auto" w:fill="auto"/>
            <w:noWrap/>
            <w:vAlign w:val="center"/>
            <w:hideMark/>
          </w:tcPr>
          <w:p w:rsidR="00D17FD3" w:rsidRPr="00D17FD3" w:rsidRDefault="00D17FD3" w:rsidP="00565D2C">
            <w:pPr>
              <w:jc w:val="right"/>
              <w:rPr>
                <w:rFonts w:asciiTheme="minorHAnsi" w:hAnsiTheme="minorHAnsi"/>
                <w:b/>
                <w:bCs/>
                <w:color w:val="000000"/>
                <w:sz w:val="18"/>
              </w:rPr>
            </w:pPr>
            <w:r w:rsidRPr="00D17FD3">
              <w:rPr>
                <w:rFonts w:asciiTheme="minorHAnsi" w:hAnsiTheme="minorHAnsi"/>
                <w:b/>
                <w:bCs/>
                <w:color w:val="000000"/>
                <w:sz w:val="18"/>
              </w:rPr>
              <w:t>-4,354</w:t>
            </w:r>
          </w:p>
        </w:tc>
        <w:tc>
          <w:tcPr>
            <w:tcW w:w="1522" w:type="dxa"/>
            <w:tcBorders>
              <w:top w:val="nil"/>
              <w:left w:val="nil"/>
              <w:bottom w:val="single" w:sz="8" w:space="0" w:color="auto"/>
              <w:right w:val="double" w:sz="6" w:space="0" w:color="auto"/>
            </w:tcBorders>
            <w:shd w:val="clear" w:color="auto" w:fill="auto"/>
            <w:noWrap/>
            <w:vAlign w:val="center"/>
            <w:hideMark/>
          </w:tcPr>
          <w:p w:rsidR="00D17FD3" w:rsidRPr="00D17FD3" w:rsidRDefault="00D17FD3" w:rsidP="00565D2C">
            <w:pPr>
              <w:jc w:val="right"/>
              <w:rPr>
                <w:rFonts w:asciiTheme="minorHAnsi" w:hAnsiTheme="minorHAnsi"/>
                <w:b/>
                <w:bCs/>
                <w:color w:val="000000"/>
                <w:sz w:val="18"/>
              </w:rPr>
            </w:pPr>
            <w:r w:rsidRPr="00D17FD3">
              <w:rPr>
                <w:rFonts w:asciiTheme="minorHAnsi" w:hAnsiTheme="minorHAnsi"/>
                <w:b/>
                <w:bCs/>
                <w:color w:val="000000"/>
                <w:sz w:val="18"/>
              </w:rPr>
              <w:t>62%</w:t>
            </w:r>
          </w:p>
        </w:tc>
      </w:tr>
      <w:tr w:rsidR="00D17FD3" w:rsidRPr="00D17FD3" w:rsidTr="00317891">
        <w:trPr>
          <w:trHeight w:val="233"/>
          <w:jc w:val="center"/>
        </w:trPr>
        <w:tc>
          <w:tcPr>
            <w:tcW w:w="534" w:type="dxa"/>
            <w:tcBorders>
              <w:top w:val="nil"/>
              <w:left w:val="double" w:sz="6" w:space="0" w:color="auto"/>
              <w:bottom w:val="single" w:sz="8" w:space="0" w:color="C0C0C0"/>
              <w:right w:val="single" w:sz="8" w:space="0" w:color="C0C0C0"/>
            </w:tcBorders>
            <w:shd w:val="clear" w:color="auto" w:fill="auto"/>
            <w:noWrap/>
            <w:vAlign w:val="center"/>
            <w:hideMark/>
          </w:tcPr>
          <w:p w:rsidR="00D17FD3" w:rsidRPr="00D17FD3" w:rsidRDefault="00D17FD3" w:rsidP="00565D2C">
            <w:pPr>
              <w:jc w:val="right"/>
              <w:rPr>
                <w:rFonts w:asciiTheme="minorHAnsi" w:hAnsiTheme="minorHAnsi"/>
                <w:color w:val="000000"/>
                <w:sz w:val="18"/>
                <w:szCs w:val="22"/>
              </w:rPr>
            </w:pPr>
            <w:r w:rsidRPr="00D17FD3">
              <w:rPr>
                <w:rFonts w:asciiTheme="minorHAnsi" w:hAnsiTheme="minorHAnsi"/>
                <w:color w:val="000000"/>
                <w:sz w:val="18"/>
                <w:szCs w:val="22"/>
              </w:rPr>
              <w:t>I.1</w:t>
            </w:r>
          </w:p>
        </w:tc>
        <w:tc>
          <w:tcPr>
            <w:tcW w:w="3840" w:type="dxa"/>
            <w:tcBorders>
              <w:top w:val="nil"/>
              <w:left w:val="nil"/>
              <w:bottom w:val="single" w:sz="8" w:space="0" w:color="C0C0C0"/>
              <w:right w:val="nil"/>
            </w:tcBorders>
            <w:shd w:val="clear" w:color="auto" w:fill="auto"/>
            <w:noWrap/>
            <w:vAlign w:val="center"/>
            <w:hideMark/>
          </w:tcPr>
          <w:p w:rsidR="00D17FD3" w:rsidRPr="00D17FD3" w:rsidRDefault="00D17FD3" w:rsidP="00565D2C">
            <w:pPr>
              <w:jc w:val="both"/>
              <w:rPr>
                <w:rFonts w:asciiTheme="minorHAnsi" w:hAnsiTheme="minorHAnsi"/>
                <w:i/>
                <w:iCs/>
                <w:color w:val="000000"/>
                <w:sz w:val="18"/>
                <w:szCs w:val="22"/>
                <w:lang w:val="sq-AL"/>
              </w:rPr>
            </w:pPr>
            <w:r w:rsidRPr="00D17FD3">
              <w:rPr>
                <w:rFonts w:asciiTheme="minorHAnsi" w:hAnsiTheme="minorHAnsi"/>
                <w:i/>
                <w:iCs/>
                <w:color w:val="000000"/>
                <w:sz w:val="18"/>
                <w:szCs w:val="22"/>
                <w:lang w:val="sq-AL"/>
              </w:rPr>
              <w:t>Taksa mbi pasurinë</w:t>
            </w:r>
          </w:p>
        </w:tc>
        <w:tc>
          <w:tcPr>
            <w:tcW w:w="987" w:type="dxa"/>
            <w:tcBorders>
              <w:top w:val="nil"/>
              <w:left w:val="double" w:sz="6" w:space="0" w:color="auto"/>
              <w:bottom w:val="single" w:sz="8" w:space="0" w:color="C0C0C0"/>
              <w:right w:val="nil"/>
            </w:tcBorders>
            <w:shd w:val="clear" w:color="auto" w:fill="auto"/>
            <w:noWrap/>
            <w:vAlign w:val="center"/>
            <w:hideMark/>
          </w:tcPr>
          <w:p w:rsidR="00D17FD3" w:rsidRPr="00D17FD3" w:rsidRDefault="00D17FD3" w:rsidP="00565D2C">
            <w:pPr>
              <w:jc w:val="right"/>
              <w:rPr>
                <w:rFonts w:asciiTheme="minorHAnsi" w:hAnsiTheme="minorHAnsi"/>
                <w:color w:val="000000"/>
                <w:sz w:val="18"/>
              </w:rPr>
            </w:pPr>
            <w:r w:rsidRPr="00D17FD3">
              <w:rPr>
                <w:rFonts w:asciiTheme="minorHAnsi" w:hAnsiTheme="minorHAnsi"/>
                <w:color w:val="000000"/>
                <w:sz w:val="18"/>
              </w:rPr>
              <w:t>1,409</w:t>
            </w:r>
          </w:p>
        </w:tc>
        <w:tc>
          <w:tcPr>
            <w:tcW w:w="987" w:type="dxa"/>
            <w:tcBorders>
              <w:top w:val="nil"/>
              <w:left w:val="nil"/>
              <w:bottom w:val="single" w:sz="8" w:space="0" w:color="C0C0C0"/>
              <w:right w:val="double" w:sz="6" w:space="0" w:color="auto"/>
            </w:tcBorders>
            <w:shd w:val="clear" w:color="auto" w:fill="auto"/>
            <w:noWrap/>
            <w:vAlign w:val="center"/>
            <w:hideMark/>
          </w:tcPr>
          <w:p w:rsidR="00D17FD3" w:rsidRPr="00D17FD3" w:rsidRDefault="00D17FD3" w:rsidP="00565D2C">
            <w:pPr>
              <w:jc w:val="right"/>
              <w:rPr>
                <w:rFonts w:asciiTheme="minorHAnsi" w:hAnsiTheme="minorHAnsi"/>
                <w:color w:val="000000"/>
                <w:sz w:val="18"/>
              </w:rPr>
            </w:pPr>
            <w:r w:rsidRPr="00D17FD3">
              <w:rPr>
                <w:rFonts w:asciiTheme="minorHAnsi" w:hAnsiTheme="minorHAnsi"/>
                <w:color w:val="000000"/>
                <w:sz w:val="18"/>
              </w:rPr>
              <w:t>2,665</w:t>
            </w:r>
          </w:p>
        </w:tc>
        <w:tc>
          <w:tcPr>
            <w:tcW w:w="1424" w:type="dxa"/>
            <w:tcBorders>
              <w:top w:val="nil"/>
              <w:left w:val="nil"/>
              <w:bottom w:val="single" w:sz="8" w:space="0" w:color="C0C0C0"/>
              <w:right w:val="nil"/>
            </w:tcBorders>
            <w:shd w:val="clear" w:color="auto" w:fill="auto"/>
            <w:noWrap/>
            <w:vAlign w:val="center"/>
            <w:hideMark/>
          </w:tcPr>
          <w:p w:rsidR="00D17FD3" w:rsidRPr="00D17FD3" w:rsidRDefault="00D17FD3" w:rsidP="00565D2C">
            <w:pPr>
              <w:jc w:val="right"/>
              <w:rPr>
                <w:rFonts w:asciiTheme="minorHAnsi" w:hAnsiTheme="minorHAnsi"/>
                <w:color w:val="000000"/>
                <w:sz w:val="18"/>
              </w:rPr>
            </w:pPr>
            <w:r w:rsidRPr="00D17FD3">
              <w:rPr>
                <w:rFonts w:asciiTheme="minorHAnsi" w:hAnsiTheme="minorHAnsi"/>
                <w:color w:val="000000"/>
                <w:sz w:val="18"/>
              </w:rPr>
              <w:t>-1,256</w:t>
            </w:r>
          </w:p>
        </w:tc>
        <w:tc>
          <w:tcPr>
            <w:tcW w:w="1522" w:type="dxa"/>
            <w:tcBorders>
              <w:top w:val="nil"/>
              <w:left w:val="nil"/>
              <w:bottom w:val="single" w:sz="8" w:space="0" w:color="C0C0C0"/>
              <w:right w:val="double" w:sz="6" w:space="0" w:color="auto"/>
            </w:tcBorders>
            <w:shd w:val="clear" w:color="auto" w:fill="auto"/>
            <w:noWrap/>
            <w:vAlign w:val="center"/>
            <w:hideMark/>
          </w:tcPr>
          <w:p w:rsidR="00D17FD3" w:rsidRPr="00D17FD3" w:rsidRDefault="00D17FD3" w:rsidP="00565D2C">
            <w:pPr>
              <w:jc w:val="right"/>
              <w:rPr>
                <w:rFonts w:asciiTheme="minorHAnsi" w:hAnsiTheme="minorHAnsi"/>
                <w:color w:val="000000"/>
                <w:sz w:val="18"/>
              </w:rPr>
            </w:pPr>
            <w:r w:rsidRPr="00D17FD3">
              <w:rPr>
                <w:rFonts w:asciiTheme="minorHAnsi" w:hAnsiTheme="minorHAnsi"/>
                <w:color w:val="000000"/>
                <w:sz w:val="18"/>
              </w:rPr>
              <w:t>53%</w:t>
            </w:r>
          </w:p>
        </w:tc>
      </w:tr>
      <w:tr w:rsidR="00D17FD3" w:rsidRPr="00D17FD3" w:rsidTr="00317891">
        <w:trPr>
          <w:trHeight w:val="215"/>
          <w:jc w:val="center"/>
        </w:trPr>
        <w:tc>
          <w:tcPr>
            <w:tcW w:w="534" w:type="dxa"/>
            <w:tcBorders>
              <w:top w:val="nil"/>
              <w:left w:val="double" w:sz="6" w:space="0" w:color="auto"/>
              <w:bottom w:val="single" w:sz="8" w:space="0" w:color="C0C0C0"/>
              <w:right w:val="single" w:sz="8" w:space="0" w:color="C0C0C0"/>
            </w:tcBorders>
            <w:shd w:val="clear" w:color="auto" w:fill="auto"/>
            <w:noWrap/>
            <w:vAlign w:val="center"/>
            <w:hideMark/>
          </w:tcPr>
          <w:p w:rsidR="00D17FD3" w:rsidRPr="00D17FD3" w:rsidRDefault="00D17FD3" w:rsidP="00565D2C">
            <w:pPr>
              <w:jc w:val="right"/>
              <w:rPr>
                <w:rFonts w:asciiTheme="minorHAnsi" w:hAnsiTheme="minorHAnsi"/>
                <w:color w:val="000000"/>
                <w:sz w:val="18"/>
                <w:szCs w:val="22"/>
              </w:rPr>
            </w:pPr>
            <w:r w:rsidRPr="00D17FD3">
              <w:rPr>
                <w:rFonts w:asciiTheme="minorHAnsi" w:hAnsiTheme="minorHAnsi"/>
                <w:color w:val="000000"/>
                <w:sz w:val="18"/>
                <w:szCs w:val="22"/>
              </w:rPr>
              <w:t>I.2</w:t>
            </w:r>
          </w:p>
        </w:tc>
        <w:tc>
          <w:tcPr>
            <w:tcW w:w="3840" w:type="dxa"/>
            <w:tcBorders>
              <w:top w:val="nil"/>
              <w:left w:val="nil"/>
              <w:bottom w:val="single" w:sz="8" w:space="0" w:color="C0C0C0"/>
              <w:right w:val="nil"/>
            </w:tcBorders>
            <w:shd w:val="clear" w:color="auto" w:fill="auto"/>
            <w:noWrap/>
            <w:vAlign w:val="center"/>
            <w:hideMark/>
          </w:tcPr>
          <w:p w:rsidR="00D17FD3" w:rsidRPr="00D17FD3" w:rsidRDefault="00D17FD3" w:rsidP="00565D2C">
            <w:pPr>
              <w:jc w:val="both"/>
              <w:rPr>
                <w:rFonts w:asciiTheme="minorHAnsi" w:hAnsiTheme="minorHAnsi"/>
                <w:i/>
                <w:iCs/>
                <w:color w:val="000000"/>
                <w:sz w:val="18"/>
                <w:szCs w:val="22"/>
                <w:lang w:val="sq-AL"/>
              </w:rPr>
            </w:pPr>
            <w:r w:rsidRPr="00D17FD3">
              <w:rPr>
                <w:rFonts w:asciiTheme="minorHAnsi" w:hAnsiTheme="minorHAnsi"/>
                <w:i/>
                <w:iCs/>
                <w:color w:val="000000"/>
                <w:sz w:val="18"/>
                <w:szCs w:val="22"/>
                <w:lang w:val="sq-AL"/>
              </w:rPr>
              <w:t>Taksa e biznesit të vogël</w:t>
            </w:r>
          </w:p>
        </w:tc>
        <w:tc>
          <w:tcPr>
            <w:tcW w:w="987" w:type="dxa"/>
            <w:tcBorders>
              <w:top w:val="nil"/>
              <w:left w:val="double" w:sz="6" w:space="0" w:color="auto"/>
              <w:bottom w:val="single" w:sz="8" w:space="0" w:color="C0C0C0"/>
              <w:right w:val="nil"/>
            </w:tcBorders>
            <w:shd w:val="clear" w:color="auto" w:fill="auto"/>
            <w:noWrap/>
            <w:vAlign w:val="center"/>
            <w:hideMark/>
          </w:tcPr>
          <w:p w:rsidR="00D17FD3" w:rsidRPr="00D17FD3" w:rsidRDefault="00D17FD3" w:rsidP="00565D2C">
            <w:pPr>
              <w:jc w:val="right"/>
              <w:rPr>
                <w:rFonts w:asciiTheme="minorHAnsi" w:hAnsiTheme="minorHAnsi"/>
                <w:i/>
                <w:iCs/>
                <w:color w:val="000000"/>
                <w:sz w:val="18"/>
              </w:rPr>
            </w:pPr>
            <w:r w:rsidRPr="00D17FD3">
              <w:rPr>
                <w:rFonts w:asciiTheme="minorHAnsi" w:hAnsiTheme="minorHAnsi"/>
                <w:i/>
                <w:iCs/>
                <w:color w:val="000000"/>
                <w:sz w:val="18"/>
              </w:rPr>
              <w:t>306</w:t>
            </w:r>
          </w:p>
        </w:tc>
        <w:tc>
          <w:tcPr>
            <w:tcW w:w="987" w:type="dxa"/>
            <w:tcBorders>
              <w:top w:val="nil"/>
              <w:left w:val="nil"/>
              <w:bottom w:val="single" w:sz="8" w:space="0" w:color="C0C0C0"/>
              <w:right w:val="double" w:sz="6" w:space="0" w:color="auto"/>
            </w:tcBorders>
            <w:shd w:val="clear" w:color="auto" w:fill="auto"/>
            <w:noWrap/>
            <w:vAlign w:val="center"/>
            <w:hideMark/>
          </w:tcPr>
          <w:p w:rsidR="00D17FD3" w:rsidRPr="00D17FD3" w:rsidRDefault="00D17FD3" w:rsidP="00565D2C">
            <w:pPr>
              <w:jc w:val="right"/>
              <w:rPr>
                <w:rFonts w:asciiTheme="minorHAnsi" w:hAnsiTheme="minorHAnsi"/>
                <w:i/>
                <w:iCs/>
                <w:color w:val="000000"/>
                <w:sz w:val="18"/>
              </w:rPr>
            </w:pPr>
            <w:r w:rsidRPr="00D17FD3">
              <w:rPr>
                <w:rFonts w:asciiTheme="minorHAnsi" w:hAnsiTheme="minorHAnsi"/>
                <w:i/>
                <w:iCs/>
                <w:color w:val="000000"/>
                <w:sz w:val="18"/>
              </w:rPr>
              <w:t>282</w:t>
            </w:r>
          </w:p>
        </w:tc>
        <w:tc>
          <w:tcPr>
            <w:tcW w:w="1424" w:type="dxa"/>
            <w:tcBorders>
              <w:top w:val="nil"/>
              <w:left w:val="nil"/>
              <w:bottom w:val="single" w:sz="8" w:space="0" w:color="C0C0C0"/>
              <w:right w:val="nil"/>
            </w:tcBorders>
            <w:shd w:val="clear" w:color="auto" w:fill="auto"/>
            <w:noWrap/>
            <w:vAlign w:val="center"/>
            <w:hideMark/>
          </w:tcPr>
          <w:p w:rsidR="00D17FD3" w:rsidRPr="00D17FD3" w:rsidRDefault="00D17FD3" w:rsidP="00565D2C">
            <w:pPr>
              <w:jc w:val="right"/>
              <w:rPr>
                <w:rFonts w:asciiTheme="minorHAnsi" w:hAnsiTheme="minorHAnsi"/>
                <w:i/>
                <w:iCs/>
                <w:color w:val="000000"/>
                <w:sz w:val="18"/>
              </w:rPr>
            </w:pPr>
            <w:r w:rsidRPr="00D17FD3">
              <w:rPr>
                <w:rFonts w:asciiTheme="minorHAnsi" w:hAnsiTheme="minorHAnsi"/>
                <w:i/>
                <w:iCs/>
                <w:color w:val="000000"/>
                <w:sz w:val="18"/>
              </w:rPr>
              <w:t>24</w:t>
            </w:r>
          </w:p>
        </w:tc>
        <w:tc>
          <w:tcPr>
            <w:tcW w:w="1522" w:type="dxa"/>
            <w:tcBorders>
              <w:top w:val="nil"/>
              <w:left w:val="nil"/>
              <w:bottom w:val="single" w:sz="8" w:space="0" w:color="C0C0C0"/>
              <w:right w:val="double" w:sz="6" w:space="0" w:color="auto"/>
            </w:tcBorders>
            <w:shd w:val="clear" w:color="auto" w:fill="auto"/>
            <w:noWrap/>
            <w:vAlign w:val="center"/>
            <w:hideMark/>
          </w:tcPr>
          <w:p w:rsidR="00D17FD3" w:rsidRPr="00D17FD3" w:rsidRDefault="00D17FD3" w:rsidP="00565D2C">
            <w:pPr>
              <w:jc w:val="right"/>
              <w:rPr>
                <w:rFonts w:asciiTheme="minorHAnsi" w:hAnsiTheme="minorHAnsi"/>
                <w:color w:val="000000"/>
                <w:sz w:val="18"/>
              </w:rPr>
            </w:pPr>
            <w:r w:rsidRPr="00D17FD3">
              <w:rPr>
                <w:rFonts w:asciiTheme="minorHAnsi" w:hAnsiTheme="minorHAnsi"/>
                <w:color w:val="000000"/>
                <w:sz w:val="18"/>
              </w:rPr>
              <w:t>108%</w:t>
            </w:r>
          </w:p>
        </w:tc>
      </w:tr>
      <w:tr w:rsidR="00D17FD3" w:rsidRPr="00D17FD3" w:rsidTr="00317891">
        <w:trPr>
          <w:trHeight w:val="215"/>
          <w:jc w:val="center"/>
        </w:trPr>
        <w:tc>
          <w:tcPr>
            <w:tcW w:w="534" w:type="dxa"/>
            <w:tcBorders>
              <w:top w:val="nil"/>
              <w:left w:val="double" w:sz="6" w:space="0" w:color="auto"/>
              <w:bottom w:val="single" w:sz="8" w:space="0" w:color="auto"/>
              <w:right w:val="single" w:sz="8" w:space="0" w:color="C0C0C0"/>
            </w:tcBorders>
            <w:shd w:val="clear" w:color="auto" w:fill="auto"/>
            <w:noWrap/>
            <w:vAlign w:val="center"/>
            <w:hideMark/>
          </w:tcPr>
          <w:p w:rsidR="00D17FD3" w:rsidRPr="00D17FD3" w:rsidRDefault="00D17FD3" w:rsidP="00565D2C">
            <w:pPr>
              <w:jc w:val="right"/>
              <w:rPr>
                <w:rFonts w:asciiTheme="minorHAnsi" w:hAnsiTheme="minorHAnsi"/>
                <w:color w:val="000000"/>
                <w:sz w:val="18"/>
                <w:szCs w:val="22"/>
              </w:rPr>
            </w:pPr>
            <w:r w:rsidRPr="00D17FD3">
              <w:rPr>
                <w:rFonts w:asciiTheme="minorHAnsi" w:hAnsiTheme="minorHAnsi"/>
                <w:color w:val="000000"/>
                <w:sz w:val="18"/>
                <w:szCs w:val="22"/>
              </w:rPr>
              <w:t>I.3</w:t>
            </w:r>
          </w:p>
        </w:tc>
        <w:tc>
          <w:tcPr>
            <w:tcW w:w="3840" w:type="dxa"/>
            <w:tcBorders>
              <w:top w:val="nil"/>
              <w:left w:val="nil"/>
              <w:bottom w:val="single" w:sz="8" w:space="0" w:color="auto"/>
              <w:right w:val="nil"/>
            </w:tcBorders>
            <w:shd w:val="clear" w:color="auto" w:fill="auto"/>
            <w:noWrap/>
            <w:vAlign w:val="center"/>
            <w:hideMark/>
          </w:tcPr>
          <w:p w:rsidR="00D17FD3" w:rsidRPr="00D17FD3" w:rsidRDefault="00D17FD3" w:rsidP="00565D2C">
            <w:pPr>
              <w:rPr>
                <w:rFonts w:asciiTheme="minorHAnsi" w:hAnsiTheme="minorHAnsi"/>
                <w:i/>
                <w:iCs/>
                <w:color w:val="000000"/>
                <w:sz w:val="18"/>
                <w:szCs w:val="22"/>
                <w:lang w:val="sq-AL"/>
              </w:rPr>
            </w:pPr>
            <w:r w:rsidRPr="00D17FD3">
              <w:rPr>
                <w:rFonts w:asciiTheme="minorHAnsi" w:hAnsiTheme="minorHAnsi"/>
                <w:i/>
                <w:iCs/>
                <w:color w:val="000000"/>
                <w:sz w:val="18"/>
                <w:szCs w:val="22"/>
                <w:lang w:val="sq-AL"/>
              </w:rPr>
              <w:t>Taksa Lokale</w:t>
            </w:r>
          </w:p>
        </w:tc>
        <w:tc>
          <w:tcPr>
            <w:tcW w:w="987" w:type="dxa"/>
            <w:tcBorders>
              <w:top w:val="nil"/>
              <w:left w:val="double" w:sz="6" w:space="0" w:color="auto"/>
              <w:bottom w:val="single" w:sz="8" w:space="0" w:color="auto"/>
              <w:right w:val="nil"/>
            </w:tcBorders>
            <w:shd w:val="clear" w:color="auto" w:fill="auto"/>
            <w:noWrap/>
            <w:vAlign w:val="center"/>
            <w:hideMark/>
          </w:tcPr>
          <w:p w:rsidR="00D17FD3" w:rsidRPr="00D17FD3" w:rsidRDefault="00D17FD3" w:rsidP="00565D2C">
            <w:pPr>
              <w:jc w:val="right"/>
              <w:rPr>
                <w:rFonts w:asciiTheme="minorHAnsi" w:hAnsiTheme="minorHAnsi"/>
                <w:i/>
                <w:iCs/>
                <w:color w:val="000000"/>
                <w:sz w:val="18"/>
              </w:rPr>
            </w:pPr>
            <w:r w:rsidRPr="00D17FD3">
              <w:rPr>
                <w:rFonts w:asciiTheme="minorHAnsi" w:hAnsiTheme="minorHAnsi"/>
                <w:i/>
                <w:iCs/>
                <w:color w:val="000000"/>
                <w:sz w:val="18"/>
              </w:rPr>
              <w:t>5,280</w:t>
            </w:r>
          </w:p>
        </w:tc>
        <w:tc>
          <w:tcPr>
            <w:tcW w:w="987" w:type="dxa"/>
            <w:tcBorders>
              <w:top w:val="nil"/>
              <w:left w:val="nil"/>
              <w:bottom w:val="single" w:sz="8" w:space="0" w:color="auto"/>
              <w:right w:val="double" w:sz="6" w:space="0" w:color="auto"/>
            </w:tcBorders>
            <w:shd w:val="clear" w:color="auto" w:fill="auto"/>
            <w:noWrap/>
            <w:vAlign w:val="center"/>
            <w:hideMark/>
          </w:tcPr>
          <w:p w:rsidR="00D17FD3" w:rsidRPr="00D17FD3" w:rsidRDefault="00D17FD3" w:rsidP="00565D2C">
            <w:pPr>
              <w:jc w:val="right"/>
              <w:rPr>
                <w:rFonts w:asciiTheme="minorHAnsi" w:hAnsiTheme="minorHAnsi"/>
                <w:i/>
                <w:iCs/>
                <w:color w:val="000000"/>
                <w:sz w:val="18"/>
              </w:rPr>
            </w:pPr>
            <w:r w:rsidRPr="00D17FD3">
              <w:rPr>
                <w:rFonts w:asciiTheme="minorHAnsi" w:hAnsiTheme="minorHAnsi"/>
                <w:i/>
                <w:iCs/>
                <w:color w:val="000000"/>
                <w:sz w:val="18"/>
              </w:rPr>
              <w:t>8,401</w:t>
            </w:r>
          </w:p>
        </w:tc>
        <w:tc>
          <w:tcPr>
            <w:tcW w:w="1424" w:type="dxa"/>
            <w:tcBorders>
              <w:top w:val="nil"/>
              <w:left w:val="nil"/>
              <w:bottom w:val="single" w:sz="8" w:space="0" w:color="auto"/>
              <w:right w:val="nil"/>
            </w:tcBorders>
            <w:shd w:val="clear" w:color="auto" w:fill="auto"/>
            <w:noWrap/>
            <w:vAlign w:val="center"/>
            <w:hideMark/>
          </w:tcPr>
          <w:p w:rsidR="00D17FD3" w:rsidRPr="00D17FD3" w:rsidRDefault="00D17FD3" w:rsidP="00565D2C">
            <w:pPr>
              <w:jc w:val="right"/>
              <w:rPr>
                <w:rFonts w:asciiTheme="minorHAnsi" w:hAnsiTheme="minorHAnsi"/>
                <w:i/>
                <w:iCs/>
                <w:color w:val="000000"/>
                <w:sz w:val="18"/>
              </w:rPr>
            </w:pPr>
            <w:r w:rsidRPr="00D17FD3">
              <w:rPr>
                <w:rFonts w:asciiTheme="minorHAnsi" w:hAnsiTheme="minorHAnsi"/>
                <w:i/>
                <w:iCs/>
                <w:color w:val="000000"/>
                <w:sz w:val="18"/>
              </w:rPr>
              <w:t>-3,121</w:t>
            </w:r>
          </w:p>
        </w:tc>
        <w:tc>
          <w:tcPr>
            <w:tcW w:w="1522" w:type="dxa"/>
            <w:tcBorders>
              <w:top w:val="nil"/>
              <w:left w:val="nil"/>
              <w:bottom w:val="single" w:sz="8" w:space="0" w:color="auto"/>
              <w:right w:val="double" w:sz="6" w:space="0" w:color="auto"/>
            </w:tcBorders>
            <w:shd w:val="clear" w:color="auto" w:fill="auto"/>
            <w:noWrap/>
            <w:vAlign w:val="center"/>
            <w:hideMark/>
          </w:tcPr>
          <w:p w:rsidR="00D17FD3" w:rsidRPr="00D17FD3" w:rsidRDefault="00D17FD3" w:rsidP="00565D2C">
            <w:pPr>
              <w:jc w:val="right"/>
              <w:rPr>
                <w:rFonts w:asciiTheme="minorHAnsi" w:hAnsiTheme="minorHAnsi"/>
                <w:color w:val="000000"/>
                <w:sz w:val="18"/>
              </w:rPr>
            </w:pPr>
            <w:r w:rsidRPr="00D17FD3">
              <w:rPr>
                <w:rFonts w:asciiTheme="minorHAnsi" w:hAnsiTheme="minorHAnsi"/>
                <w:color w:val="000000"/>
                <w:sz w:val="18"/>
              </w:rPr>
              <w:t>63%</w:t>
            </w:r>
          </w:p>
        </w:tc>
      </w:tr>
      <w:tr w:rsidR="00D17FD3" w:rsidRPr="00D17FD3" w:rsidTr="00317891">
        <w:trPr>
          <w:trHeight w:val="215"/>
          <w:jc w:val="center"/>
        </w:trPr>
        <w:tc>
          <w:tcPr>
            <w:tcW w:w="534" w:type="dxa"/>
            <w:tcBorders>
              <w:top w:val="nil"/>
              <w:left w:val="double" w:sz="6" w:space="0" w:color="auto"/>
              <w:bottom w:val="single" w:sz="8" w:space="0" w:color="auto"/>
              <w:right w:val="single" w:sz="8" w:space="0" w:color="C0C0C0"/>
            </w:tcBorders>
            <w:shd w:val="clear" w:color="auto" w:fill="auto"/>
            <w:noWrap/>
            <w:vAlign w:val="center"/>
            <w:hideMark/>
          </w:tcPr>
          <w:p w:rsidR="00D17FD3" w:rsidRPr="00D17FD3" w:rsidRDefault="00D17FD3" w:rsidP="00565D2C">
            <w:pPr>
              <w:jc w:val="center"/>
              <w:rPr>
                <w:rFonts w:asciiTheme="minorHAnsi" w:hAnsiTheme="minorHAnsi"/>
                <w:b/>
                <w:bCs/>
                <w:color w:val="000000"/>
                <w:sz w:val="18"/>
                <w:szCs w:val="22"/>
              </w:rPr>
            </w:pPr>
            <w:r w:rsidRPr="00D17FD3">
              <w:rPr>
                <w:rFonts w:asciiTheme="minorHAnsi" w:hAnsiTheme="minorHAnsi"/>
                <w:b/>
                <w:bCs/>
                <w:color w:val="000000"/>
                <w:sz w:val="18"/>
                <w:szCs w:val="22"/>
              </w:rPr>
              <w:t>II.</w:t>
            </w:r>
          </w:p>
        </w:tc>
        <w:tc>
          <w:tcPr>
            <w:tcW w:w="3840" w:type="dxa"/>
            <w:tcBorders>
              <w:top w:val="nil"/>
              <w:left w:val="nil"/>
              <w:bottom w:val="single" w:sz="8" w:space="0" w:color="auto"/>
              <w:right w:val="double" w:sz="6" w:space="0" w:color="auto"/>
            </w:tcBorders>
            <w:shd w:val="clear" w:color="auto" w:fill="auto"/>
            <w:noWrap/>
            <w:vAlign w:val="center"/>
            <w:hideMark/>
          </w:tcPr>
          <w:p w:rsidR="00D17FD3" w:rsidRPr="00D17FD3" w:rsidRDefault="00D17FD3" w:rsidP="00565D2C">
            <w:pPr>
              <w:jc w:val="both"/>
              <w:rPr>
                <w:rFonts w:asciiTheme="minorHAnsi" w:hAnsiTheme="minorHAnsi"/>
                <w:b/>
                <w:bCs/>
                <w:color w:val="000000"/>
                <w:sz w:val="18"/>
                <w:szCs w:val="22"/>
                <w:lang w:val="sq-AL"/>
              </w:rPr>
            </w:pPr>
            <w:r w:rsidRPr="00D17FD3">
              <w:rPr>
                <w:rFonts w:asciiTheme="minorHAnsi" w:hAnsiTheme="minorHAnsi"/>
                <w:b/>
                <w:bCs/>
                <w:color w:val="000000"/>
                <w:sz w:val="18"/>
                <w:szCs w:val="22"/>
                <w:lang w:val="sq-AL"/>
              </w:rPr>
              <w:t>Shpenzime nga Pushtetit Vendor</w:t>
            </w:r>
          </w:p>
        </w:tc>
        <w:tc>
          <w:tcPr>
            <w:tcW w:w="987" w:type="dxa"/>
            <w:tcBorders>
              <w:top w:val="nil"/>
              <w:left w:val="nil"/>
              <w:bottom w:val="single" w:sz="8" w:space="0" w:color="auto"/>
              <w:right w:val="nil"/>
            </w:tcBorders>
            <w:shd w:val="clear" w:color="auto" w:fill="auto"/>
            <w:noWrap/>
            <w:vAlign w:val="center"/>
            <w:hideMark/>
          </w:tcPr>
          <w:p w:rsidR="00D17FD3" w:rsidRPr="00D17FD3" w:rsidRDefault="00D17FD3" w:rsidP="00565D2C">
            <w:pPr>
              <w:jc w:val="right"/>
              <w:rPr>
                <w:rFonts w:asciiTheme="minorHAnsi" w:hAnsiTheme="minorHAnsi"/>
                <w:b/>
                <w:bCs/>
                <w:color w:val="000000"/>
                <w:sz w:val="18"/>
              </w:rPr>
            </w:pPr>
            <w:r w:rsidRPr="00D17FD3">
              <w:rPr>
                <w:rFonts w:asciiTheme="minorHAnsi" w:hAnsiTheme="minorHAnsi"/>
                <w:b/>
                <w:bCs/>
                <w:color w:val="000000"/>
                <w:sz w:val="18"/>
              </w:rPr>
              <w:t>17,202</w:t>
            </w:r>
          </w:p>
        </w:tc>
        <w:tc>
          <w:tcPr>
            <w:tcW w:w="987" w:type="dxa"/>
            <w:tcBorders>
              <w:top w:val="nil"/>
              <w:left w:val="nil"/>
              <w:bottom w:val="single" w:sz="8" w:space="0" w:color="auto"/>
              <w:right w:val="nil"/>
            </w:tcBorders>
            <w:shd w:val="clear" w:color="auto" w:fill="auto"/>
            <w:noWrap/>
            <w:vAlign w:val="center"/>
            <w:hideMark/>
          </w:tcPr>
          <w:p w:rsidR="00D17FD3" w:rsidRPr="00D17FD3" w:rsidRDefault="00D17FD3" w:rsidP="00565D2C">
            <w:pPr>
              <w:jc w:val="right"/>
              <w:rPr>
                <w:rFonts w:asciiTheme="minorHAnsi" w:hAnsiTheme="minorHAnsi"/>
                <w:b/>
                <w:bCs/>
                <w:color w:val="000000"/>
                <w:sz w:val="18"/>
              </w:rPr>
            </w:pPr>
            <w:r w:rsidRPr="00D17FD3">
              <w:rPr>
                <w:rFonts w:asciiTheme="minorHAnsi" w:hAnsiTheme="minorHAnsi"/>
                <w:b/>
                <w:bCs/>
                <w:color w:val="000000"/>
                <w:sz w:val="18"/>
              </w:rPr>
              <w:t>23,652</w:t>
            </w:r>
          </w:p>
        </w:tc>
        <w:tc>
          <w:tcPr>
            <w:tcW w:w="1424" w:type="dxa"/>
            <w:tcBorders>
              <w:top w:val="nil"/>
              <w:left w:val="double" w:sz="6" w:space="0" w:color="auto"/>
              <w:bottom w:val="single" w:sz="8" w:space="0" w:color="auto"/>
              <w:right w:val="nil"/>
            </w:tcBorders>
            <w:shd w:val="clear" w:color="auto" w:fill="auto"/>
            <w:noWrap/>
            <w:vAlign w:val="center"/>
            <w:hideMark/>
          </w:tcPr>
          <w:p w:rsidR="00D17FD3" w:rsidRPr="00D17FD3" w:rsidRDefault="00D17FD3" w:rsidP="00565D2C">
            <w:pPr>
              <w:jc w:val="right"/>
              <w:rPr>
                <w:rFonts w:asciiTheme="minorHAnsi" w:hAnsiTheme="minorHAnsi"/>
                <w:b/>
                <w:bCs/>
                <w:color w:val="000000"/>
                <w:sz w:val="18"/>
              </w:rPr>
            </w:pPr>
            <w:r w:rsidRPr="00D17FD3">
              <w:rPr>
                <w:rFonts w:asciiTheme="minorHAnsi" w:hAnsiTheme="minorHAnsi"/>
                <w:b/>
                <w:bCs/>
                <w:color w:val="000000"/>
                <w:sz w:val="18"/>
              </w:rPr>
              <w:t>-6,450</w:t>
            </w:r>
          </w:p>
        </w:tc>
        <w:tc>
          <w:tcPr>
            <w:tcW w:w="1522" w:type="dxa"/>
            <w:tcBorders>
              <w:top w:val="nil"/>
              <w:left w:val="nil"/>
              <w:bottom w:val="single" w:sz="8" w:space="0" w:color="auto"/>
              <w:right w:val="double" w:sz="6" w:space="0" w:color="auto"/>
            </w:tcBorders>
            <w:shd w:val="clear" w:color="auto" w:fill="auto"/>
            <w:noWrap/>
            <w:vAlign w:val="center"/>
            <w:hideMark/>
          </w:tcPr>
          <w:p w:rsidR="00D17FD3" w:rsidRPr="00D17FD3" w:rsidRDefault="00D17FD3" w:rsidP="00565D2C">
            <w:pPr>
              <w:jc w:val="right"/>
              <w:rPr>
                <w:rFonts w:asciiTheme="minorHAnsi" w:hAnsiTheme="minorHAnsi"/>
                <w:b/>
                <w:bCs/>
                <w:color w:val="000000"/>
                <w:sz w:val="18"/>
              </w:rPr>
            </w:pPr>
            <w:r w:rsidRPr="00D17FD3">
              <w:rPr>
                <w:rFonts w:asciiTheme="minorHAnsi" w:hAnsiTheme="minorHAnsi"/>
                <w:b/>
                <w:bCs/>
                <w:color w:val="000000"/>
                <w:sz w:val="18"/>
              </w:rPr>
              <w:t>73%</w:t>
            </w:r>
          </w:p>
        </w:tc>
      </w:tr>
      <w:tr w:rsidR="00D17FD3" w:rsidRPr="00D17FD3" w:rsidTr="00317891">
        <w:trPr>
          <w:trHeight w:val="215"/>
          <w:jc w:val="center"/>
        </w:trPr>
        <w:tc>
          <w:tcPr>
            <w:tcW w:w="534" w:type="dxa"/>
            <w:tcBorders>
              <w:top w:val="nil"/>
              <w:left w:val="double" w:sz="6" w:space="0" w:color="auto"/>
              <w:bottom w:val="single" w:sz="8" w:space="0" w:color="C0C0C0"/>
              <w:right w:val="single" w:sz="8" w:space="0" w:color="C0C0C0"/>
            </w:tcBorders>
            <w:shd w:val="clear" w:color="auto" w:fill="auto"/>
            <w:noWrap/>
            <w:vAlign w:val="center"/>
            <w:hideMark/>
          </w:tcPr>
          <w:p w:rsidR="00D17FD3" w:rsidRPr="00D17FD3" w:rsidRDefault="00D17FD3" w:rsidP="00565D2C">
            <w:pPr>
              <w:jc w:val="right"/>
              <w:rPr>
                <w:rFonts w:asciiTheme="minorHAnsi" w:hAnsiTheme="minorHAnsi"/>
                <w:color w:val="000000"/>
                <w:sz w:val="18"/>
                <w:szCs w:val="22"/>
              </w:rPr>
            </w:pPr>
            <w:r w:rsidRPr="00D17FD3">
              <w:rPr>
                <w:rFonts w:asciiTheme="minorHAnsi" w:hAnsiTheme="minorHAnsi"/>
                <w:color w:val="000000"/>
                <w:sz w:val="18"/>
                <w:szCs w:val="22"/>
              </w:rPr>
              <w:t>II.1</w:t>
            </w:r>
          </w:p>
        </w:tc>
        <w:tc>
          <w:tcPr>
            <w:tcW w:w="3840" w:type="dxa"/>
            <w:tcBorders>
              <w:top w:val="nil"/>
              <w:left w:val="nil"/>
              <w:bottom w:val="single" w:sz="8" w:space="0" w:color="C0C0C0"/>
              <w:right w:val="double" w:sz="6" w:space="0" w:color="auto"/>
            </w:tcBorders>
            <w:shd w:val="clear" w:color="auto" w:fill="auto"/>
            <w:noWrap/>
            <w:vAlign w:val="center"/>
            <w:hideMark/>
          </w:tcPr>
          <w:p w:rsidR="00D17FD3" w:rsidRPr="00D17FD3" w:rsidRDefault="00D17FD3" w:rsidP="00565D2C">
            <w:pPr>
              <w:jc w:val="both"/>
              <w:rPr>
                <w:rFonts w:asciiTheme="minorHAnsi" w:hAnsiTheme="minorHAnsi"/>
                <w:b/>
                <w:bCs/>
                <w:i/>
                <w:iCs/>
                <w:color w:val="000000"/>
                <w:sz w:val="18"/>
                <w:szCs w:val="22"/>
                <w:lang w:val="sq-AL"/>
              </w:rPr>
            </w:pPr>
            <w:r w:rsidRPr="00D17FD3">
              <w:rPr>
                <w:rFonts w:asciiTheme="minorHAnsi" w:hAnsiTheme="minorHAnsi"/>
                <w:b/>
                <w:bCs/>
                <w:i/>
                <w:iCs/>
                <w:color w:val="000000"/>
                <w:sz w:val="18"/>
                <w:szCs w:val="22"/>
                <w:lang w:val="sq-AL"/>
              </w:rPr>
              <w:t>Shpenzime Korente</w:t>
            </w:r>
          </w:p>
        </w:tc>
        <w:tc>
          <w:tcPr>
            <w:tcW w:w="987" w:type="dxa"/>
            <w:tcBorders>
              <w:top w:val="nil"/>
              <w:left w:val="nil"/>
              <w:bottom w:val="single" w:sz="8" w:space="0" w:color="C0C0C0"/>
              <w:right w:val="nil"/>
            </w:tcBorders>
            <w:shd w:val="clear" w:color="auto" w:fill="auto"/>
            <w:noWrap/>
            <w:vAlign w:val="center"/>
            <w:hideMark/>
          </w:tcPr>
          <w:p w:rsidR="00D17FD3" w:rsidRPr="00D17FD3" w:rsidRDefault="00D17FD3" w:rsidP="00565D2C">
            <w:pPr>
              <w:jc w:val="right"/>
              <w:rPr>
                <w:rFonts w:asciiTheme="minorHAnsi" w:hAnsiTheme="minorHAnsi"/>
                <w:color w:val="000000"/>
                <w:sz w:val="18"/>
              </w:rPr>
            </w:pPr>
            <w:r w:rsidRPr="00D17FD3">
              <w:rPr>
                <w:rFonts w:asciiTheme="minorHAnsi" w:hAnsiTheme="minorHAnsi"/>
                <w:color w:val="000000"/>
                <w:sz w:val="18"/>
              </w:rPr>
              <w:t>14,158</w:t>
            </w:r>
          </w:p>
        </w:tc>
        <w:tc>
          <w:tcPr>
            <w:tcW w:w="987" w:type="dxa"/>
            <w:tcBorders>
              <w:top w:val="nil"/>
              <w:left w:val="nil"/>
              <w:bottom w:val="single" w:sz="8" w:space="0" w:color="C0C0C0"/>
              <w:right w:val="nil"/>
            </w:tcBorders>
            <w:shd w:val="clear" w:color="auto" w:fill="auto"/>
            <w:noWrap/>
            <w:vAlign w:val="center"/>
            <w:hideMark/>
          </w:tcPr>
          <w:p w:rsidR="00D17FD3" w:rsidRPr="00D17FD3" w:rsidRDefault="00D17FD3" w:rsidP="00565D2C">
            <w:pPr>
              <w:jc w:val="right"/>
              <w:rPr>
                <w:rFonts w:asciiTheme="minorHAnsi" w:hAnsiTheme="minorHAnsi"/>
                <w:color w:val="000000"/>
                <w:sz w:val="18"/>
              </w:rPr>
            </w:pPr>
            <w:r w:rsidRPr="00D17FD3">
              <w:rPr>
                <w:rFonts w:asciiTheme="minorHAnsi" w:hAnsiTheme="minorHAnsi"/>
                <w:color w:val="000000"/>
                <w:sz w:val="18"/>
              </w:rPr>
              <w:t>15,828</w:t>
            </w:r>
          </w:p>
        </w:tc>
        <w:tc>
          <w:tcPr>
            <w:tcW w:w="1424" w:type="dxa"/>
            <w:tcBorders>
              <w:top w:val="nil"/>
              <w:left w:val="double" w:sz="6" w:space="0" w:color="auto"/>
              <w:bottom w:val="single" w:sz="8" w:space="0" w:color="C0C0C0"/>
              <w:right w:val="nil"/>
            </w:tcBorders>
            <w:shd w:val="clear" w:color="auto" w:fill="auto"/>
            <w:noWrap/>
            <w:vAlign w:val="center"/>
            <w:hideMark/>
          </w:tcPr>
          <w:p w:rsidR="00D17FD3" w:rsidRPr="00D17FD3" w:rsidRDefault="00D17FD3" w:rsidP="00565D2C">
            <w:pPr>
              <w:jc w:val="right"/>
              <w:rPr>
                <w:rFonts w:asciiTheme="minorHAnsi" w:hAnsiTheme="minorHAnsi"/>
                <w:color w:val="000000"/>
                <w:sz w:val="18"/>
              </w:rPr>
            </w:pPr>
            <w:r w:rsidRPr="00D17FD3">
              <w:rPr>
                <w:rFonts w:asciiTheme="minorHAnsi" w:hAnsiTheme="minorHAnsi"/>
                <w:color w:val="000000"/>
                <w:sz w:val="18"/>
              </w:rPr>
              <w:t>-1,670</w:t>
            </w:r>
          </w:p>
        </w:tc>
        <w:tc>
          <w:tcPr>
            <w:tcW w:w="1522" w:type="dxa"/>
            <w:tcBorders>
              <w:top w:val="nil"/>
              <w:left w:val="nil"/>
              <w:bottom w:val="single" w:sz="8" w:space="0" w:color="C0C0C0"/>
              <w:right w:val="double" w:sz="6" w:space="0" w:color="auto"/>
            </w:tcBorders>
            <w:shd w:val="clear" w:color="auto" w:fill="auto"/>
            <w:noWrap/>
            <w:vAlign w:val="center"/>
            <w:hideMark/>
          </w:tcPr>
          <w:p w:rsidR="00D17FD3" w:rsidRPr="00D17FD3" w:rsidRDefault="00D17FD3" w:rsidP="00565D2C">
            <w:pPr>
              <w:jc w:val="right"/>
              <w:rPr>
                <w:rFonts w:asciiTheme="minorHAnsi" w:hAnsiTheme="minorHAnsi"/>
                <w:color w:val="000000"/>
                <w:sz w:val="18"/>
              </w:rPr>
            </w:pPr>
            <w:r w:rsidRPr="00D17FD3">
              <w:rPr>
                <w:rFonts w:asciiTheme="minorHAnsi" w:hAnsiTheme="minorHAnsi"/>
                <w:color w:val="000000"/>
                <w:sz w:val="18"/>
              </w:rPr>
              <w:t>89%</w:t>
            </w:r>
          </w:p>
        </w:tc>
      </w:tr>
      <w:tr w:rsidR="00D17FD3" w:rsidRPr="00D17FD3" w:rsidTr="00317891">
        <w:trPr>
          <w:trHeight w:val="215"/>
          <w:jc w:val="center"/>
        </w:trPr>
        <w:tc>
          <w:tcPr>
            <w:tcW w:w="534" w:type="dxa"/>
            <w:tcBorders>
              <w:top w:val="nil"/>
              <w:left w:val="double" w:sz="6" w:space="0" w:color="auto"/>
              <w:bottom w:val="single" w:sz="8" w:space="0" w:color="C0C0C0"/>
              <w:right w:val="single" w:sz="8" w:space="0" w:color="C0C0C0"/>
            </w:tcBorders>
            <w:shd w:val="clear" w:color="auto" w:fill="auto"/>
            <w:noWrap/>
            <w:vAlign w:val="center"/>
            <w:hideMark/>
          </w:tcPr>
          <w:p w:rsidR="00D17FD3" w:rsidRPr="00D17FD3" w:rsidRDefault="00D17FD3" w:rsidP="00565D2C">
            <w:pPr>
              <w:jc w:val="right"/>
              <w:rPr>
                <w:rFonts w:asciiTheme="minorHAnsi" w:hAnsiTheme="minorHAnsi"/>
                <w:color w:val="000000"/>
                <w:sz w:val="18"/>
                <w:szCs w:val="22"/>
              </w:rPr>
            </w:pPr>
            <w:r w:rsidRPr="00D17FD3">
              <w:rPr>
                <w:rFonts w:asciiTheme="minorHAnsi" w:hAnsiTheme="minorHAnsi"/>
                <w:color w:val="000000"/>
                <w:sz w:val="18"/>
                <w:szCs w:val="22"/>
              </w:rPr>
              <w:t> </w:t>
            </w:r>
          </w:p>
        </w:tc>
        <w:tc>
          <w:tcPr>
            <w:tcW w:w="3840" w:type="dxa"/>
            <w:tcBorders>
              <w:top w:val="nil"/>
              <w:left w:val="nil"/>
              <w:bottom w:val="single" w:sz="8" w:space="0" w:color="C0C0C0"/>
              <w:right w:val="double" w:sz="6" w:space="0" w:color="auto"/>
            </w:tcBorders>
            <w:shd w:val="clear" w:color="auto" w:fill="auto"/>
            <w:noWrap/>
            <w:vAlign w:val="center"/>
            <w:hideMark/>
          </w:tcPr>
          <w:p w:rsidR="00D17FD3" w:rsidRPr="00D17FD3" w:rsidRDefault="00D17FD3" w:rsidP="00565D2C">
            <w:pPr>
              <w:jc w:val="both"/>
              <w:rPr>
                <w:rFonts w:asciiTheme="minorHAnsi" w:hAnsiTheme="minorHAnsi"/>
                <w:i/>
                <w:iCs/>
                <w:color w:val="000000"/>
                <w:sz w:val="18"/>
                <w:szCs w:val="22"/>
                <w:lang w:val="sq-AL"/>
              </w:rPr>
            </w:pPr>
            <w:r w:rsidRPr="00D17FD3">
              <w:rPr>
                <w:rFonts w:asciiTheme="minorHAnsi" w:hAnsiTheme="minorHAnsi"/>
                <w:i/>
                <w:iCs/>
                <w:color w:val="000000"/>
                <w:sz w:val="18"/>
                <w:szCs w:val="22"/>
                <w:lang w:val="sq-AL"/>
              </w:rPr>
              <w:t xml:space="preserve">Personeli </w:t>
            </w:r>
          </w:p>
        </w:tc>
        <w:tc>
          <w:tcPr>
            <w:tcW w:w="987" w:type="dxa"/>
            <w:tcBorders>
              <w:top w:val="nil"/>
              <w:left w:val="nil"/>
              <w:bottom w:val="single" w:sz="8" w:space="0" w:color="C0C0C0"/>
              <w:right w:val="nil"/>
            </w:tcBorders>
            <w:shd w:val="clear" w:color="auto" w:fill="auto"/>
            <w:noWrap/>
            <w:vAlign w:val="center"/>
            <w:hideMark/>
          </w:tcPr>
          <w:p w:rsidR="00D17FD3" w:rsidRPr="00D17FD3" w:rsidRDefault="00D17FD3" w:rsidP="00565D2C">
            <w:pPr>
              <w:jc w:val="right"/>
              <w:rPr>
                <w:rFonts w:asciiTheme="minorHAnsi" w:hAnsiTheme="minorHAnsi"/>
                <w:i/>
                <w:iCs/>
                <w:color w:val="000000"/>
                <w:sz w:val="18"/>
              </w:rPr>
            </w:pPr>
            <w:r w:rsidRPr="00D17FD3">
              <w:rPr>
                <w:rFonts w:asciiTheme="minorHAnsi" w:hAnsiTheme="minorHAnsi"/>
                <w:i/>
                <w:iCs/>
                <w:color w:val="000000"/>
                <w:sz w:val="18"/>
              </w:rPr>
              <w:t>9,239</w:t>
            </w:r>
          </w:p>
        </w:tc>
        <w:tc>
          <w:tcPr>
            <w:tcW w:w="987" w:type="dxa"/>
            <w:tcBorders>
              <w:top w:val="nil"/>
              <w:left w:val="nil"/>
              <w:bottom w:val="single" w:sz="8" w:space="0" w:color="C0C0C0"/>
              <w:right w:val="nil"/>
            </w:tcBorders>
            <w:shd w:val="clear" w:color="auto" w:fill="auto"/>
            <w:noWrap/>
            <w:vAlign w:val="center"/>
            <w:hideMark/>
          </w:tcPr>
          <w:p w:rsidR="00D17FD3" w:rsidRPr="00D17FD3" w:rsidRDefault="00D17FD3" w:rsidP="00565D2C">
            <w:pPr>
              <w:jc w:val="right"/>
              <w:rPr>
                <w:rFonts w:asciiTheme="minorHAnsi" w:hAnsiTheme="minorHAnsi"/>
                <w:i/>
                <w:iCs/>
                <w:color w:val="000000"/>
                <w:sz w:val="18"/>
              </w:rPr>
            </w:pPr>
            <w:r w:rsidRPr="00D17FD3">
              <w:rPr>
                <w:rFonts w:asciiTheme="minorHAnsi" w:hAnsiTheme="minorHAnsi"/>
                <w:i/>
                <w:iCs/>
                <w:color w:val="000000"/>
                <w:sz w:val="18"/>
              </w:rPr>
              <w:t>8,932</w:t>
            </w:r>
          </w:p>
        </w:tc>
        <w:tc>
          <w:tcPr>
            <w:tcW w:w="1424" w:type="dxa"/>
            <w:tcBorders>
              <w:top w:val="nil"/>
              <w:left w:val="double" w:sz="6" w:space="0" w:color="auto"/>
              <w:bottom w:val="single" w:sz="8" w:space="0" w:color="C0C0C0"/>
              <w:right w:val="nil"/>
            </w:tcBorders>
            <w:shd w:val="clear" w:color="auto" w:fill="auto"/>
            <w:noWrap/>
            <w:vAlign w:val="center"/>
            <w:hideMark/>
          </w:tcPr>
          <w:p w:rsidR="00D17FD3" w:rsidRPr="00D17FD3" w:rsidRDefault="00D17FD3" w:rsidP="00565D2C">
            <w:pPr>
              <w:jc w:val="right"/>
              <w:rPr>
                <w:rFonts w:asciiTheme="minorHAnsi" w:hAnsiTheme="minorHAnsi"/>
                <w:color w:val="000000"/>
                <w:sz w:val="18"/>
              </w:rPr>
            </w:pPr>
            <w:r w:rsidRPr="00D17FD3">
              <w:rPr>
                <w:rFonts w:asciiTheme="minorHAnsi" w:hAnsiTheme="minorHAnsi"/>
                <w:color w:val="000000"/>
                <w:sz w:val="18"/>
              </w:rPr>
              <w:t>307</w:t>
            </w:r>
          </w:p>
        </w:tc>
        <w:tc>
          <w:tcPr>
            <w:tcW w:w="1522" w:type="dxa"/>
            <w:tcBorders>
              <w:top w:val="nil"/>
              <w:left w:val="nil"/>
              <w:bottom w:val="single" w:sz="8" w:space="0" w:color="C0C0C0"/>
              <w:right w:val="double" w:sz="6" w:space="0" w:color="auto"/>
            </w:tcBorders>
            <w:shd w:val="clear" w:color="auto" w:fill="auto"/>
            <w:noWrap/>
            <w:vAlign w:val="center"/>
            <w:hideMark/>
          </w:tcPr>
          <w:p w:rsidR="00D17FD3" w:rsidRPr="00D17FD3" w:rsidRDefault="00D17FD3" w:rsidP="00565D2C">
            <w:pPr>
              <w:jc w:val="right"/>
              <w:rPr>
                <w:rFonts w:asciiTheme="minorHAnsi" w:hAnsiTheme="minorHAnsi"/>
                <w:color w:val="000000"/>
                <w:sz w:val="18"/>
              </w:rPr>
            </w:pPr>
            <w:r w:rsidRPr="00D17FD3">
              <w:rPr>
                <w:rFonts w:asciiTheme="minorHAnsi" w:hAnsiTheme="minorHAnsi"/>
                <w:color w:val="000000"/>
                <w:sz w:val="18"/>
              </w:rPr>
              <w:t>103%</w:t>
            </w:r>
          </w:p>
        </w:tc>
      </w:tr>
      <w:tr w:rsidR="00D17FD3" w:rsidRPr="00D17FD3" w:rsidTr="00317891">
        <w:trPr>
          <w:trHeight w:val="215"/>
          <w:jc w:val="center"/>
        </w:trPr>
        <w:tc>
          <w:tcPr>
            <w:tcW w:w="534" w:type="dxa"/>
            <w:tcBorders>
              <w:top w:val="nil"/>
              <w:left w:val="double" w:sz="6" w:space="0" w:color="auto"/>
              <w:bottom w:val="single" w:sz="8" w:space="0" w:color="C0C0C0"/>
              <w:right w:val="single" w:sz="8" w:space="0" w:color="C0C0C0"/>
            </w:tcBorders>
            <w:shd w:val="clear" w:color="auto" w:fill="auto"/>
            <w:noWrap/>
            <w:vAlign w:val="center"/>
            <w:hideMark/>
          </w:tcPr>
          <w:p w:rsidR="00D17FD3" w:rsidRPr="00D17FD3" w:rsidRDefault="00D17FD3" w:rsidP="00565D2C">
            <w:pPr>
              <w:jc w:val="right"/>
              <w:rPr>
                <w:rFonts w:asciiTheme="minorHAnsi" w:hAnsiTheme="minorHAnsi"/>
                <w:color w:val="000000"/>
                <w:sz w:val="18"/>
                <w:szCs w:val="22"/>
              </w:rPr>
            </w:pPr>
            <w:r w:rsidRPr="00D17FD3">
              <w:rPr>
                <w:rFonts w:asciiTheme="minorHAnsi" w:hAnsiTheme="minorHAnsi"/>
                <w:color w:val="000000"/>
                <w:sz w:val="18"/>
                <w:szCs w:val="22"/>
              </w:rPr>
              <w:t> </w:t>
            </w:r>
          </w:p>
        </w:tc>
        <w:tc>
          <w:tcPr>
            <w:tcW w:w="3840" w:type="dxa"/>
            <w:tcBorders>
              <w:top w:val="nil"/>
              <w:left w:val="nil"/>
              <w:bottom w:val="single" w:sz="8" w:space="0" w:color="C0C0C0"/>
              <w:right w:val="double" w:sz="6" w:space="0" w:color="auto"/>
            </w:tcBorders>
            <w:shd w:val="clear" w:color="auto" w:fill="auto"/>
            <w:noWrap/>
            <w:vAlign w:val="center"/>
            <w:hideMark/>
          </w:tcPr>
          <w:p w:rsidR="00D17FD3" w:rsidRPr="00D17FD3" w:rsidRDefault="00D17FD3" w:rsidP="00565D2C">
            <w:pPr>
              <w:rPr>
                <w:rFonts w:asciiTheme="minorHAnsi" w:hAnsiTheme="minorHAnsi"/>
                <w:i/>
                <w:iCs/>
                <w:color w:val="000000"/>
                <w:sz w:val="18"/>
                <w:szCs w:val="22"/>
                <w:lang w:val="sq-AL"/>
              </w:rPr>
            </w:pPr>
            <w:r w:rsidRPr="00D17FD3">
              <w:rPr>
                <w:rFonts w:asciiTheme="minorHAnsi" w:hAnsiTheme="minorHAnsi"/>
                <w:i/>
                <w:iCs/>
                <w:color w:val="000000"/>
                <w:sz w:val="18"/>
                <w:szCs w:val="22"/>
                <w:lang w:val="sq-AL"/>
              </w:rPr>
              <w:t>Shpenzime Oper. Mirmbajtje</w:t>
            </w:r>
          </w:p>
        </w:tc>
        <w:tc>
          <w:tcPr>
            <w:tcW w:w="987" w:type="dxa"/>
            <w:tcBorders>
              <w:top w:val="nil"/>
              <w:left w:val="nil"/>
              <w:bottom w:val="single" w:sz="8" w:space="0" w:color="C0C0C0"/>
              <w:right w:val="nil"/>
            </w:tcBorders>
            <w:shd w:val="clear" w:color="auto" w:fill="auto"/>
            <w:noWrap/>
            <w:vAlign w:val="center"/>
            <w:hideMark/>
          </w:tcPr>
          <w:p w:rsidR="00D17FD3" w:rsidRPr="00D17FD3" w:rsidRDefault="00D17FD3" w:rsidP="00565D2C">
            <w:pPr>
              <w:jc w:val="right"/>
              <w:rPr>
                <w:rFonts w:asciiTheme="minorHAnsi" w:hAnsiTheme="minorHAnsi"/>
                <w:i/>
                <w:iCs/>
                <w:color w:val="000000"/>
                <w:sz w:val="18"/>
              </w:rPr>
            </w:pPr>
            <w:r w:rsidRPr="00D17FD3">
              <w:rPr>
                <w:rFonts w:asciiTheme="minorHAnsi" w:hAnsiTheme="minorHAnsi"/>
                <w:i/>
                <w:iCs/>
                <w:color w:val="000000"/>
                <w:sz w:val="18"/>
              </w:rPr>
              <w:t>4,464</w:t>
            </w:r>
          </w:p>
        </w:tc>
        <w:tc>
          <w:tcPr>
            <w:tcW w:w="987" w:type="dxa"/>
            <w:tcBorders>
              <w:top w:val="nil"/>
              <w:left w:val="nil"/>
              <w:bottom w:val="single" w:sz="8" w:space="0" w:color="C0C0C0"/>
              <w:right w:val="nil"/>
            </w:tcBorders>
            <w:shd w:val="clear" w:color="auto" w:fill="auto"/>
            <w:noWrap/>
            <w:vAlign w:val="center"/>
            <w:hideMark/>
          </w:tcPr>
          <w:p w:rsidR="00D17FD3" w:rsidRPr="00D17FD3" w:rsidRDefault="00D17FD3" w:rsidP="00565D2C">
            <w:pPr>
              <w:jc w:val="right"/>
              <w:rPr>
                <w:rFonts w:asciiTheme="minorHAnsi" w:hAnsiTheme="minorHAnsi"/>
                <w:i/>
                <w:iCs/>
                <w:color w:val="000000"/>
                <w:sz w:val="18"/>
              </w:rPr>
            </w:pPr>
            <w:r w:rsidRPr="00D17FD3">
              <w:rPr>
                <w:rFonts w:asciiTheme="minorHAnsi" w:hAnsiTheme="minorHAnsi"/>
                <w:i/>
                <w:iCs/>
                <w:color w:val="000000"/>
                <w:sz w:val="18"/>
              </w:rPr>
              <w:t>6,327</w:t>
            </w:r>
          </w:p>
        </w:tc>
        <w:tc>
          <w:tcPr>
            <w:tcW w:w="1424" w:type="dxa"/>
            <w:tcBorders>
              <w:top w:val="nil"/>
              <w:left w:val="double" w:sz="6" w:space="0" w:color="auto"/>
              <w:bottom w:val="single" w:sz="8" w:space="0" w:color="C0C0C0"/>
              <w:right w:val="nil"/>
            </w:tcBorders>
            <w:shd w:val="clear" w:color="auto" w:fill="auto"/>
            <w:noWrap/>
            <w:vAlign w:val="center"/>
            <w:hideMark/>
          </w:tcPr>
          <w:p w:rsidR="00D17FD3" w:rsidRPr="00D17FD3" w:rsidRDefault="00D17FD3" w:rsidP="00565D2C">
            <w:pPr>
              <w:jc w:val="right"/>
              <w:rPr>
                <w:rFonts w:asciiTheme="minorHAnsi" w:hAnsiTheme="minorHAnsi"/>
                <w:color w:val="000000"/>
                <w:sz w:val="18"/>
              </w:rPr>
            </w:pPr>
            <w:r w:rsidRPr="00D17FD3">
              <w:rPr>
                <w:rFonts w:asciiTheme="minorHAnsi" w:hAnsiTheme="minorHAnsi"/>
                <w:color w:val="000000"/>
                <w:sz w:val="18"/>
              </w:rPr>
              <w:t>-1,863</w:t>
            </w:r>
          </w:p>
        </w:tc>
        <w:tc>
          <w:tcPr>
            <w:tcW w:w="1522" w:type="dxa"/>
            <w:tcBorders>
              <w:top w:val="nil"/>
              <w:left w:val="nil"/>
              <w:bottom w:val="single" w:sz="8" w:space="0" w:color="C0C0C0"/>
              <w:right w:val="double" w:sz="6" w:space="0" w:color="auto"/>
            </w:tcBorders>
            <w:shd w:val="clear" w:color="auto" w:fill="auto"/>
            <w:noWrap/>
            <w:vAlign w:val="center"/>
            <w:hideMark/>
          </w:tcPr>
          <w:p w:rsidR="00D17FD3" w:rsidRPr="00D17FD3" w:rsidRDefault="00D17FD3" w:rsidP="00565D2C">
            <w:pPr>
              <w:jc w:val="right"/>
              <w:rPr>
                <w:rFonts w:asciiTheme="minorHAnsi" w:hAnsiTheme="minorHAnsi"/>
                <w:color w:val="000000"/>
                <w:sz w:val="18"/>
              </w:rPr>
            </w:pPr>
            <w:r w:rsidRPr="00D17FD3">
              <w:rPr>
                <w:rFonts w:asciiTheme="minorHAnsi" w:hAnsiTheme="minorHAnsi"/>
                <w:color w:val="000000"/>
                <w:sz w:val="18"/>
              </w:rPr>
              <w:t>71%</w:t>
            </w:r>
          </w:p>
        </w:tc>
      </w:tr>
      <w:tr w:rsidR="00D17FD3" w:rsidRPr="00D17FD3" w:rsidTr="00317891">
        <w:trPr>
          <w:trHeight w:val="215"/>
          <w:jc w:val="center"/>
        </w:trPr>
        <w:tc>
          <w:tcPr>
            <w:tcW w:w="534" w:type="dxa"/>
            <w:tcBorders>
              <w:top w:val="nil"/>
              <w:left w:val="double" w:sz="6" w:space="0" w:color="auto"/>
              <w:bottom w:val="single" w:sz="8" w:space="0" w:color="C0C0C0"/>
              <w:right w:val="single" w:sz="8" w:space="0" w:color="C0C0C0"/>
            </w:tcBorders>
            <w:shd w:val="clear" w:color="auto" w:fill="auto"/>
            <w:noWrap/>
            <w:vAlign w:val="center"/>
            <w:hideMark/>
          </w:tcPr>
          <w:p w:rsidR="00D17FD3" w:rsidRPr="00D17FD3" w:rsidRDefault="00D17FD3" w:rsidP="00565D2C">
            <w:pPr>
              <w:jc w:val="right"/>
              <w:rPr>
                <w:rFonts w:asciiTheme="minorHAnsi" w:hAnsiTheme="minorHAnsi"/>
                <w:color w:val="000000"/>
                <w:sz w:val="18"/>
                <w:szCs w:val="22"/>
              </w:rPr>
            </w:pPr>
            <w:r w:rsidRPr="00D17FD3">
              <w:rPr>
                <w:rFonts w:asciiTheme="minorHAnsi" w:hAnsiTheme="minorHAnsi"/>
                <w:color w:val="000000"/>
                <w:sz w:val="18"/>
                <w:szCs w:val="22"/>
              </w:rPr>
              <w:t> </w:t>
            </w:r>
          </w:p>
        </w:tc>
        <w:tc>
          <w:tcPr>
            <w:tcW w:w="3840" w:type="dxa"/>
            <w:tcBorders>
              <w:top w:val="nil"/>
              <w:left w:val="nil"/>
              <w:bottom w:val="single" w:sz="8" w:space="0" w:color="C0C0C0"/>
              <w:right w:val="double" w:sz="6" w:space="0" w:color="auto"/>
            </w:tcBorders>
            <w:shd w:val="clear" w:color="auto" w:fill="auto"/>
            <w:noWrap/>
            <w:vAlign w:val="center"/>
            <w:hideMark/>
          </w:tcPr>
          <w:p w:rsidR="00D17FD3" w:rsidRPr="00D17FD3" w:rsidRDefault="00D17FD3" w:rsidP="00565D2C">
            <w:pPr>
              <w:rPr>
                <w:rFonts w:asciiTheme="minorHAnsi" w:hAnsiTheme="minorHAnsi"/>
                <w:i/>
                <w:iCs/>
                <w:color w:val="000000"/>
                <w:sz w:val="18"/>
                <w:szCs w:val="22"/>
                <w:lang w:val="sq-AL"/>
              </w:rPr>
            </w:pPr>
            <w:r w:rsidRPr="00D17FD3">
              <w:rPr>
                <w:rFonts w:asciiTheme="minorHAnsi" w:hAnsiTheme="minorHAnsi"/>
                <w:i/>
                <w:iCs/>
                <w:color w:val="000000"/>
                <w:sz w:val="18"/>
                <w:szCs w:val="22"/>
                <w:lang w:val="sq-AL"/>
              </w:rPr>
              <w:t>Subvencione</w:t>
            </w:r>
          </w:p>
        </w:tc>
        <w:tc>
          <w:tcPr>
            <w:tcW w:w="987" w:type="dxa"/>
            <w:tcBorders>
              <w:top w:val="nil"/>
              <w:left w:val="nil"/>
              <w:bottom w:val="single" w:sz="8" w:space="0" w:color="C0C0C0"/>
              <w:right w:val="nil"/>
            </w:tcBorders>
            <w:shd w:val="clear" w:color="auto" w:fill="auto"/>
            <w:noWrap/>
            <w:vAlign w:val="center"/>
            <w:hideMark/>
          </w:tcPr>
          <w:p w:rsidR="00D17FD3" w:rsidRPr="00D17FD3" w:rsidRDefault="00D17FD3" w:rsidP="00565D2C">
            <w:pPr>
              <w:jc w:val="right"/>
              <w:rPr>
                <w:rFonts w:asciiTheme="minorHAnsi" w:hAnsiTheme="minorHAnsi"/>
                <w:i/>
                <w:iCs/>
                <w:color w:val="000000"/>
                <w:sz w:val="18"/>
              </w:rPr>
            </w:pPr>
            <w:r w:rsidRPr="00D17FD3">
              <w:rPr>
                <w:rFonts w:asciiTheme="minorHAnsi" w:hAnsiTheme="minorHAnsi"/>
                <w:i/>
                <w:iCs/>
                <w:color w:val="000000"/>
                <w:sz w:val="18"/>
              </w:rPr>
              <w:t>57</w:t>
            </w:r>
          </w:p>
        </w:tc>
        <w:tc>
          <w:tcPr>
            <w:tcW w:w="987" w:type="dxa"/>
            <w:tcBorders>
              <w:top w:val="nil"/>
              <w:left w:val="nil"/>
              <w:bottom w:val="single" w:sz="8" w:space="0" w:color="C0C0C0"/>
              <w:right w:val="nil"/>
            </w:tcBorders>
            <w:shd w:val="clear" w:color="auto" w:fill="auto"/>
            <w:noWrap/>
            <w:vAlign w:val="center"/>
            <w:hideMark/>
          </w:tcPr>
          <w:p w:rsidR="00D17FD3" w:rsidRPr="00D17FD3" w:rsidRDefault="00D17FD3" w:rsidP="00565D2C">
            <w:pPr>
              <w:jc w:val="right"/>
              <w:rPr>
                <w:rFonts w:asciiTheme="minorHAnsi" w:hAnsiTheme="minorHAnsi"/>
                <w:i/>
                <w:iCs/>
                <w:color w:val="000000"/>
                <w:sz w:val="18"/>
              </w:rPr>
            </w:pPr>
            <w:r w:rsidRPr="00D17FD3">
              <w:rPr>
                <w:rFonts w:asciiTheme="minorHAnsi" w:hAnsiTheme="minorHAnsi"/>
                <w:i/>
                <w:iCs/>
                <w:color w:val="000000"/>
                <w:sz w:val="18"/>
              </w:rPr>
              <w:t>61</w:t>
            </w:r>
          </w:p>
        </w:tc>
        <w:tc>
          <w:tcPr>
            <w:tcW w:w="1424" w:type="dxa"/>
            <w:tcBorders>
              <w:top w:val="nil"/>
              <w:left w:val="double" w:sz="6" w:space="0" w:color="auto"/>
              <w:bottom w:val="single" w:sz="8" w:space="0" w:color="C0C0C0"/>
              <w:right w:val="nil"/>
            </w:tcBorders>
            <w:shd w:val="clear" w:color="auto" w:fill="auto"/>
            <w:noWrap/>
            <w:vAlign w:val="center"/>
            <w:hideMark/>
          </w:tcPr>
          <w:p w:rsidR="00D17FD3" w:rsidRPr="00D17FD3" w:rsidRDefault="00D17FD3" w:rsidP="00565D2C">
            <w:pPr>
              <w:jc w:val="right"/>
              <w:rPr>
                <w:rFonts w:asciiTheme="minorHAnsi" w:hAnsiTheme="minorHAnsi"/>
                <w:color w:val="000000"/>
                <w:sz w:val="18"/>
              </w:rPr>
            </w:pPr>
            <w:r w:rsidRPr="00D17FD3">
              <w:rPr>
                <w:rFonts w:asciiTheme="minorHAnsi" w:hAnsiTheme="minorHAnsi"/>
                <w:color w:val="000000"/>
                <w:sz w:val="18"/>
              </w:rPr>
              <w:t>-4</w:t>
            </w:r>
          </w:p>
        </w:tc>
        <w:tc>
          <w:tcPr>
            <w:tcW w:w="1522" w:type="dxa"/>
            <w:tcBorders>
              <w:top w:val="nil"/>
              <w:left w:val="nil"/>
              <w:bottom w:val="single" w:sz="8" w:space="0" w:color="C0C0C0"/>
              <w:right w:val="double" w:sz="6" w:space="0" w:color="auto"/>
            </w:tcBorders>
            <w:shd w:val="clear" w:color="auto" w:fill="auto"/>
            <w:noWrap/>
            <w:vAlign w:val="center"/>
            <w:hideMark/>
          </w:tcPr>
          <w:p w:rsidR="00D17FD3" w:rsidRPr="00D17FD3" w:rsidRDefault="00D17FD3" w:rsidP="00565D2C">
            <w:pPr>
              <w:jc w:val="right"/>
              <w:rPr>
                <w:rFonts w:asciiTheme="minorHAnsi" w:hAnsiTheme="minorHAnsi"/>
                <w:color w:val="000000"/>
                <w:sz w:val="18"/>
              </w:rPr>
            </w:pPr>
            <w:r w:rsidRPr="00D17FD3">
              <w:rPr>
                <w:rFonts w:asciiTheme="minorHAnsi" w:hAnsiTheme="minorHAnsi"/>
                <w:color w:val="000000"/>
                <w:sz w:val="18"/>
              </w:rPr>
              <w:t>93%</w:t>
            </w:r>
          </w:p>
        </w:tc>
      </w:tr>
      <w:tr w:rsidR="00D17FD3" w:rsidRPr="00D17FD3" w:rsidTr="00317891">
        <w:trPr>
          <w:trHeight w:val="215"/>
          <w:jc w:val="center"/>
        </w:trPr>
        <w:tc>
          <w:tcPr>
            <w:tcW w:w="534" w:type="dxa"/>
            <w:tcBorders>
              <w:top w:val="nil"/>
              <w:left w:val="double" w:sz="6" w:space="0" w:color="auto"/>
              <w:bottom w:val="single" w:sz="8" w:space="0" w:color="C0C0C0"/>
              <w:right w:val="single" w:sz="8" w:space="0" w:color="C0C0C0"/>
            </w:tcBorders>
            <w:shd w:val="clear" w:color="auto" w:fill="auto"/>
            <w:noWrap/>
            <w:vAlign w:val="center"/>
            <w:hideMark/>
          </w:tcPr>
          <w:p w:rsidR="00D17FD3" w:rsidRPr="00D17FD3" w:rsidRDefault="00D17FD3" w:rsidP="00565D2C">
            <w:pPr>
              <w:jc w:val="right"/>
              <w:rPr>
                <w:rFonts w:asciiTheme="minorHAnsi" w:hAnsiTheme="minorHAnsi"/>
                <w:color w:val="000000"/>
                <w:sz w:val="18"/>
                <w:szCs w:val="22"/>
              </w:rPr>
            </w:pPr>
            <w:r w:rsidRPr="00D17FD3">
              <w:rPr>
                <w:rFonts w:asciiTheme="minorHAnsi" w:hAnsiTheme="minorHAnsi"/>
                <w:color w:val="000000"/>
                <w:sz w:val="18"/>
                <w:szCs w:val="22"/>
              </w:rPr>
              <w:t> </w:t>
            </w:r>
          </w:p>
        </w:tc>
        <w:tc>
          <w:tcPr>
            <w:tcW w:w="3840" w:type="dxa"/>
            <w:tcBorders>
              <w:top w:val="nil"/>
              <w:left w:val="nil"/>
              <w:bottom w:val="single" w:sz="8" w:space="0" w:color="C0C0C0"/>
              <w:right w:val="double" w:sz="6" w:space="0" w:color="auto"/>
            </w:tcBorders>
            <w:shd w:val="clear" w:color="auto" w:fill="auto"/>
            <w:noWrap/>
            <w:vAlign w:val="center"/>
            <w:hideMark/>
          </w:tcPr>
          <w:p w:rsidR="00D17FD3" w:rsidRPr="00D17FD3" w:rsidRDefault="00D17FD3" w:rsidP="00565D2C">
            <w:pPr>
              <w:rPr>
                <w:rFonts w:asciiTheme="minorHAnsi" w:hAnsiTheme="minorHAnsi"/>
                <w:i/>
                <w:iCs/>
                <w:color w:val="000000"/>
                <w:sz w:val="18"/>
                <w:szCs w:val="22"/>
                <w:lang w:val="sq-AL"/>
              </w:rPr>
            </w:pPr>
            <w:r w:rsidRPr="00D17FD3">
              <w:rPr>
                <w:rFonts w:asciiTheme="minorHAnsi" w:hAnsiTheme="minorHAnsi"/>
                <w:i/>
                <w:iCs/>
                <w:color w:val="000000"/>
                <w:sz w:val="18"/>
                <w:szCs w:val="22"/>
                <w:lang w:val="sq-AL"/>
              </w:rPr>
              <w:t>Te tjera</w:t>
            </w:r>
          </w:p>
        </w:tc>
        <w:tc>
          <w:tcPr>
            <w:tcW w:w="987" w:type="dxa"/>
            <w:tcBorders>
              <w:top w:val="nil"/>
              <w:left w:val="nil"/>
              <w:bottom w:val="single" w:sz="8" w:space="0" w:color="C0C0C0"/>
              <w:right w:val="nil"/>
            </w:tcBorders>
            <w:shd w:val="clear" w:color="auto" w:fill="auto"/>
            <w:noWrap/>
            <w:vAlign w:val="center"/>
            <w:hideMark/>
          </w:tcPr>
          <w:p w:rsidR="00D17FD3" w:rsidRPr="00D17FD3" w:rsidRDefault="00D17FD3" w:rsidP="00565D2C">
            <w:pPr>
              <w:jc w:val="right"/>
              <w:rPr>
                <w:rFonts w:asciiTheme="minorHAnsi" w:hAnsiTheme="minorHAnsi"/>
                <w:i/>
                <w:iCs/>
                <w:color w:val="000000"/>
                <w:sz w:val="18"/>
              </w:rPr>
            </w:pPr>
            <w:r w:rsidRPr="00D17FD3">
              <w:rPr>
                <w:rFonts w:asciiTheme="minorHAnsi" w:hAnsiTheme="minorHAnsi"/>
                <w:i/>
                <w:iCs/>
                <w:color w:val="000000"/>
                <w:sz w:val="18"/>
              </w:rPr>
              <w:t>398</w:t>
            </w:r>
          </w:p>
        </w:tc>
        <w:tc>
          <w:tcPr>
            <w:tcW w:w="987" w:type="dxa"/>
            <w:tcBorders>
              <w:top w:val="nil"/>
              <w:left w:val="nil"/>
              <w:bottom w:val="single" w:sz="8" w:space="0" w:color="C0C0C0"/>
              <w:right w:val="nil"/>
            </w:tcBorders>
            <w:shd w:val="clear" w:color="auto" w:fill="auto"/>
            <w:noWrap/>
            <w:vAlign w:val="center"/>
            <w:hideMark/>
          </w:tcPr>
          <w:p w:rsidR="00D17FD3" w:rsidRPr="00D17FD3" w:rsidRDefault="00D17FD3" w:rsidP="00565D2C">
            <w:pPr>
              <w:jc w:val="right"/>
              <w:rPr>
                <w:rFonts w:asciiTheme="minorHAnsi" w:hAnsiTheme="minorHAnsi"/>
                <w:i/>
                <w:iCs/>
                <w:color w:val="000000"/>
                <w:sz w:val="18"/>
              </w:rPr>
            </w:pPr>
            <w:r w:rsidRPr="00D17FD3">
              <w:rPr>
                <w:rFonts w:asciiTheme="minorHAnsi" w:hAnsiTheme="minorHAnsi"/>
                <w:i/>
                <w:iCs/>
                <w:color w:val="000000"/>
                <w:sz w:val="18"/>
              </w:rPr>
              <w:t>508</w:t>
            </w:r>
          </w:p>
        </w:tc>
        <w:tc>
          <w:tcPr>
            <w:tcW w:w="1424" w:type="dxa"/>
            <w:tcBorders>
              <w:top w:val="nil"/>
              <w:left w:val="double" w:sz="6" w:space="0" w:color="auto"/>
              <w:bottom w:val="single" w:sz="8" w:space="0" w:color="C0C0C0"/>
              <w:right w:val="nil"/>
            </w:tcBorders>
            <w:shd w:val="clear" w:color="auto" w:fill="auto"/>
            <w:noWrap/>
            <w:vAlign w:val="center"/>
            <w:hideMark/>
          </w:tcPr>
          <w:p w:rsidR="00D17FD3" w:rsidRPr="00D17FD3" w:rsidRDefault="00D17FD3" w:rsidP="00565D2C">
            <w:pPr>
              <w:jc w:val="right"/>
              <w:rPr>
                <w:rFonts w:asciiTheme="minorHAnsi" w:hAnsiTheme="minorHAnsi"/>
                <w:color w:val="000000"/>
                <w:sz w:val="18"/>
              </w:rPr>
            </w:pPr>
            <w:r w:rsidRPr="00D17FD3">
              <w:rPr>
                <w:rFonts w:asciiTheme="minorHAnsi" w:hAnsiTheme="minorHAnsi"/>
                <w:color w:val="000000"/>
                <w:sz w:val="18"/>
              </w:rPr>
              <w:t>-110</w:t>
            </w:r>
          </w:p>
        </w:tc>
        <w:tc>
          <w:tcPr>
            <w:tcW w:w="1522" w:type="dxa"/>
            <w:tcBorders>
              <w:top w:val="nil"/>
              <w:left w:val="nil"/>
              <w:bottom w:val="single" w:sz="8" w:space="0" w:color="C0C0C0"/>
              <w:right w:val="double" w:sz="6" w:space="0" w:color="auto"/>
            </w:tcBorders>
            <w:shd w:val="clear" w:color="auto" w:fill="auto"/>
            <w:noWrap/>
            <w:vAlign w:val="center"/>
            <w:hideMark/>
          </w:tcPr>
          <w:p w:rsidR="00D17FD3" w:rsidRPr="00D17FD3" w:rsidRDefault="00D17FD3" w:rsidP="00565D2C">
            <w:pPr>
              <w:jc w:val="right"/>
              <w:rPr>
                <w:rFonts w:asciiTheme="minorHAnsi" w:hAnsiTheme="minorHAnsi"/>
                <w:color w:val="000000"/>
                <w:sz w:val="18"/>
              </w:rPr>
            </w:pPr>
            <w:r w:rsidRPr="00D17FD3">
              <w:rPr>
                <w:rFonts w:asciiTheme="minorHAnsi" w:hAnsiTheme="minorHAnsi"/>
                <w:color w:val="000000"/>
                <w:sz w:val="18"/>
              </w:rPr>
              <w:t>78%</w:t>
            </w:r>
          </w:p>
        </w:tc>
      </w:tr>
      <w:tr w:rsidR="00D17FD3" w:rsidRPr="00D17FD3" w:rsidTr="00317891">
        <w:trPr>
          <w:trHeight w:val="55"/>
          <w:jc w:val="center"/>
        </w:trPr>
        <w:tc>
          <w:tcPr>
            <w:tcW w:w="534" w:type="dxa"/>
            <w:tcBorders>
              <w:top w:val="single" w:sz="8" w:space="0" w:color="C0C0C0"/>
              <w:left w:val="double" w:sz="6" w:space="0" w:color="auto"/>
              <w:bottom w:val="double" w:sz="4" w:space="0" w:color="auto"/>
              <w:right w:val="single" w:sz="8" w:space="0" w:color="C0C0C0"/>
            </w:tcBorders>
            <w:shd w:val="clear" w:color="auto" w:fill="auto"/>
            <w:noWrap/>
            <w:vAlign w:val="center"/>
            <w:hideMark/>
          </w:tcPr>
          <w:p w:rsidR="00D17FD3" w:rsidRPr="00D17FD3" w:rsidRDefault="00D17FD3" w:rsidP="00565D2C">
            <w:pPr>
              <w:jc w:val="right"/>
              <w:rPr>
                <w:rFonts w:asciiTheme="minorHAnsi" w:hAnsiTheme="minorHAnsi"/>
                <w:color w:val="000000"/>
                <w:sz w:val="18"/>
                <w:szCs w:val="22"/>
              </w:rPr>
            </w:pPr>
            <w:r w:rsidRPr="00D17FD3">
              <w:rPr>
                <w:rFonts w:asciiTheme="minorHAnsi" w:hAnsiTheme="minorHAnsi"/>
                <w:color w:val="000000"/>
                <w:sz w:val="18"/>
                <w:szCs w:val="22"/>
              </w:rPr>
              <w:t>II.2</w:t>
            </w:r>
          </w:p>
        </w:tc>
        <w:tc>
          <w:tcPr>
            <w:tcW w:w="3840" w:type="dxa"/>
            <w:tcBorders>
              <w:top w:val="single" w:sz="8" w:space="0" w:color="C0C0C0"/>
              <w:left w:val="nil"/>
              <w:bottom w:val="double" w:sz="4" w:space="0" w:color="auto"/>
              <w:right w:val="double" w:sz="6" w:space="0" w:color="auto"/>
            </w:tcBorders>
            <w:shd w:val="clear" w:color="auto" w:fill="auto"/>
            <w:noWrap/>
            <w:vAlign w:val="center"/>
            <w:hideMark/>
          </w:tcPr>
          <w:p w:rsidR="00D17FD3" w:rsidRPr="00D17FD3" w:rsidRDefault="00D17FD3" w:rsidP="00565D2C">
            <w:pPr>
              <w:jc w:val="both"/>
              <w:rPr>
                <w:rFonts w:asciiTheme="minorHAnsi" w:hAnsiTheme="minorHAnsi"/>
                <w:b/>
                <w:bCs/>
                <w:i/>
                <w:iCs/>
                <w:color w:val="000000"/>
                <w:sz w:val="18"/>
                <w:szCs w:val="22"/>
                <w:lang w:val="sq-AL"/>
              </w:rPr>
            </w:pPr>
            <w:r w:rsidRPr="00D17FD3">
              <w:rPr>
                <w:rFonts w:asciiTheme="minorHAnsi" w:hAnsiTheme="minorHAnsi"/>
                <w:b/>
                <w:bCs/>
                <w:i/>
                <w:iCs/>
                <w:color w:val="000000"/>
                <w:sz w:val="18"/>
                <w:szCs w:val="22"/>
                <w:lang w:val="sq-AL"/>
              </w:rPr>
              <w:t>Shpenzime Kapitale</w:t>
            </w:r>
          </w:p>
        </w:tc>
        <w:tc>
          <w:tcPr>
            <w:tcW w:w="987" w:type="dxa"/>
            <w:tcBorders>
              <w:top w:val="single" w:sz="8" w:space="0" w:color="C0C0C0"/>
              <w:left w:val="nil"/>
              <w:bottom w:val="double" w:sz="4" w:space="0" w:color="auto"/>
              <w:right w:val="nil"/>
            </w:tcBorders>
            <w:shd w:val="clear" w:color="auto" w:fill="auto"/>
            <w:noWrap/>
            <w:vAlign w:val="center"/>
            <w:hideMark/>
          </w:tcPr>
          <w:p w:rsidR="00D17FD3" w:rsidRPr="00D17FD3" w:rsidRDefault="00D17FD3" w:rsidP="00565D2C">
            <w:pPr>
              <w:jc w:val="right"/>
              <w:rPr>
                <w:rFonts w:asciiTheme="minorHAnsi" w:hAnsiTheme="minorHAnsi"/>
                <w:color w:val="000000"/>
                <w:sz w:val="18"/>
              </w:rPr>
            </w:pPr>
            <w:r w:rsidRPr="00D17FD3">
              <w:rPr>
                <w:rFonts w:asciiTheme="minorHAnsi" w:hAnsiTheme="minorHAnsi"/>
                <w:color w:val="000000"/>
                <w:sz w:val="18"/>
              </w:rPr>
              <w:t>3,044</w:t>
            </w:r>
          </w:p>
        </w:tc>
        <w:tc>
          <w:tcPr>
            <w:tcW w:w="987" w:type="dxa"/>
            <w:tcBorders>
              <w:top w:val="single" w:sz="8" w:space="0" w:color="C0C0C0"/>
              <w:left w:val="nil"/>
              <w:bottom w:val="double" w:sz="4" w:space="0" w:color="auto"/>
              <w:right w:val="nil"/>
            </w:tcBorders>
            <w:shd w:val="clear" w:color="auto" w:fill="auto"/>
            <w:noWrap/>
            <w:vAlign w:val="center"/>
            <w:hideMark/>
          </w:tcPr>
          <w:p w:rsidR="00D17FD3" w:rsidRPr="00D17FD3" w:rsidRDefault="00D17FD3" w:rsidP="00565D2C">
            <w:pPr>
              <w:jc w:val="right"/>
              <w:rPr>
                <w:rFonts w:asciiTheme="minorHAnsi" w:hAnsiTheme="minorHAnsi"/>
                <w:color w:val="000000"/>
                <w:sz w:val="18"/>
              </w:rPr>
            </w:pPr>
            <w:r w:rsidRPr="00D17FD3">
              <w:rPr>
                <w:rFonts w:asciiTheme="minorHAnsi" w:hAnsiTheme="minorHAnsi"/>
                <w:color w:val="000000"/>
                <w:sz w:val="18"/>
              </w:rPr>
              <w:t>7,824</w:t>
            </w:r>
          </w:p>
        </w:tc>
        <w:tc>
          <w:tcPr>
            <w:tcW w:w="1424" w:type="dxa"/>
            <w:tcBorders>
              <w:top w:val="single" w:sz="8" w:space="0" w:color="C0C0C0"/>
              <w:left w:val="double" w:sz="6" w:space="0" w:color="auto"/>
              <w:bottom w:val="double" w:sz="4" w:space="0" w:color="auto"/>
              <w:right w:val="nil"/>
            </w:tcBorders>
            <w:shd w:val="clear" w:color="auto" w:fill="auto"/>
            <w:noWrap/>
            <w:vAlign w:val="center"/>
            <w:hideMark/>
          </w:tcPr>
          <w:p w:rsidR="00D17FD3" w:rsidRPr="00D17FD3" w:rsidRDefault="00D17FD3" w:rsidP="00565D2C">
            <w:pPr>
              <w:jc w:val="right"/>
              <w:rPr>
                <w:rFonts w:asciiTheme="minorHAnsi" w:hAnsiTheme="minorHAnsi"/>
                <w:color w:val="000000"/>
                <w:sz w:val="18"/>
              </w:rPr>
            </w:pPr>
            <w:r w:rsidRPr="00D17FD3">
              <w:rPr>
                <w:rFonts w:asciiTheme="minorHAnsi" w:hAnsiTheme="minorHAnsi"/>
                <w:color w:val="000000"/>
                <w:sz w:val="18"/>
              </w:rPr>
              <w:t>-4,780</w:t>
            </w:r>
          </w:p>
        </w:tc>
        <w:tc>
          <w:tcPr>
            <w:tcW w:w="1522" w:type="dxa"/>
            <w:tcBorders>
              <w:top w:val="single" w:sz="8" w:space="0" w:color="C0C0C0"/>
              <w:left w:val="nil"/>
              <w:bottom w:val="double" w:sz="4" w:space="0" w:color="auto"/>
              <w:right w:val="double" w:sz="6" w:space="0" w:color="auto"/>
            </w:tcBorders>
            <w:shd w:val="clear" w:color="auto" w:fill="auto"/>
            <w:noWrap/>
            <w:vAlign w:val="center"/>
            <w:hideMark/>
          </w:tcPr>
          <w:p w:rsidR="00D17FD3" w:rsidRPr="00D17FD3" w:rsidRDefault="00D17FD3" w:rsidP="00565D2C">
            <w:pPr>
              <w:jc w:val="right"/>
              <w:rPr>
                <w:rFonts w:asciiTheme="minorHAnsi" w:hAnsiTheme="minorHAnsi"/>
                <w:color w:val="000000"/>
                <w:sz w:val="18"/>
              </w:rPr>
            </w:pPr>
            <w:r w:rsidRPr="00D17FD3">
              <w:rPr>
                <w:rFonts w:asciiTheme="minorHAnsi" w:hAnsiTheme="minorHAnsi"/>
                <w:color w:val="000000"/>
                <w:sz w:val="18"/>
              </w:rPr>
              <w:t>39%</w:t>
            </w:r>
          </w:p>
        </w:tc>
      </w:tr>
    </w:tbl>
    <w:p w:rsidR="00D17FD3" w:rsidRDefault="00D17FD3" w:rsidP="00565D2C">
      <w:pPr>
        <w:spacing w:line="276" w:lineRule="auto"/>
        <w:ind w:firstLine="567"/>
        <w:jc w:val="both"/>
        <w:rPr>
          <w:rFonts w:asciiTheme="minorHAnsi" w:hAnsiTheme="minorHAnsi"/>
          <w:i/>
          <w:sz w:val="20"/>
          <w:lang w:val="sq-AL"/>
        </w:rPr>
      </w:pPr>
      <w:r w:rsidRPr="00D17FD3">
        <w:rPr>
          <w:rFonts w:asciiTheme="minorHAnsi" w:hAnsiTheme="minorHAnsi"/>
          <w:i/>
          <w:sz w:val="20"/>
          <w:lang w:val="sq-AL"/>
        </w:rPr>
        <w:t>Burimi: Drejtoria e Financave Vendore, Ministria e Financave dhe Ekonomisë (2020);</w:t>
      </w:r>
    </w:p>
    <w:p w:rsidR="00D57F4F" w:rsidRPr="00D57F4F" w:rsidRDefault="00D57F4F" w:rsidP="00565D2C">
      <w:pPr>
        <w:spacing w:line="276" w:lineRule="auto"/>
        <w:ind w:firstLine="567"/>
        <w:jc w:val="both"/>
        <w:rPr>
          <w:rFonts w:asciiTheme="minorHAnsi" w:hAnsiTheme="minorHAnsi"/>
          <w:i/>
          <w:sz w:val="4"/>
          <w:szCs w:val="8"/>
          <w:lang w:val="sq-AL"/>
        </w:rPr>
      </w:pPr>
    </w:p>
    <w:p w:rsidR="00D17FD3" w:rsidRPr="00D17FD3" w:rsidRDefault="00D17FD3" w:rsidP="00EB3166">
      <w:pPr>
        <w:spacing w:before="120" w:after="120" w:line="276" w:lineRule="auto"/>
        <w:jc w:val="both"/>
        <w:rPr>
          <w:rFonts w:asciiTheme="minorHAnsi" w:hAnsiTheme="minorHAnsi"/>
          <w:lang w:val="sq-AL"/>
        </w:rPr>
      </w:pPr>
      <w:r w:rsidRPr="00306255">
        <w:rPr>
          <w:rFonts w:asciiTheme="minorHAnsi" w:hAnsiTheme="minorHAnsi"/>
          <w:i/>
          <w:lang w:val="sq-AL"/>
        </w:rPr>
        <w:t>Shpenzimet e Personelit</w:t>
      </w:r>
      <w:r w:rsidRPr="00D17FD3">
        <w:rPr>
          <w:rFonts w:asciiTheme="minorHAnsi" w:hAnsiTheme="minorHAnsi"/>
          <w:lang w:val="sq-AL"/>
        </w:rPr>
        <w:t xml:space="preserve"> përbëjnë një pjesë të konsiderueshme të shpenzimeve totale të njësive të veqeverisjes vendore. Për 5 mujorin e vitit 2020 këto shpenzime janë realizuar në masën 9.2 miliard lekë ose rreth 307 milion lekë më shumë se e njëjta periudhë e një vitit më parë. Rritja e këtyre shpenzimeve për vitin 2020, argumentohet me faktin se tashmë njësitë vendore me shtimin e kompetencave dhe funksioneve që ata duhet të ushtrojnë kanë të domosdoshëm shtimin e personelit që ofron këto shërbime. Gjithashtu, rritja e shpenzimeve të personelit në këtë periudhë ka ardhur si rezultat i nevojës për shërbime urgjente dhe të drejtpërdrejta tek familjet në nevojë nga ana e njësive të vetëqeveriejses vendore.</w:t>
      </w:r>
    </w:p>
    <w:p w:rsidR="00D17FD3" w:rsidRPr="00D17FD3" w:rsidRDefault="00D17FD3" w:rsidP="00EB3166">
      <w:pPr>
        <w:spacing w:before="120" w:after="120" w:line="276" w:lineRule="auto"/>
        <w:jc w:val="both"/>
        <w:rPr>
          <w:rFonts w:asciiTheme="minorHAnsi" w:hAnsiTheme="minorHAnsi"/>
          <w:lang w:val="sq-AL"/>
        </w:rPr>
      </w:pPr>
      <w:r w:rsidRPr="00306255">
        <w:rPr>
          <w:rFonts w:asciiTheme="minorHAnsi" w:hAnsiTheme="minorHAnsi"/>
          <w:i/>
          <w:lang w:val="sq-AL"/>
        </w:rPr>
        <w:t>Shpenzimet Operative</w:t>
      </w:r>
      <w:r w:rsidRPr="00D17FD3">
        <w:rPr>
          <w:rFonts w:asciiTheme="minorHAnsi" w:hAnsiTheme="minorHAnsi"/>
          <w:lang w:val="sq-AL"/>
        </w:rPr>
        <w:t xml:space="preserve"> që janë shumë të rëndësishme për mbarëvajtjen dhe ushtrimin e funksioneve ku rezultojnë me një rritje të ndjeshme sipas të dhënave faktike të thesarit. Shpenzimet operative përbëjnë rreth 32% të shpenzimeve korrente në total për 5 mujorin e parë të vitit 2020, një pjesë kjo jo e vogël për buxhetin njësive të vetëqeverisjes vendore. Këto shpenzime gjatë periudhës 5 mujore të vitit 2020 janë realizuar afërsisht në masën 4.4 miliard lekë ose rreth 1.8 miliard lekë më pak se e njëjta periudhë e vitit 2019.</w:t>
      </w:r>
    </w:p>
    <w:p w:rsidR="00D17FD3" w:rsidRPr="00D17FD3" w:rsidRDefault="00D17FD3" w:rsidP="00EB3166">
      <w:pPr>
        <w:spacing w:before="120" w:after="120" w:line="276" w:lineRule="auto"/>
        <w:jc w:val="both"/>
        <w:rPr>
          <w:rFonts w:asciiTheme="minorHAnsi" w:hAnsiTheme="minorHAnsi"/>
          <w:lang w:val="sq-AL"/>
        </w:rPr>
      </w:pPr>
      <w:r w:rsidRPr="00306255">
        <w:rPr>
          <w:rFonts w:asciiTheme="minorHAnsi" w:hAnsiTheme="minorHAnsi"/>
          <w:i/>
          <w:lang w:val="sq-AL"/>
        </w:rPr>
        <w:t>Shpenzimet për subvencione dhe të tjera</w:t>
      </w:r>
      <w:r w:rsidRPr="00D17FD3">
        <w:rPr>
          <w:rFonts w:asciiTheme="minorHAnsi" w:hAnsiTheme="minorHAnsi"/>
          <w:lang w:val="sq-AL"/>
        </w:rPr>
        <w:t xml:space="preserve"> janë shpenzimet që zhvillojnë njësitë e vetëqeverisjes vendore për të subvencionuar dhe mbuluar funksione të tjera administrative. Në këto kushte nga sa përcaktohet në tabelën mësipërme në raport me 5 mujorin e parë të vitit 2019, këto shpenzime për të njëjtën periudhë në vitin 2020 kanë rënie në zërin të tjera me 22% dhe në zërin subvencione me rreth 1%. Në vlerë absolute shpenzimet për subvencione shpenzimet faktike të pushtetit vendor për subvencione gjatë 5 mujorit të parë 2020 janë realizuar rreth 57 milion lekë ose 4 milion lekë më pak se e njëjta periudhë e vitit 2019. Gjithashtu, shpenzimet e tjera janë realizuar në masën 398 milion lekë ose 110 milion lekë më pak se 5 mujori i parë i vitit 2019.</w:t>
      </w:r>
    </w:p>
    <w:p w:rsidR="00D17FD3" w:rsidRPr="00D17FD3" w:rsidRDefault="00D17FD3" w:rsidP="00EB3166">
      <w:pPr>
        <w:spacing w:before="120" w:after="120" w:line="276" w:lineRule="auto"/>
        <w:jc w:val="both"/>
        <w:rPr>
          <w:rFonts w:asciiTheme="minorHAnsi" w:hAnsiTheme="minorHAnsi"/>
          <w:lang w:val="sq-AL"/>
        </w:rPr>
      </w:pPr>
      <w:r w:rsidRPr="00306255">
        <w:rPr>
          <w:rFonts w:asciiTheme="minorHAnsi" w:hAnsiTheme="minorHAnsi"/>
          <w:i/>
          <w:lang w:val="sq-AL"/>
        </w:rPr>
        <w:t>Shpenzimet Kapitale</w:t>
      </w:r>
      <w:r w:rsidRPr="00D17FD3">
        <w:rPr>
          <w:rFonts w:asciiTheme="minorHAnsi" w:hAnsiTheme="minorHAnsi"/>
          <w:lang w:val="sq-AL"/>
        </w:rPr>
        <w:t xml:space="preserve"> janë një zë mjaft i rëndësishëm jo vetëm për faktin që përbëjnë pjesën më të madhe të buxhetit vendor por edhe për shkak sepse këto shpenzime sjellin në mënyre direkt dhe indirekt zhvillim ekonomik dhe për rrjedhojë afektojnë mirëqënien e qytetarëve. Nga tabela e mësipërme vëmë re që në krahasim me një vit më parë gjatë 5 mujorit të parë të vitit 2020 </w:t>
      </w:r>
      <w:r w:rsidRPr="00D17FD3">
        <w:rPr>
          <w:rFonts w:asciiTheme="minorHAnsi" w:hAnsiTheme="minorHAnsi"/>
          <w:lang w:val="sq-AL"/>
        </w:rPr>
        <w:lastRenderedPageBreak/>
        <w:t>shpenzimet për investime janë ulur me rreth 4.7 miliard lekë ose 61% më pak. Një rënie e madhe e shpenzimeve për investime ka ardhur si pasojë e bllokimit të ndodhur nga pandemia e COVID-19. Në pjesën e dytë të vitit 2020, njësitë e vetëqeverisjes vendore do të synojnë arritjen e ritmit vjetor të planifikuar të investimeve. Rritja e peshës së tyre në raport me totalin e shpenzimeve vendore përbën një shtysë të rëndësishme në angazhimin për zhvillimin infrastrukturor përmes pushtetit vendor.</w:t>
      </w:r>
    </w:p>
    <w:p w:rsidR="00D17FD3" w:rsidRPr="00D17FD3" w:rsidRDefault="00D17FD3" w:rsidP="00EB3166">
      <w:pPr>
        <w:spacing w:before="120" w:after="120" w:line="276" w:lineRule="auto"/>
        <w:jc w:val="both"/>
        <w:rPr>
          <w:rFonts w:asciiTheme="minorHAnsi" w:hAnsiTheme="minorHAnsi"/>
          <w:lang w:val="sq-AL"/>
        </w:rPr>
      </w:pPr>
      <w:r w:rsidRPr="00D17FD3">
        <w:rPr>
          <w:rFonts w:asciiTheme="minorHAnsi" w:hAnsiTheme="minorHAnsi"/>
          <w:i/>
          <w:lang w:val="sq-AL"/>
        </w:rPr>
        <w:t>Si përfundim</w:t>
      </w:r>
      <w:r w:rsidRPr="00D17FD3">
        <w:rPr>
          <w:rFonts w:asciiTheme="minorHAnsi" w:hAnsiTheme="minorHAnsi"/>
          <w:lang w:val="sq-AL"/>
        </w:rPr>
        <w:t>, vlen të theksohet fakti që treguesit e vitit 2020, përbëjnë një vit përjashtimor për treguesit fiskal të pushtetit vendor, si p</w:t>
      </w:r>
      <w:r w:rsidR="00306255">
        <w:rPr>
          <w:rFonts w:asciiTheme="minorHAnsi" w:hAnsiTheme="minorHAnsi"/>
          <w:lang w:val="sq-AL"/>
        </w:rPr>
        <w:t>asojë e situatës së krjuar nga P</w:t>
      </w:r>
      <w:r w:rsidRPr="00D17FD3">
        <w:rPr>
          <w:rFonts w:asciiTheme="minorHAnsi" w:hAnsiTheme="minorHAnsi"/>
          <w:lang w:val="sq-AL"/>
        </w:rPr>
        <w:t>andemia</w:t>
      </w:r>
      <w:r w:rsidR="00306255">
        <w:rPr>
          <w:rFonts w:asciiTheme="minorHAnsi" w:hAnsiTheme="minorHAnsi"/>
          <w:lang w:val="sq-AL"/>
        </w:rPr>
        <w:t xml:space="preserve"> COVID-19</w:t>
      </w:r>
      <w:r w:rsidRPr="00D17FD3">
        <w:rPr>
          <w:rFonts w:asciiTheme="minorHAnsi" w:hAnsiTheme="minorHAnsi"/>
          <w:lang w:val="sq-AL"/>
        </w:rPr>
        <w:t>. Roli i njësive të vetëqeverisjes vendore ne menaxhimin e situatës ka qënë thelbësor dhe gjithashtu ka ndihmuar në lehtësimin e barrës ekonomike të qytetarëve e bizneseve përmës politikave fiskale të favorshme.</w:t>
      </w:r>
    </w:p>
    <w:p w:rsidR="0065598A" w:rsidRPr="007F224E" w:rsidRDefault="0065598A" w:rsidP="0065598A">
      <w:pPr>
        <w:spacing w:line="276" w:lineRule="auto"/>
        <w:jc w:val="both"/>
        <w:rPr>
          <w:rFonts w:asciiTheme="minorHAnsi" w:hAnsiTheme="minorHAnsi"/>
          <w:sz w:val="8"/>
          <w:lang w:val="sq-AL"/>
        </w:rPr>
      </w:pPr>
    </w:p>
    <w:p w:rsidR="00B55813" w:rsidRPr="0065598A" w:rsidRDefault="007532D4" w:rsidP="002334F6">
      <w:pPr>
        <w:pStyle w:val="Heading2"/>
        <w:rPr>
          <w:rFonts w:eastAsia="SimSun"/>
          <w:i/>
          <w:sz w:val="27"/>
          <w:szCs w:val="27"/>
        </w:rPr>
      </w:pPr>
      <w:bookmarkStart w:id="74" w:name="_Toc44403611"/>
      <w:r w:rsidRPr="00630D88">
        <w:rPr>
          <w:szCs w:val="28"/>
        </w:rPr>
        <w:t>III.3</w:t>
      </w:r>
      <w:r w:rsidRPr="00630D88">
        <w:rPr>
          <w:szCs w:val="28"/>
        </w:rPr>
        <w:tab/>
      </w:r>
      <w:r w:rsidRPr="007F224E">
        <w:rPr>
          <w:sz w:val="26"/>
          <w:szCs w:val="26"/>
        </w:rPr>
        <w:t>Fondi Rezervë, Fondi i Kontigjencës, Fondi i Veçantë &amp; Fondi për Rritjen e Pagave</w:t>
      </w:r>
      <w:bookmarkEnd w:id="74"/>
      <w:r w:rsidRPr="0065598A">
        <w:rPr>
          <w:sz w:val="27"/>
          <w:szCs w:val="27"/>
        </w:rPr>
        <w:t xml:space="preserve"> </w:t>
      </w:r>
    </w:p>
    <w:p w:rsidR="00630D88" w:rsidRPr="00630D88" w:rsidRDefault="00630D88" w:rsidP="00630D88">
      <w:pPr>
        <w:spacing w:line="276" w:lineRule="auto"/>
        <w:jc w:val="both"/>
        <w:rPr>
          <w:rFonts w:asciiTheme="minorHAnsi" w:hAnsiTheme="minorHAnsi"/>
          <w:sz w:val="8"/>
          <w:szCs w:val="8"/>
          <w:lang w:val="sq-AL"/>
        </w:rPr>
      </w:pPr>
    </w:p>
    <w:p w:rsidR="00630D88" w:rsidRPr="009A1252" w:rsidRDefault="00630D88" w:rsidP="00630D88">
      <w:pPr>
        <w:spacing w:line="276" w:lineRule="auto"/>
        <w:jc w:val="both"/>
        <w:rPr>
          <w:rFonts w:asciiTheme="minorHAnsi" w:hAnsiTheme="minorHAnsi"/>
          <w:lang w:val="sq-AL"/>
        </w:rPr>
      </w:pPr>
      <w:r w:rsidRPr="009A1252">
        <w:rPr>
          <w:rFonts w:asciiTheme="minorHAnsi" w:hAnsiTheme="minorHAnsi"/>
          <w:lang w:val="sq-AL"/>
        </w:rPr>
        <w:t>Në analizën e shpenzimeve për periudhën janar-</w:t>
      </w:r>
      <w:r>
        <w:rPr>
          <w:rFonts w:asciiTheme="minorHAnsi" w:hAnsiTheme="minorHAnsi"/>
          <w:lang w:val="sq-AL"/>
        </w:rPr>
        <w:t>qershor</w:t>
      </w:r>
      <w:r w:rsidRPr="009A1252">
        <w:rPr>
          <w:rFonts w:asciiTheme="minorHAnsi" w:hAnsiTheme="minorHAnsi"/>
          <w:lang w:val="sq-AL"/>
        </w:rPr>
        <w:t xml:space="preserve"> 2020, janë përfshirë edhe shpenzimet e realizuara nga përdorimet e fondit rezervë të buxhetit të shtetit, të fondit të rindërtimit dhe të fondit të kontigjencës. Më konkretisht:</w:t>
      </w:r>
    </w:p>
    <w:p w:rsidR="00630D88" w:rsidRPr="00630D88" w:rsidRDefault="00181163" w:rsidP="00630D88">
      <w:pPr>
        <w:widowControl w:val="0"/>
        <w:autoSpaceDE w:val="0"/>
        <w:autoSpaceDN w:val="0"/>
        <w:adjustRightInd w:val="0"/>
        <w:spacing w:before="240" w:after="120" w:line="276" w:lineRule="auto"/>
        <w:jc w:val="both"/>
        <w:rPr>
          <w:rFonts w:asciiTheme="minorHAnsi" w:hAnsiTheme="minorHAnsi"/>
          <w:lang w:val="sq-AL"/>
        </w:rPr>
      </w:pPr>
      <w:r w:rsidRPr="00630D88">
        <w:rPr>
          <w:rFonts w:asciiTheme="minorHAnsi" w:hAnsiTheme="minorHAnsi"/>
          <w:i/>
          <w:u w:val="single"/>
          <w:lang w:val="sq-AL"/>
        </w:rPr>
        <w:t>FONDI REZERVË</w:t>
      </w:r>
      <w:r w:rsidRPr="00630D88">
        <w:rPr>
          <w:rFonts w:asciiTheme="minorHAnsi" w:hAnsiTheme="minorHAnsi"/>
          <w:lang w:val="sq-AL"/>
        </w:rPr>
        <w:t xml:space="preserve"> </w:t>
      </w:r>
      <w:r w:rsidR="00630D88" w:rsidRPr="00630D88">
        <w:rPr>
          <w:rFonts w:asciiTheme="minorHAnsi" w:hAnsiTheme="minorHAnsi"/>
          <w:lang w:val="sq-AL"/>
        </w:rPr>
        <w:t>– Ligji nr.88/2019 “</w:t>
      </w:r>
      <w:r w:rsidR="00630D88" w:rsidRPr="00630D88">
        <w:rPr>
          <w:rFonts w:asciiTheme="minorHAnsi" w:hAnsiTheme="minorHAnsi"/>
          <w:i/>
          <w:lang w:val="sq-AL"/>
        </w:rPr>
        <w:t>Për Buxhetin e vitit 2020</w:t>
      </w:r>
      <w:r w:rsidR="00630D88" w:rsidRPr="00630D88">
        <w:rPr>
          <w:rFonts w:asciiTheme="minorHAnsi" w:hAnsiTheme="minorHAnsi"/>
          <w:lang w:val="sq-AL"/>
        </w:rPr>
        <w:t>” miratoi Fondin Rezervë të Buxhetit të Shtetit në masën 1.7 miliardë lekë në nivel total vjetor, ndërkohë që Neni 14 përcakton përdorimin e tij nga Këshilli i Ministrave për raste të paparashikuara të njësive të qeverisjes së përgjithshme.</w:t>
      </w:r>
    </w:p>
    <w:p w:rsidR="00630D88" w:rsidRPr="00630D88" w:rsidRDefault="00630D88" w:rsidP="005260A8">
      <w:pPr>
        <w:spacing w:before="120" w:after="120" w:line="276" w:lineRule="auto"/>
        <w:jc w:val="both"/>
        <w:rPr>
          <w:rFonts w:asciiTheme="minorHAnsi" w:hAnsiTheme="minorHAnsi"/>
          <w:lang w:val="sq-AL"/>
        </w:rPr>
      </w:pPr>
      <w:r>
        <w:rPr>
          <w:rFonts w:asciiTheme="minorHAnsi" w:hAnsiTheme="minorHAnsi"/>
          <w:lang w:val="sq-AL"/>
        </w:rPr>
        <w:t>Me Aktin Normativ nr.</w:t>
      </w:r>
      <w:r w:rsidRPr="00630D88">
        <w:rPr>
          <w:rFonts w:asciiTheme="minorHAnsi" w:hAnsiTheme="minorHAnsi"/>
          <w:lang w:val="sq-AL"/>
        </w:rPr>
        <w:t xml:space="preserve">6 datë 21.03.2020 </w:t>
      </w:r>
      <w:r>
        <w:rPr>
          <w:rFonts w:asciiTheme="minorHAnsi" w:hAnsiTheme="minorHAnsi"/>
          <w:lang w:val="sq-AL"/>
        </w:rPr>
        <w:t>si edhe me Aktin Normativ nr.15</w:t>
      </w:r>
      <w:r w:rsidRPr="00630D88">
        <w:rPr>
          <w:rFonts w:asciiTheme="minorHAnsi" w:hAnsiTheme="minorHAnsi"/>
          <w:lang w:val="sq-AL"/>
        </w:rPr>
        <w:t xml:space="preserve"> datë 15.04.2020 “</w:t>
      </w:r>
      <w:r w:rsidRPr="00630D88">
        <w:rPr>
          <w:rFonts w:asciiTheme="minorHAnsi" w:hAnsiTheme="minorHAnsi"/>
          <w:i/>
          <w:lang w:val="sq-AL"/>
        </w:rPr>
        <w:t>Për disa ndryshimene ligjin nr.88/2019 ‘Për buxhetin e vitit 2020</w:t>
      </w:r>
      <w:r w:rsidRPr="00630D88">
        <w:rPr>
          <w:rFonts w:asciiTheme="minorHAnsi" w:hAnsiTheme="minorHAnsi"/>
          <w:lang w:val="sq-AL"/>
        </w:rPr>
        <w:t>”, Fondi Rezervë ndryshoi në masën 16.2 miliard lekë, ndërkohë që është përcaktuar dhe përdorimi i tij si më poshtë:</w:t>
      </w:r>
    </w:p>
    <w:p w:rsidR="00630D88" w:rsidRDefault="00630D88" w:rsidP="00503465">
      <w:pPr>
        <w:pStyle w:val="ListParagraph"/>
        <w:widowControl w:val="0"/>
        <w:numPr>
          <w:ilvl w:val="0"/>
          <w:numId w:val="28"/>
        </w:numPr>
        <w:tabs>
          <w:tab w:val="left" w:pos="630"/>
        </w:tabs>
        <w:autoSpaceDE w:val="0"/>
        <w:autoSpaceDN w:val="0"/>
        <w:adjustRightInd w:val="0"/>
        <w:spacing w:line="276" w:lineRule="auto"/>
        <w:ind w:left="1080" w:hanging="450"/>
        <w:jc w:val="both"/>
        <w:rPr>
          <w:rFonts w:asciiTheme="minorHAnsi" w:hAnsiTheme="minorHAnsi"/>
          <w:i/>
          <w:lang w:val="sq-AL"/>
        </w:rPr>
      </w:pPr>
      <w:r w:rsidRPr="009A1252">
        <w:rPr>
          <w:rFonts w:asciiTheme="minorHAnsi" w:hAnsiTheme="minorHAnsi"/>
          <w:i/>
          <w:lang w:val="sq-AL"/>
        </w:rPr>
        <w:t>1</w:t>
      </w:r>
      <w:r>
        <w:rPr>
          <w:rFonts w:asciiTheme="minorHAnsi" w:hAnsiTheme="minorHAnsi"/>
          <w:i/>
          <w:lang w:val="sq-AL"/>
        </w:rPr>
        <w:t xml:space="preserve"> </w:t>
      </w:r>
      <w:r w:rsidRPr="009A1252">
        <w:rPr>
          <w:rFonts w:asciiTheme="minorHAnsi" w:hAnsiTheme="minorHAnsi"/>
          <w:i/>
          <w:lang w:val="sq-AL"/>
        </w:rPr>
        <w:t>700 milione leke për raste të paparashikuara të njësive të qeverisjes së përgjithshme.</w:t>
      </w:r>
    </w:p>
    <w:p w:rsidR="00630D88" w:rsidRDefault="00630D88" w:rsidP="00503465">
      <w:pPr>
        <w:pStyle w:val="ListParagraph"/>
        <w:widowControl w:val="0"/>
        <w:numPr>
          <w:ilvl w:val="0"/>
          <w:numId w:val="28"/>
        </w:numPr>
        <w:tabs>
          <w:tab w:val="left" w:pos="630"/>
        </w:tabs>
        <w:autoSpaceDE w:val="0"/>
        <w:autoSpaceDN w:val="0"/>
        <w:adjustRightInd w:val="0"/>
        <w:spacing w:line="276" w:lineRule="auto"/>
        <w:ind w:left="1080" w:hanging="450"/>
        <w:jc w:val="both"/>
        <w:rPr>
          <w:rFonts w:asciiTheme="minorHAnsi" w:hAnsiTheme="minorHAnsi"/>
          <w:i/>
          <w:lang w:val="sq-AL"/>
        </w:rPr>
      </w:pPr>
      <w:r w:rsidRPr="00630D88">
        <w:rPr>
          <w:rFonts w:asciiTheme="minorHAnsi" w:hAnsiTheme="minorHAnsi"/>
          <w:i/>
          <w:lang w:val="sq-AL"/>
        </w:rPr>
        <w:t>13 500 milionë lekë si kontigjencë për paketën sociale anti-Covid-19.</w:t>
      </w:r>
    </w:p>
    <w:p w:rsidR="00630D88" w:rsidRPr="00630D88" w:rsidRDefault="00630D88" w:rsidP="00503465">
      <w:pPr>
        <w:pStyle w:val="ListParagraph"/>
        <w:widowControl w:val="0"/>
        <w:numPr>
          <w:ilvl w:val="0"/>
          <w:numId w:val="28"/>
        </w:numPr>
        <w:tabs>
          <w:tab w:val="left" w:pos="630"/>
        </w:tabs>
        <w:autoSpaceDE w:val="0"/>
        <w:autoSpaceDN w:val="0"/>
        <w:adjustRightInd w:val="0"/>
        <w:spacing w:line="276" w:lineRule="auto"/>
        <w:ind w:left="1080" w:hanging="450"/>
        <w:jc w:val="both"/>
        <w:rPr>
          <w:rFonts w:asciiTheme="minorHAnsi" w:hAnsiTheme="minorHAnsi"/>
          <w:i/>
          <w:lang w:val="sq-AL"/>
        </w:rPr>
      </w:pPr>
      <w:r w:rsidRPr="00630D88">
        <w:rPr>
          <w:rFonts w:asciiTheme="minorHAnsi" w:hAnsiTheme="minorHAnsi"/>
          <w:i/>
          <w:lang w:val="sq-AL"/>
        </w:rPr>
        <w:t>1 000 milionë lekë per emergjenca te tjera në kuadër të masave anti-covid 19</w:t>
      </w:r>
    </w:p>
    <w:p w:rsidR="00630D88" w:rsidRPr="00630D88" w:rsidRDefault="00630D88" w:rsidP="00630D88">
      <w:pPr>
        <w:pStyle w:val="ListParagraph"/>
        <w:widowControl w:val="0"/>
        <w:autoSpaceDE w:val="0"/>
        <w:autoSpaceDN w:val="0"/>
        <w:adjustRightInd w:val="0"/>
        <w:spacing w:line="276" w:lineRule="auto"/>
        <w:jc w:val="both"/>
        <w:rPr>
          <w:rFonts w:asciiTheme="minorHAnsi" w:hAnsiTheme="minorHAnsi"/>
          <w:i/>
          <w:sz w:val="8"/>
          <w:szCs w:val="8"/>
          <w:lang w:val="sq-AL"/>
        </w:rPr>
      </w:pPr>
    </w:p>
    <w:p w:rsidR="00630D88" w:rsidRPr="00630D88" w:rsidRDefault="00630D88" w:rsidP="00630D88">
      <w:pPr>
        <w:pStyle w:val="ListParagraph"/>
        <w:widowControl w:val="0"/>
        <w:autoSpaceDE w:val="0"/>
        <w:autoSpaceDN w:val="0"/>
        <w:adjustRightInd w:val="0"/>
        <w:spacing w:line="276" w:lineRule="auto"/>
        <w:ind w:left="360"/>
        <w:jc w:val="both"/>
        <w:rPr>
          <w:rFonts w:asciiTheme="minorHAnsi" w:hAnsiTheme="minorHAnsi"/>
          <w:sz w:val="8"/>
          <w:szCs w:val="8"/>
          <w:lang w:val="sq-AL"/>
        </w:rPr>
      </w:pPr>
    </w:p>
    <w:p w:rsidR="00630D88" w:rsidRPr="009461B1" w:rsidRDefault="00630D88" w:rsidP="00181163">
      <w:pPr>
        <w:widowControl w:val="0"/>
        <w:autoSpaceDE w:val="0"/>
        <w:autoSpaceDN w:val="0"/>
        <w:adjustRightInd w:val="0"/>
        <w:spacing w:line="276" w:lineRule="auto"/>
        <w:jc w:val="both"/>
        <w:rPr>
          <w:rFonts w:asciiTheme="minorHAnsi" w:hAnsiTheme="minorHAnsi"/>
          <w:i/>
          <w:u w:val="single"/>
          <w:lang w:val="sq-AL"/>
        </w:rPr>
      </w:pPr>
      <w:r w:rsidRPr="009461B1">
        <w:rPr>
          <w:rFonts w:asciiTheme="minorHAnsi" w:hAnsiTheme="minorHAnsi"/>
          <w:i/>
          <w:u w:val="single"/>
          <w:lang w:val="sq-AL"/>
        </w:rPr>
        <w:t>Deri në datën 30 Qershor 2020 ai është përdorur si mëposhtë:</w:t>
      </w:r>
    </w:p>
    <w:p w:rsidR="00630D88" w:rsidRPr="00630D88" w:rsidRDefault="00630D88" w:rsidP="00630D88">
      <w:pPr>
        <w:pStyle w:val="ListParagraph"/>
        <w:widowControl w:val="0"/>
        <w:autoSpaceDE w:val="0"/>
        <w:autoSpaceDN w:val="0"/>
        <w:adjustRightInd w:val="0"/>
        <w:spacing w:line="276" w:lineRule="auto"/>
        <w:ind w:left="360"/>
        <w:jc w:val="both"/>
        <w:rPr>
          <w:rFonts w:asciiTheme="minorHAnsi" w:hAnsiTheme="minorHAnsi"/>
          <w:sz w:val="8"/>
          <w:szCs w:val="8"/>
          <w:lang w:val="sq-AL"/>
        </w:rPr>
      </w:pPr>
    </w:p>
    <w:p w:rsidR="00630D88" w:rsidRPr="009A1252" w:rsidRDefault="00630D88" w:rsidP="00503465">
      <w:pPr>
        <w:pStyle w:val="ListParagraph"/>
        <w:widowControl w:val="0"/>
        <w:numPr>
          <w:ilvl w:val="0"/>
          <w:numId w:val="27"/>
        </w:numPr>
        <w:autoSpaceDE w:val="0"/>
        <w:autoSpaceDN w:val="0"/>
        <w:adjustRightInd w:val="0"/>
        <w:spacing w:before="240" w:after="120" w:line="276" w:lineRule="auto"/>
        <w:jc w:val="both"/>
        <w:rPr>
          <w:rFonts w:asciiTheme="minorHAnsi" w:hAnsiTheme="minorHAnsi"/>
          <w:lang w:val="sq-AL"/>
        </w:rPr>
      </w:pPr>
      <w:r w:rsidRPr="00181163">
        <w:rPr>
          <w:rFonts w:asciiTheme="minorHAnsi" w:hAnsiTheme="minorHAnsi"/>
          <w:i/>
          <w:lang w:val="sq-AL"/>
        </w:rPr>
        <w:t>Fondi Rezervë për raste të paparashikuara</w:t>
      </w:r>
      <w:r w:rsidRPr="00181163">
        <w:rPr>
          <w:rFonts w:asciiTheme="minorHAnsi" w:hAnsiTheme="minorHAnsi"/>
          <w:lang w:val="sq-AL"/>
        </w:rPr>
        <w:t xml:space="preserve"> të njësive</w:t>
      </w:r>
      <w:r w:rsidRPr="009A1252">
        <w:rPr>
          <w:rFonts w:asciiTheme="minorHAnsi" w:hAnsiTheme="minorHAnsi"/>
          <w:lang w:val="sq-AL"/>
        </w:rPr>
        <w:t xml:space="preserve"> të qeverisjes së përgjithshme është përdorur nëpërmjet 8 Vendimeve të Këshillit të Ministrave, për një shumë prej rreth 970.2 milionë LEK ose rreth 57.1 përqind e tij. Nga këto: </w:t>
      </w:r>
    </w:p>
    <w:p w:rsidR="00630D88" w:rsidRPr="009A1252" w:rsidRDefault="00630D88" w:rsidP="00503465">
      <w:pPr>
        <w:pStyle w:val="ListParagraph"/>
        <w:widowControl w:val="0"/>
        <w:numPr>
          <w:ilvl w:val="1"/>
          <w:numId w:val="29"/>
        </w:numPr>
        <w:tabs>
          <w:tab w:val="left" w:pos="810"/>
          <w:tab w:val="left" w:pos="1170"/>
        </w:tabs>
        <w:autoSpaceDE w:val="0"/>
        <w:autoSpaceDN w:val="0"/>
        <w:adjustRightInd w:val="0"/>
        <w:spacing w:before="240" w:line="276" w:lineRule="auto"/>
        <w:ind w:left="990"/>
        <w:jc w:val="both"/>
        <w:rPr>
          <w:rFonts w:asciiTheme="minorHAnsi" w:hAnsiTheme="minorHAnsi"/>
          <w:i/>
          <w:lang w:val="sq-AL"/>
        </w:rPr>
      </w:pPr>
      <w:r w:rsidRPr="009A1252">
        <w:rPr>
          <w:rFonts w:asciiTheme="minorHAnsi" w:hAnsiTheme="minorHAnsi"/>
          <w:i/>
          <w:lang w:val="sq-AL"/>
        </w:rPr>
        <w:t xml:space="preserve">rreth 409.2 milionë LEK janë përdorur për shpenzime korente (shpenzime operative dhe transferta të brendshme), </w:t>
      </w:r>
    </w:p>
    <w:p w:rsidR="00630D88" w:rsidRPr="009A1252" w:rsidRDefault="00630D88" w:rsidP="00503465">
      <w:pPr>
        <w:pStyle w:val="ListParagraph"/>
        <w:widowControl w:val="0"/>
        <w:numPr>
          <w:ilvl w:val="1"/>
          <w:numId w:val="29"/>
        </w:numPr>
        <w:tabs>
          <w:tab w:val="left" w:pos="990"/>
        </w:tabs>
        <w:autoSpaceDE w:val="0"/>
        <w:autoSpaceDN w:val="0"/>
        <w:adjustRightInd w:val="0"/>
        <w:spacing w:before="240" w:line="276" w:lineRule="auto"/>
        <w:ind w:left="990"/>
        <w:jc w:val="both"/>
        <w:rPr>
          <w:rFonts w:asciiTheme="minorHAnsi" w:hAnsiTheme="minorHAnsi"/>
          <w:i/>
          <w:lang w:val="sq-AL"/>
        </w:rPr>
      </w:pPr>
      <w:r w:rsidRPr="009A1252">
        <w:rPr>
          <w:rFonts w:asciiTheme="minorHAnsi" w:hAnsiTheme="minorHAnsi"/>
          <w:i/>
          <w:lang w:val="sq-AL"/>
        </w:rPr>
        <w:t xml:space="preserve">rreth 561 milionë LEK për investime publike. </w:t>
      </w:r>
    </w:p>
    <w:p w:rsidR="00630D88" w:rsidRPr="007F224E" w:rsidRDefault="00630D88" w:rsidP="007F224E">
      <w:pPr>
        <w:widowControl w:val="0"/>
        <w:autoSpaceDE w:val="0"/>
        <w:autoSpaceDN w:val="0"/>
        <w:adjustRightInd w:val="0"/>
        <w:spacing w:line="276" w:lineRule="auto"/>
        <w:ind w:left="450"/>
        <w:jc w:val="both"/>
        <w:rPr>
          <w:rFonts w:asciiTheme="minorHAnsi" w:hAnsiTheme="minorHAnsi"/>
          <w:lang w:val="sq-AL"/>
        </w:rPr>
      </w:pPr>
      <w:r w:rsidRPr="007F224E">
        <w:rPr>
          <w:rFonts w:asciiTheme="minorHAnsi" w:hAnsiTheme="minorHAnsi"/>
          <w:lang w:val="sq-AL"/>
        </w:rPr>
        <w:t xml:space="preserve">Gjendja e papërdorur e fondit rezervë të buxhetit të shtetit, në datën 30 qershor 2020, rezulton </w:t>
      </w:r>
      <w:r w:rsidRPr="007F224E">
        <w:rPr>
          <w:rFonts w:asciiTheme="minorHAnsi" w:hAnsiTheme="minorHAnsi"/>
          <w:u w:val="single"/>
          <w:lang w:val="sq-AL"/>
        </w:rPr>
        <w:t>729.8 milionë LEK</w:t>
      </w:r>
      <w:r w:rsidRPr="007F224E">
        <w:rPr>
          <w:rFonts w:asciiTheme="minorHAnsi" w:hAnsiTheme="minorHAnsi"/>
          <w:lang w:val="sq-AL"/>
        </w:rPr>
        <w:t xml:space="preserve">. </w:t>
      </w:r>
    </w:p>
    <w:p w:rsidR="00181163" w:rsidRDefault="00630D88" w:rsidP="00503465">
      <w:pPr>
        <w:pStyle w:val="ListParagraph"/>
        <w:widowControl w:val="0"/>
        <w:numPr>
          <w:ilvl w:val="0"/>
          <w:numId w:val="27"/>
        </w:numPr>
        <w:autoSpaceDE w:val="0"/>
        <w:autoSpaceDN w:val="0"/>
        <w:adjustRightInd w:val="0"/>
        <w:spacing w:before="240" w:after="120" w:line="276" w:lineRule="auto"/>
        <w:jc w:val="both"/>
        <w:rPr>
          <w:rFonts w:asciiTheme="minorHAnsi" w:hAnsiTheme="minorHAnsi"/>
          <w:lang w:val="sq-AL"/>
        </w:rPr>
      </w:pPr>
      <w:r w:rsidRPr="00181163">
        <w:rPr>
          <w:rFonts w:asciiTheme="minorHAnsi" w:hAnsiTheme="minorHAnsi"/>
          <w:i/>
          <w:lang w:val="sq-AL"/>
        </w:rPr>
        <w:t xml:space="preserve">Fondi Rezervë </w:t>
      </w:r>
      <w:r w:rsidR="00181163" w:rsidRPr="00181163">
        <w:rPr>
          <w:rFonts w:asciiTheme="minorHAnsi" w:hAnsiTheme="minorHAnsi"/>
          <w:i/>
          <w:lang w:val="sq-AL"/>
        </w:rPr>
        <w:t>i parashikuar si kontigjencë</w:t>
      </w:r>
      <w:r w:rsidR="00181163" w:rsidRPr="00181163">
        <w:rPr>
          <w:rFonts w:asciiTheme="minorHAnsi" w:hAnsiTheme="minorHAnsi"/>
          <w:lang w:val="sq-AL"/>
        </w:rPr>
        <w:t xml:space="preserve"> për paketën</w:t>
      </w:r>
      <w:r w:rsidR="00181163" w:rsidRPr="00630D88">
        <w:rPr>
          <w:rFonts w:asciiTheme="minorHAnsi" w:hAnsiTheme="minorHAnsi"/>
          <w:lang w:val="sq-AL"/>
        </w:rPr>
        <w:t xml:space="preserve"> sociale anti-Covid-19</w:t>
      </w:r>
      <w:r w:rsidR="00181163">
        <w:rPr>
          <w:rFonts w:asciiTheme="minorHAnsi" w:hAnsiTheme="minorHAnsi"/>
          <w:lang w:val="sq-AL"/>
        </w:rPr>
        <w:t xml:space="preserve">, </w:t>
      </w:r>
      <w:r w:rsidRPr="00630D88">
        <w:rPr>
          <w:rFonts w:asciiTheme="minorHAnsi" w:hAnsiTheme="minorHAnsi"/>
          <w:lang w:val="sq-AL"/>
        </w:rPr>
        <w:t>prej 13.5 miliard lekë</w:t>
      </w:r>
      <w:r w:rsidR="00181163">
        <w:rPr>
          <w:rFonts w:asciiTheme="minorHAnsi" w:hAnsiTheme="minorHAnsi"/>
          <w:lang w:val="sq-AL"/>
        </w:rPr>
        <w:t>,</w:t>
      </w:r>
      <w:r w:rsidRPr="00630D88">
        <w:rPr>
          <w:rFonts w:asciiTheme="minorHAnsi" w:hAnsiTheme="minorHAnsi"/>
          <w:lang w:val="sq-AL"/>
        </w:rPr>
        <w:t xml:space="preserve"> është përdorur nëpërmjet 3 Vendimeve të Këshillit të Ministrave, për një shumë prej 13.456 miliard lekë.</w:t>
      </w:r>
      <w:r>
        <w:rPr>
          <w:rFonts w:asciiTheme="minorHAnsi" w:hAnsiTheme="minorHAnsi"/>
          <w:lang w:val="sq-AL"/>
        </w:rPr>
        <w:t xml:space="preserve"> </w:t>
      </w:r>
    </w:p>
    <w:p w:rsidR="00630D88" w:rsidRPr="00630D88" w:rsidRDefault="00630D88" w:rsidP="00181163">
      <w:pPr>
        <w:pStyle w:val="ListParagraph"/>
        <w:widowControl w:val="0"/>
        <w:autoSpaceDE w:val="0"/>
        <w:autoSpaceDN w:val="0"/>
        <w:adjustRightInd w:val="0"/>
        <w:spacing w:before="240" w:after="120" w:line="276" w:lineRule="auto"/>
        <w:ind w:left="450"/>
        <w:jc w:val="both"/>
        <w:rPr>
          <w:rFonts w:asciiTheme="minorHAnsi" w:hAnsiTheme="minorHAnsi"/>
          <w:lang w:val="sq-AL"/>
        </w:rPr>
      </w:pPr>
      <w:r w:rsidRPr="00630D88">
        <w:rPr>
          <w:rFonts w:asciiTheme="minorHAnsi" w:hAnsiTheme="minorHAnsi"/>
          <w:lang w:val="sq-AL"/>
        </w:rPr>
        <w:t xml:space="preserve">Gjendja e papërdorur e këtij fondi, në datën 30 qershor 2020, rezulton </w:t>
      </w:r>
      <w:r w:rsidRPr="00181163">
        <w:rPr>
          <w:rFonts w:asciiTheme="minorHAnsi" w:hAnsiTheme="minorHAnsi"/>
          <w:u w:val="single"/>
          <w:lang w:val="sq-AL"/>
        </w:rPr>
        <w:t>44 milionë LEK</w:t>
      </w:r>
      <w:r w:rsidRPr="00630D88">
        <w:rPr>
          <w:rFonts w:asciiTheme="minorHAnsi" w:hAnsiTheme="minorHAnsi"/>
          <w:lang w:val="sq-AL"/>
        </w:rPr>
        <w:t>.</w:t>
      </w:r>
    </w:p>
    <w:p w:rsidR="00181163" w:rsidRDefault="00630D88" w:rsidP="00503465">
      <w:pPr>
        <w:pStyle w:val="ListParagraph"/>
        <w:widowControl w:val="0"/>
        <w:numPr>
          <w:ilvl w:val="0"/>
          <w:numId w:val="27"/>
        </w:numPr>
        <w:autoSpaceDE w:val="0"/>
        <w:autoSpaceDN w:val="0"/>
        <w:adjustRightInd w:val="0"/>
        <w:spacing w:before="240" w:after="120" w:line="276" w:lineRule="auto"/>
        <w:jc w:val="both"/>
        <w:rPr>
          <w:rFonts w:asciiTheme="minorHAnsi" w:hAnsiTheme="minorHAnsi"/>
          <w:lang w:val="sq-AL"/>
        </w:rPr>
      </w:pPr>
      <w:r w:rsidRPr="00181163">
        <w:rPr>
          <w:rFonts w:asciiTheme="minorHAnsi" w:hAnsiTheme="minorHAnsi"/>
          <w:i/>
          <w:lang w:val="sq-AL"/>
        </w:rPr>
        <w:lastRenderedPageBreak/>
        <w:t xml:space="preserve">Fondi Rezervë </w:t>
      </w:r>
      <w:r w:rsidR="00181163" w:rsidRPr="00181163">
        <w:rPr>
          <w:rFonts w:asciiTheme="minorHAnsi" w:hAnsiTheme="minorHAnsi"/>
          <w:i/>
          <w:lang w:val="sq-AL"/>
        </w:rPr>
        <w:t>i planifikuar për emergjenca të  tjera</w:t>
      </w:r>
      <w:r w:rsidR="00181163" w:rsidRPr="00181163">
        <w:rPr>
          <w:rFonts w:asciiTheme="minorHAnsi" w:hAnsiTheme="minorHAnsi"/>
          <w:lang w:val="sq-AL"/>
        </w:rPr>
        <w:t xml:space="preserve"> në kuadër të masave anti-Covid 19, </w:t>
      </w:r>
      <w:r w:rsidRPr="00181163">
        <w:rPr>
          <w:rFonts w:asciiTheme="minorHAnsi" w:hAnsiTheme="minorHAnsi"/>
          <w:lang w:val="sq-AL"/>
        </w:rPr>
        <w:t xml:space="preserve">prej </w:t>
      </w:r>
      <w:r w:rsidR="00181163" w:rsidRPr="00181163">
        <w:rPr>
          <w:rFonts w:asciiTheme="minorHAnsi" w:hAnsiTheme="minorHAnsi"/>
          <w:lang w:val="sq-AL"/>
        </w:rPr>
        <w:t xml:space="preserve">       </w:t>
      </w:r>
      <w:r w:rsidRPr="00181163">
        <w:rPr>
          <w:rFonts w:asciiTheme="minorHAnsi" w:hAnsiTheme="minorHAnsi"/>
          <w:lang w:val="sq-AL"/>
        </w:rPr>
        <w:t xml:space="preserve">1 miliardë lekë, është përdorur me 5 </w:t>
      </w:r>
      <w:r w:rsidR="00181163" w:rsidRPr="00181163">
        <w:rPr>
          <w:rFonts w:asciiTheme="minorHAnsi" w:hAnsiTheme="minorHAnsi"/>
          <w:lang w:val="sq-AL"/>
        </w:rPr>
        <w:t>3 Vendimeve</w:t>
      </w:r>
      <w:r w:rsidR="00181163" w:rsidRPr="00630D88">
        <w:rPr>
          <w:rFonts w:asciiTheme="minorHAnsi" w:hAnsiTheme="minorHAnsi"/>
          <w:lang w:val="sq-AL"/>
        </w:rPr>
        <w:t xml:space="preserve"> të Këshillit të Ministrave</w:t>
      </w:r>
      <w:r w:rsidRPr="00630D88">
        <w:rPr>
          <w:rFonts w:asciiTheme="minorHAnsi" w:hAnsiTheme="minorHAnsi"/>
          <w:lang w:val="sq-AL"/>
        </w:rPr>
        <w:t xml:space="preserve"> në masën </w:t>
      </w:r>
      <w:r w:rsidR="00181163">
        <w:rPr>
          <w:rFonts w:asciiTheme="minorHAnsi" w:hAnsiTheme="minorHAnsi"/>
          <w:lang w:val="sq-AL"/>
        </w:rPr>
        <w:t xml:space="preserve">              </w:t>
      </w:r>
      <w:r w:rsidRPr="00630D88">
        <w:rPr>
          <w:rFonts w:asciiTheme="minorHAnsi" w:hAnsiTheme="minorHAnsi"/>
          <w:lang w:val="sq-AL"/>
        </w:rPr>
        <w:t xml:space="preserve">184 milionë lekë. </w:t>
      </w:r>
    </w:p>
    <w:p w:rsidR="00630D88" w:rsidRPr="00630D88" w:rsidRDefault="00630D88" w:rsidP="00181163">
      <w:pPr>
        <w:pStyle w:val="ListParagraph"/>
        <w:widowControl w:val="0"/>
        <w:autoSpaceDE w:val="0"/>
        <w:autoSpaceDN w:val="0"/>
        <w:adjustRightInd w:val="0"/>
        <w:spacing w:before="240" w:after="120" w:line="276" w:lineRule="auto"/>
        <w:ind w:left="450"/>
        <w:jc w:val="both"/>
        <w:rPr>
          <w:rFonts w:asciiTheme="minorHAnsi" w:hAnsiTheme="minorHAnsi"/>
          <w:lang w:val="sq-AL"/>
        </w:rPr>
      </w:pPr>
      <w:r w:rsidRPr="00630D88">
        <w:rPr>
          <w:rFonts w:asciiTheme="minorHAnsi" w:hAnsiTheme="minorHAnsi"/>
          <w:lang w:val="sq-AL"/>
        </w:rPr>
        <w:t xml:space="preserve">Gjendja e papërdorur e këtij fondi, në datën 30 qershor 2020, rezulton </w:t>
      </w:r>
      <w:r w:rsidRPr="00181163">
        <w:rPr>
          <w:rFonts w:asciiTheme="minorHAnsi" w:hAnsiTheme="minorHAnsi"/>
          <w:u w:val="single"/>
          <w:lang w:val="sq-AL"/>
        </w:rPr>
        <w:t>815.9 milionë LEK</w:t>
      </w:r>
      <w:r w:rsidRPr="00630D88">
        <w:rPr>
          <w:rFonts w:asciiTheme="minorHAnsi" w:hAnsiTheme="minorHAnsi"/>
          <w:lang w:val="sq-AL"/>
        </w:rPr>
        <w:t>.</w:t>
      </w:r>
    </w:p>
    <w:p w:rsidR="00630D88" w:rsidRPr="00181163" w:rsidRDefault="00181163" w:rsidP="00181163">
      <w:pPr>
        <w:widowControl w:val="0"/>
        <w:autoSpaceDE w:val="0"/>
        <w:autoSpaceDN w:val="0"/>
        <w:adjustRightInd w:val="0"/>
        <w:spacing w:before="240" w:line="276" w:lineRule="auto"/>
        <w:jc w:val="both"/>
        <w:rPr>
          <w:rFonts w:asciiTheme="minorHAnsi" w:hAnsiTheme="minorHAnsi"/>
          <w:lang w:val="sq-AL"/>
        </w:rPr>
      </w:pPr>
      <w:r w:rsidRPr="00181163">
        <w:rPr>
          <w:rFonts w:asciiTheme="minorHAnsi" w:hAnsiTheme="minorHAnsi"/>
          <w:i/>
          <w:u w:val="single"/>
          <w:lang w:val="sq-AL"/>
        </w:rPr>
        <w:t>FONDI RINDËRTIMIT</w:t>
      </w:r>
      <w:r w:rsidRPr="00181163">
        <w:rPr>
          <w:rFonts w:asciiTheme="minorHAnsi" w:hAnsiTheme="minorHAnsi"/>
          <w:lang w:val="sq-AL"/>
        </w:rPr>
        <w:t xml:space="preserve"> </w:t>
      </w:r>
      <w:r>
        <w:rPr>
          <w:rFonts w:asciiTheme="minorHAnsi" w:hAnsiTheme="minorHAnsi"/>
          <w:lang w:val="sq-AL"/>
        </w:rPr>
        <w:t>–</w:t>
      </w:r>
      <w:r w:rsidR="00C12590">
        <w:rPr>
          <w:rFonts w:asciiTheme="minorHAnsi" w:hAnsiTheme="minorHAnsi"/>
          <w:lang w:val="sq-AL"/>
        </w:rPr>
        <w:t xml:space="preserve"> </w:t>
      </w:r>
      <w:r w:rsidRPr="00630D88">
        <w:rPr>
          <w:rFonts w:asciiTheme="minorHAnsi" w:hAnsiTheme="minorHAnsi"/>
          <w:lang w:val="sq-AL"/>
        </w:rPr>
        <w:t>Ligji nr.88/2019 “</w:t>
      </w:r>
      <w:r w:rsidRPr="00630D88">
        <w:rPr>
          <w:rFonts w:asciiTheme="minorHAnsi" w:hAnsiTheme="minorHAnsi"/>
          <w:i/>
          <w:lang w:val="sq-AL"/>
        </w:rPr>
        <w:t>Për Buxhetin e vitit 2020</w:t>
      </w:r>
      <w:r w:rsidRPr="00630D88">
        <w:rPr>
          <w:rFonts w:asciiTheme="minorHAnsi" w:hAnsiTheme="minorHAnsi"/>
          <w:lang w:val="sq-AL"/>
        </w:rPr>
        <w:t xml:space="preserve">” </w:t>
      </w:r>
      <w:r>
        <w:rPr>
          <w:rFonts w:asciiTheme="minorHAnsi" w:hAnsiTheme="minorHAnsi"/>
          <w:lang w:val="sq-AL"/>
        </w:rPr>
        <w:t>miratoi</w:t>
      </w:r>
      <w:r w:rsidR="00630D88" w:rsidRPr="00181163">
        <w:rPr>
          <w:rFonts w:asciiTheme="minorHAnsi" w:hAnsiTheme="minorHAnsi"/>
          <w:lang w:val="sq-AL"/>
        </w:rPr>
        <w:t xml:space="preserve"> Fondi</w:t>
      </w:r>
      <w:r>
        <w:rPr>
          <w:rFonts w:asciiTheme="minorHAnsi" w:hAnsiTheme="minorHAnsi"/>
          <w:lang w:val="sq-AL"/>
        </w:rPr>
        <w:t>n</w:t>
      </w:r>
      <w:r w:rsidR="00630D88" w:rsidRPr="00181163">
        <w:rPr>
          <w:rFonts w:asciiTheme="minorHAnsi" w:hAnsiTheme="minorHAnsi"/>
          <w:lang w:val="sq-AL"/>
        </w:rPr>
        <w:t xml:space="preserve"> </w:t>
      </w:r>
      <w:r>
        <w:rPr>
          <w:rFonts w:asciiTheme="minorHAnsi" w:hAnsiTheme="minorHAnsi"/>
          <w:lang w:val="sq-AL"/>
        </w:rPr>
        <w:t>e</w:t>
      </w:r>
      <w:r w:rsidR="00630D88" w:rsidRPr="00181163">
        <w:rPr>
          <w:rFonts w:asciiTheme="minorHAnsi" w:hAnsiTheme="minorHAnsi"/>
          <w:lang w:val="sq-AL"/>
        </w:rPr>
        <w:t xml:space="preserve"> Rindërtimit prej 20 miliardë </w:t>
      </w:r>
      <w:r>
        <w:rPr>
          <w:rFonts w:asciiTheme="minorHAnsi" w:hAnsiTheme="minorHAnsi"/>
          <w:lang w:val="sq-AL"/>
        </w:rPr>
        <w:t>LEK</w:t>
      </w:r>
      <w:r w:rsidR="00630D88" w:rsidRPr="00181163">
        <w:rPr>
          <w:rFonts w:asciiTheme="minorHAnsi" w:hAnsiTheme="minorHAnsi"/>
          <w:lang w:val="sq-AL"/>
        </w:rPr>
        <w:t>, për përballimin e pasojave të tërmetit të vitit 2019</w:t>
      </w:r>
      <w:r>
        <w:rPr>
          <w:rFonts w:asciiTheme="minorHAnsi" w:hAnsiTheme="minorHAnsi"/>
          <w:lang w:val="sq-AL"/>
        </w:rPr>
        <w:t xml:space="preserve">, </w:t>
      </w:r>
      <w:r w:rsidR="00630D88" w:rsidRPr="00181163">
        <w:rPr>
          <w:rFonts w:asciiTheme="minorHAnsi" w:hAnsiTheme="minorHAnsi"/>
          <w:lang w:val="sq-AL"/>
        </w:rPr>
        <w:t xml:space="preserve"> </w:t>
      </w:r>
      <w:r>
        <w:rPr>
          <w:rFonts w:asciiTheme="minorHAnsi" w:hAnsiTheme="minorHAnsi"/>
          <w:lang w:val="sq-AL"/>
        </w:rPr>
        <w:t xml:space="preserve">i cili </w:t>
      </w:r>
      <w:r w:rsidR="00630D88" w:rsidRPr="00181163">
        <w:rPr>
          <w:rFonts w:asciiTheme="minorHAnsi" w:hAnsiTheme="minorHAnsi"/>
          <w:lang w:val="sq-AL"/>
        </w:rPr>
        <w:t>përbëhet nga:</w:t>
      </w:r>
    </w:p>
    <w:p w:rsidR="00630D88" w:rsidRPr="009A1252" w:rsidRDefault="00630D88" w:rsidP="00503465">
      <w:pPr>
        <w:numPr>
          <w:ilvl w:val="0"/>
          <w:numId w:val="26"/>
        </w:numPr>
        <w:spacing w:after="120" w:line="276" w:lineRule="auto"/>
        <w:ind w:left="450" w:firstLine="0"/>
        <w:contextualSpacing/>
        <w:jc w:val="both"/>
        <w:rPr>
          <w:rFonts w:asciiTheme="minorHAnsi" w:eastAsiaTheme="minorHAnsi" w:hAnsiTheme="minorHAnsi"/>
          <w:i/>
          <w:lang w:val="sq-AL"/>
        </w:rPr>
      </w:pPr>
      <w:r w:rsidRPr="009A1252">
        <w:rPr>
          <w:rFonts w:asciiTheme="minorHAnsi" w:eastAsiaTheme="minorHAnsi" w:hAnsiTheme="minorHAnsi"/>
          <w:i/>
          <w:lang w:val="sq-AL"/>
        </w:rPr>
        <w:t>Grante 7 miliardë lekë</w:t>
      </w:r>
    </w:p>
    <w:p w:rsidR="00630D88" w:rsidRPr="009A1252" w:rsidRDefault="00630D88" w:rsidP="00503465">
      <w:pPr>
        <w:numPr>
          <w:ilvl w:val="0"/>
          <w:numId w:val="26"/>
        </w:numPr>
        <w:spacing w:after="120" w:line="276" w:lineRule="auto"/>
        <w:ind w:left="450" w:firstLine="0"/>
        <w:contextualSpacing/>
        <w:jc w:val="both"/>
        <w:rPr>
          <w:rFonts w:asciiTheme="minorHAnsi" w:eastAsiaTheme="minorHAnsi" w:hAnsiTheme="minorHAnsi"/>
          <w:i/>
          <w:lang w:val="sq-AL"/>
        </w:rPr>
      </w:pPr>
      <w:r w:rsidRPr="009A1252">
        <w:rPr>
          <w:rFonts w:asciiTheme="minorHAnsi" w:eastAsiaTheme="minorHAnsi" w:hAnsiTheme="minorHAnsi"/>
          <w:i/>
          <w:lang w:val="sq-AL"/>
        </w:rPr>
        <w:t>Shpenzime të buxhetit të shtetit 13 miliardë lekë</w:t>
      </w:r>
    </w:p>
    <w:p w:rsidR="00181163" w:rsidRPr="00181163" w:rsidRDefault="00181163" w:rsidP="002323A5">
      <w:pPr>
        <w:spacing w:line="276" w:lineRule="auto"/>
        <w:jc w:val="both"/>
        <w:rPr>
          <w:rFonts w:asciiTheme="minorHAnsi" w:eastAsiaTheme="minorHAnsi" w:hAnsiTheme="minorHAnsi"/>
          <w:sz w:val="8"/>
          <w:szCs w:val="8"/>
          <w:lang w:val="sq-AL"/>
        </w:rPr>
      </w:pPr>
    </w:p>
    <w:p w:rsidR="00630D88" w:rsidRPr="00C12590" w:rsidRDefault="00630D88" w:rsidP="00503465">
      <w:pPr>
        <w:pStyle w:val="ListParagraph"/>
        <w:widowControl w:val="0"/>
        <w:numPr>
          <w:ilvl w:val="0"/>
          <w:numId w:val="27"/>
        </w:numPr>
        <w:autoSpaceDE w:val="0"/>
        <w:autoSpaceDN w:val="0"/>
        <w:adjustRightInd w:val="0"/>
        <w:spacing w:after="120" w:line="276" w:lineRule="auto"/>
        <w:jc w:val="both"/>
        <w:rPr>
          <w:rFonts w:asciiTheme="minorHAnsi" w:hAnsiTheme="minorHAnsi"/>
          <w:lang w:val="sq-AL"/>
        </w:rPr>
      </w:pPr>
      <w:r w:rsidRPr="00C12590">
        <w:rPr>
          <w:rFonts w:asciiTheme="minorHAnsi" w:hAnsiTheme="minorHAnsi"/>
          <w:lang w:val="sq-AL"/>
        </w:rPr>
        <w:t>Nga Fondi i Rindërtimit (</w:t>
      </w:r>
      <w:r w:rsidRPr="00C12590">
        <w:rPr>
          <w:rFonts w:asciiTheme="minorHAnsi" w:hAnsiTheme="minorHAnsi"/>
          <w:i/>
          <w:u w:val="single"/>
          <w:lang w:val="sq-AL"/>
        </w:rPr>
        <w:t>shpenzime</w:t>
      </w:r>
      <w:r w:rsidRPr="00C12590">
        <w:rPr>
          <w:rFonts w:asciiTheme="minorHAnsi" w:hAnsiTheme="minorHAnsi"/>
          <w:lang w:val="sq-AL"/>
        </w:rPr>
        <w:t xml:space="preserve">) prej 13 miliardë lekë, deri tani janë akorduar rreth </w:t>
      </w:r>
      <w:r w:rsidR="003C5FC9" w:rsidRPr="00C12590">
        <w:rPr>
          <w:rFonts w:asciiTheme="minorHAnsi" w:hAnsiTheme="minorHAnsi"/>
          <w:lang w:val="sq-AL"/>
        </w:rPr>
        <w:t xml:space="preserve">                  </w:t>
      </w:r>
      <w:r w:rsidRPr="00C12590">
        <w:rPr>
          <w:rFonts w:asciiTheme="minorHAnsi" w:hAnsiTheme="minorHAnsi"/>
          <w:lang w:val="sq-AL"/>
        </w:rPr>
        <w:t xml:space="preserve">12.4 miliard lekë </w:t>
      </w:r>
      <w:r w:rsidR="003C5FC9" w:rsidRPr="00C12590">
        <w:rPr>
          <w:rFonts w:asciiTheme="minorHAnsi" w:hAnsiTheme="minorHAnsi"/>
          <w:lang w:val="sq-AL"/>
        </w:rPr>
        <w:t>p</w:t>
      </w:r>
      <w:r w:rsidR="002323A5">
        <w:rPr>
          <w:rFonts w:asciiTheme="minorHAnsi" w:hAnsiTheme="minorHAnsi"/>
          <w:lang w:val="sq-AL"/>
        </w:rPr>
        <w:t>ë</w:t>
      </w:r>
      <w:r w:rsidR="003C5FC9" w:rsidRPr="00C12590">
        <w:rPr>
          <w:rFonts w:asciiTheme="minorHAnsi" w:hAnsiTheme="minorHAnsi"/>
          <w:lang w:val="sq-AL"/>
        </w:rPr>
        <w:t xml:space="preserve">rmes </w:t>
      </w:r>
      <w:r w:rsidR="00C12590" w:rsidRPr="00C12590">
        <w:rPr>
          <w:rFonts w:asciiTheme="minorHAnsi" w:hAnsiTheme="minorHAnsi"/>
          <w:lang w:val="sq-AL"/>
        </w:rPr>
        <w:t xml:space="preserve">13 Vendimeve të Këshillit të Ministrave, </w:t>
      </w:r>
      <w:r w:rsidRPr="00C12590">
        <w:rPr>
          <w:rFonts w:asciiTheme="minorHAnsi" w:hAnsiTheme="minorHAnsi"/>
          <w:lang w:val="sq-AL"/>
        </w:rPr>
        <w:t xml:space="preserve">për procesin e rindërtimit/ndërtimit </w:t>
      </w:r>
      <w:r w:rsidR="00C12590" w:rsidRPr="00C12590">
        <w:rPr>
          <w:rFonts w:asciiTheme="minorHAnsi" w:hAnsiTheme="minorHAnsi"/>
          <w:lang w:val="sq-AL"/>
        </w:rPr>
        <w:t>pas d</w:t>
      </w:r>
      <w:r w:rsidR="002323A5">
        <w:rPr>
          <w:rFonts w:asciiTheme="minorHAnsi" w:hAnsiTheme="minorHAnsi"/>
          <w:lang w:val="sq-AL"/>
        </w:rPr>
        <w:t>ë</w:t>
      </w:r>
      <w:r w:rsidR="00C12590" w:rsidRPr="00C12590">
        <w:rPr>
          <w:rFonts w:asciiTheme="minorHAnsi" w:hAnsiTheme="minorHAnsi"/>
          <w:lang w:val="sq-AL"/>
        </w:rPr>
        <w:t xml:space="preserve">mtimeve </w:t>
      </w:r>
      <w:r w:rsidRPr="00C12590">
        <w:rPr>
          <w:rFonts w:asciiTheme="minorHAnsi" w:hAnsiTheme="minorHAnsi"/>
          <w:lang w:val="sq-AL"/>
        </w:rPr>
        <w:t>nga tërmeti i datës 26.11.2019.</w:t>
      </w:r>
    </w:p>
    <w:p w:rsidR="00C12590" w:rsidRPr="00C12590" w:rsidRDefault="00C12590" w:rsidP="00C12590">
      <w:pPr>
        <w:pStyle w:val="ListParagraph"/>
        <w:widowControl w:val="0"/>
        <w:autoSpaceDE w:val="0"/>
        <w:autoSpaceDN w:val="0"/>
        <w:adjustRightInd w:val="0"/>
        <w:spacing w:before="240" w:after="120" w:line="276" w:lineRule="auto"/>
        <w:ind w:left="450"/>
        <w:jc w:val="both"/>
        <w:rPr>
          <w:rFonts w:asciiTheme="minorHAnsi" w:hAnsiTheme="minorHAnsi"/>
          <w:sz w:val="8"/>
          <w:szCs w:val="8"/>
          <w:lang w:val="sq-AL"/>
        </w:rPr>
      </w:pPr>
    </w:p>
    <w:p w:rsidR="00630D88" w:rsidRPr="00C12590" w:rsidRDefault="00630D88" w:rsidP="00503465">
      <w:pPr>
        <w:pStyle w:val="ListParagraph"/>
        <w:widowControl w:val="0"/>
        <w:numPr>
          <w:ilvl w:val="0"/>
          <w:numId w:val="27"/>
        </w:numPr>
        <w:autoSpaceDE w:val="0"/>
        <w:autoSpaceDN w:val="0"/>
        <w:adjustRightInd w:val="0"/>
        <w:spacing w:before="240" w:after="120" w:line="276" w:lineRule="auto"/>
        <w:jc w:val="both"/>
        <w:rPr>
          <w:rFonts w:asciiTheme="minorHAnsi" w:hAnsiTheme="minorHAnsi"/>
          <w:lang w:val="sq-AL"/>
        </w:rPr>
      </w:pPr>
      <w:r w:rsidRPr="00C12590">
        <w:rPr>
          <w:rFonts w:asciiTheme="minorHAnsi" w:hAnsiTheme="minorHAnsi"/>
          <w:lang w:val="sq-AL"/>
        </w:rPr>
        <w:t>Nga Fondi i Rindërtimit (</w:t>
      </w:r>
      <w:r w:rsidR="003C5FC9" w:rsidRPr="00C12590">
        <w:rPr>
          <w:rFonts w:asciiTheme="minorHAnsi" w:hAnsiTheme="minorHAnsi"/>
          <w:i/>
          <w:u w:val="single"/>
          <w:lang w:val="sq-AL"/>
        </w:rPr>
        <w:t>g</w:t>
      </w:r>
      <w:r w:rsidRPr="00C12590">
        <w:rPr>
          <w:rFonts w:asciiTheme="minorHAnsi" w:hAnsiTheme="minorHAnsi"/>
          <w:i/>
          <w:u w:val="single"/>
          <w:lang w:val="sq-AL"/>
        </w:rPr>
        <w:t>rante</w:t>
      </w:r>
      <w:r w:rsidRPr="00C12590">
        <w:rPr>
          <w:rFonts w:asciiTheme="minorHAnsi" w:hAnsiTheme="minorHAnsi"/>
          <w:lang w:val="sq-AL"/>
        </w:rPr>
        <w:t xml:space="preserve">), </w:t>
      </w:r>
      <w:r w:rsidR="003C5FC9" w:rsidRPr="00C12590">
        <w:rPr>
          <w:rFonts w:asciiTheme="minorHAnsi" w:hAnsiTheme="minorHAnsi"/>
          <w:lang w:val="sq-AL"/>
        </w:rPr>
        <w:t>deri n</w:t>
      </w:r>
      <w:r w:rsidR="002323A5">
        <w:rPr>
          <w:rFonts w:asciiTheme="minorHAnsi" w:hAnsiTheme="minorHAnsi"/>
          <w:lang w:val="sq-AL"/>
        </w:rPr>
        <w:t>ë</w:t>
      </w:r>
      <w:r w:rsidR="003C5FC9" w:rsidRPr="00C12590">
        <w:rPr>
          <w:rFonts w:asciiTheme="minorHAnsi" w:hAnsiTheme="minorHAnsi"/>
          <w:lang w:val="sq-AL"/>
        </w:rPr>
        <w:t xml:space="preserve"> k</w:t>
      </w:r>
      <w:r w:rsidR="002323A5">
        <w:rPr>
          <w:rFonts w:asciiTheme="minorHAnsi" w:hAnsiTheme="minorHAnsi"/>
          <w:lang w:val="sq-AL"/>
        </w:rPr>
        <w:t>ë</w:t>
      </w:r>
      <w:r w:rsidR="003C5FC9" w:rsidRPr="00C12590">
        <w:rPr>
          <w:rFonts w:asciiTheme="minorHAnsi" w:hAnsiTheme="minorHAnsi"/>
          <w:lang w:val="sq-AL"/>
        </w:rPr>
        <w:t>t</w:t>
      </w:r>
      <w:r w:rsidR="002323A5">
        <w:rPr>
          <w:rFonts w:asciiTheme="minorHAnsi" w:hAnsiTheme="minorHAnsi"/>
          <w:lang w:val="sq-AL"/>
        </w:rPr>
        <w:t>ë</w:t>
      </w:r>
      <w:r w:rsidR="003C5FC9" w:rsidRPr="00C12590">
        <w:rPr>
          <w:rFonts w:asciiTheme="minorHAnsi" w:hAnsiTheme="minorHAnsi"/>
          <w:lang w:val="sq-AL"/>
        </w:rPr>
        <w:t xml:space="preserve"> moment </w:t>
      </w:r>
      <w:r w:rsidRPr="00C12590">
        <w:rPr>
          <w:rFonts w:asciiTheme="minorHAnsi" w:hAnsiTheme="minorHAnsi"/>
          <w:lang w:val="sq-AL"/>
        </w:rPr>
        <w:t>janë akorduar 510.2 milion lekë</w:t>
      </w:r>
      <w:r w:rsidR="00C12590">
        <w:rPr>
          <w:rFonts w:asciiTheme="minorHAnsi" w:hAnsiTheme="minorHAnsi"/>
          <w:lang w:val="sq-AL"/>
        </w:rPr>
        <w:t xml:space="preserve"> </w:t>
      </w:r>
      <w:r w:rsidR="00C12590" w:rsidRPr="00C12590">
        <w:rPr>
          <w:rFonts w:asciiTheme="minorHAnsi" w:hAnsiTheme="minorHAnsi"/>
          <w:lang w:val="sq-AL"/>
        </w:rPr>
        <w:t>p</w:t>
      </w:r>
      <w:r w:rsidR="002323A5">
        <w:rPr>
          <w:rFonts w:asciiTheme="minorHAnsi" w:hAnsiTheme="minorHAnsi"/>
          <w:lang w:val="sq-AL"/>
        </w:rPr>
        <w:t>ë</w:t>
      </w:r>
      <w:r w:rsidR="00C12590" w:rsidRPr="00C12590">
        <w:rPr>
          <w:rFonts w:asciiTheme="minorHAnsi" w:hAnsiTheme="minorHAnsi"/>
          <w:lang w:val="sq-AL"/>
        </w:rPr>
        <w:t>rmes 1 Vendim</w:t>
      </w:r>
      <w:r w:rsidR="00C12590">
        <w:rPr>
          <w:rFonts w:asciiTheme="minorHAnsi" w:hAnsiTheme="minorHAnsi"/>
          <w:lang w:val="sq-AL"/>
        </w:rPr>
        <w:t>i</w:t>
      </w:r>
      <w:r w:rsidR="00C12590" w:rsidRPr="00C12590">
        <w:rPr>
          <w:rFonts w:asciiTheme="minorHAnsi" w:hAnsiTheme="minorHAnsi"/>
          <w:lang w:val="sq-AL"/>
        </w:rPr>
        <w:t xml:space="preserve"> të Këshillit të Ministrave</w:t>
      </w:r>
      <w:r w:rsidR="00C12590">
        <w:rPr>
          <w:rFonts w:asciiTheme="minorHAnsi" w:hAnsiTheme="minorHAnsi"/>
          <w:lang w:val="sq-AL"/>
        </w:rPr>
        <w:t>,</w:t>
      </w:r>
      <w:r w:rsidRPr="00C12590">
        <w:rPr>
          <w:rFonts w:asciiTheme="minorHAnsi" w:hAnsiTheme="minorHAnsi"/>
          <w:lang w:val="sq-AL"/>
        </w:rPr>
        <w:t xml:space="preserve"> për financimin e rikonstruksionit të banesave individuale dhe njësive të banimit në ndërtesa në Bashkitë Kamëz</w:t>
      </w:r>
      <w:r w:rsidR="00C12590">
        <w:rPr>
          <w:rFonts w:asciiTheme="minorHAnsi" w:hAnsiTheme="minorHAnsi"/>
          <w:lang w:val="sq-AL"/>
        </w:rPr>
        <w:t xml:space="preserve"> e</w:t>
      </w:r>
      <w:r w:rsidRPr="00C12590">
        <w:rPr>
          <w:rFonts w:asciiTheme="minorHAnsi" w:hAnsiTheme="minorHAnsi"/>
          <w:lang w:val="sq-AL"/>
        </w:rPr>
        <w:t xml:space="preserve"> Kavajë.</w:t>
      </w:r>
    </w:p>
    <w:p w:rsidR="007F224E" w:rsidRDefault="00C12590" w:rsidP="00C12590">
      <w:pPr>
        <w:widowControl w:val="0"/>
        <w:autoSpaceDE w:val="0"/>
        <w:autoSpaceDN w:val="0"/>
        <w:adjustRightInd w:val="0"/>
        <w:spacing w:before="240" w:line="276" w:lineRule="auto"/>
        <w:jc w:val="both"/>
        <w:rPr>
          <w:rFonts w:asciiTheme="minorHAnsi" w:hAnsiTheme="minorHAnsi"/>
          <w:lang w:val="sq-AL"/>
        </w:rPr>
      </w:pPr>
      <w:r w:rsidRPr="00C12590">
        <w:rPr>
          <w:rFonts w:asciiTheme="minorHAnsi" w:hAnsiTheme="minorHAnsi"/>
          <w:i/>
          <w:u w:val="single"/>
          <w:lang w:val="sq-AL"/>
        </w:rPr>
        <w:t>KONTINGJENCA PËR RISQET E BORXHIT</w:t>
      </w:r>
      <w:r w:rsidRPr="00C12590">
        <w:rPr>
          <w:rFonts w:asciiTheme="minorHAnsi" w:hAnsiTheme="minorHAnsi"/>
          <w:lang w:val="sq-AL"/>
        </w:rPr>
        <w:t xml:space="preserve"> </w:t>
      </w:r>
      <w:r>
        <w:rPr>
          <w:rFonts w:asciiTheme="minorHAnsi" w:hAnsiTheme="minorHAnsi"/>
          <w:lang w:val="sq-AL"/>
        </w:rPr>
        <w:t>– P</w:t>
      </w:r>
      <w:r w:rsidR="002323A5">
        <w:rPr>
          <w:rFonts w:asciiTheme="minorHAnsi" w:hAnsiTheme="minorHAnsi"/>
          <w:lang w:val="sq-AL"/>
        </w:rPr>
        <w:t>ë</w:t>
      </w:r>
      <w:r>
        <w:rPr>
          <w:rFonts w:asciiTheme="minorHAnsi" w:hAnsiTheme="minorHAnsi"/>
          <w:lang w:val="sq-AL"/>
        </w:rPr>
        <w:t xml:space="preserve">r vitin 2020, ky fond </w:t>
      </w:r>
      <w:r w:rsidR="00630D88" w:rsidRPr="00C12590">
        <w:rPr>
          <w:rFonts w:asciiTheme="minorHAnsi" w:hAnsiTheme="minorHAnsi"/>
          <w:lang w:val="sq-AL"/>
        </w:rPr>
        <w:t>prej 4</w:t>
      </w:r>
      <w:r>
        <w:rPr>
          <w:rFonts w:asciiTheme="minorHAnsi" w:hAnsiTheme="minorHAnsi"/>
          <w:lang w:val="sq-AL"/>
        </w:rPr>
        <w:t xml:space="preserve"> </w:t>
      </w:r>
      <w:r w:rsidR="00630D88" w:rsidRPr="00C12590">
        <w:rPr>
          <w:rFonts w:asciiTheme="minorHAnsi" w:hAnsiTheme="minorHAnsi"/>
          <w:lang w:val="sq-AL"/>
        </w:rPr>
        <w:t xml:space="preserve">000 milionë lekësh </w:t>
      </w:r>
      <w:r>
        <w:rPr>
          <w:rFonts w:asciiTheme="minorHAnsi" w:hAnsiTheme="minorHAnsi"/>
          <w:lang w:val="sq-AL"/>
        </w:rPr>
        <w:t>q</w:t>
      </w:r>
      <w:r w:rsidR="002323A5">
        <w:rPr>
          <w:rFonts w:asciiTheme="minorHAnsi" w:hAnsiTheme="minorHAnsi"/>
          <w:lang w:val="sq-AL"/>
        </w:rPr>
        <w:t>ë</w:t>
      </w:r>
      <w:r>
        <w:rPr>
          <w:rFonts w:asciiTheme="minorHAnsi" w:hAnsiTheme="minorHAnsi"/>
          <w:lang w:val="sq-AL"/>
        </w:rPr>
        <w:t xml:space="preserve"> </w:t>
      </w:r>
      <w:r w:rsidR="00630D88" w:rsidRPr="00C12590">
        <w:rPr>
          <w:rFonts w:asciiTheme="minorHAnsi" w:hAnsiTheme="minorHAnsi"/>
          <w:lang w:val="sq-AL"/>
        </w:rPr>
        <w:t xml:space="preserve">përdoret nga </w:t>
      </w:r>
      <w:r>
        <w:rPr>
          <w:rFonts w:asciiTheme="minorHAnsi" w:hAnsiTheme="minorHAnsi"/>
          <w:lang w:val="sq-AL"/>
        </w:rPr>
        <w:t>m</w:t>
      </w:r>
      <w:r w:rsidR="00630D88" w:rsidRPr="00C12590">
        <w:rPr>
          <w:rFonts w:asciiTheme="minorHAnsi" w:hAnsiTheme="minorHAnsi"/>
          <w:lang w:val="sq-AL"/>
        </w:rPr>
        <w:t xml:space="preserve">inistri përgjegjës për </w:t>
      </w:r>
      <w:r>
        <w:rPr>
          <w:rFonts w:asciiTheme="minorHAnsi" w:hAnsiTheme="minorHAnsi"/>
          <w:lang w:val="sq-AL"/>
        </w:rPr>
        <w:t>f</w:t>
      </w:r>
      <w:r w:rsidR="00630D88" w:rsidRPr="00C12590">
        <w:rPr>
          <w:rFonts w:asciiTheme="minorHAnsi" w:hAnsiTheme="minorHAnsi"/>
          <w:lang w:val="sq-AL"/>
        </w:rPr>
        <w:t>inancat për të kompensuar rreziqe potenciale nga luhatjet në kurset e këmbimit ose normat e interesit, me ndikim në shpenzimet për interesa</w:t>
      </w:r>
      <w:r>
        <w:rPr>
          <w:rFonts w:asciiTheme="minorHAnsi" w:hAnsiTheme="minorHAnsi"/>
          <w:lang w:val="sq-AL"/>
        </w:rPr>
        <w:t>,</w:t>
      </w:r>
      <w:r w:rsidR="00630D88" w:rsidRPr="00C12590">
        <w:rPr>
          <w:rFonts w:asciiTheme="minorHAnsi" w:hAnsiTheme="minorHAnsi"/>
          <w:lang w:val="sq-AL"/>
        </w:rPr>
        <w:t xml:space="preserve"> </w:t>
      </w:r>
      <w:r w:rsidR="00630D88" w:rsidRPr="00C12590">
        <w:rPr>
          <w:rFonts w:asciiTheme="minorHAnsi" w:hAnsiTheme="minorHAnsi"/>
          <w:u w:val="single"/>
          <w:lang w:val="sq-AL"/>
        </w:rPr>
        <w:t>rezulton i papërdorur deri në 30.06.2020</w:t>
      </w:r>
      <w:r w:rsidR="00630D88" w:rsidRPr="00C12590">
        <w:rPr>
          <w:rFonts w:asciiTheme="minorHAnsi" w:hAnsiTheme="minorHAnsi"/>
          <w:lang w:val="sq-AL"/>
        </w:rPr>
        <w:t>.</w:t>
      </w:r>
    </w:p>
    <w:p w:rsidR="007F224E" w:rsidRPr="007F224E" w:rsidRDefault="007F224E" w:rsidP="00C12590">
      <w:pPr>
        <w:widowControl w:val="0"/>
        <w:autoSpaceDE w:val="0"/>
        <w:autoSpaceDN w:val="0"/>
        <w:adjustRightInd w:val="0"/>
        <w:spacing w:before="240" w:line="276" w:lineRule="auto"/>
        <w:jc w:val="both"/>
        <w:rPr>
          <w:rFonts w:asciiTheme="minorHAnsi" w:hAnsiTheme="minorHAnsi"/>
          <w:sz w:val="4"/>
          <w:szCs w:val="4"/>
          <w:lang w:val="sq-AL"/>
        </w:rPr>
      </w:pPr>
    </w:p>
    <w:p w:rsidR="00956F90" w:rsidRPr="0065598A" w:rsidRDefault="00956F90" w:rsidP="002334F6">
      <w:pPr>
        <w:pStyle w:val="Heading2"/>
      </w:pPr>
      <w:bookmarkStart w:id="75" w:name="_Toc44403612"/>
      <w:r w:rsidRPr="00D16E4B">
        <w:t>III.</w:t>
      </w:r>
      <w:r w:rsidR="00F30431" w:rsidRPr="00D16E4B">
        <w:t>4</w:t>
      </w:r>
      <w:r w:rsidRPr="00D16E4B">
        <w:tab/>
        <w:t>Pritshm</w:t>
      </w:r>
      <w:r w:rsidR="007E20C2" w:rsidRPr="00D16E4B">
        <w:t>ë</w:t>
      </w:r>
      <w:r w:rsidRPr="00D16E4B">
        <w:t>ri</w:t>
      </w:r>
      <w:r w:rsidR="00FC337D" w:rsidRPr="00D16E4B">
        <w:t>a</w:t>
      </w:r>
      <w:r w:rsidRPr="00D16E4B">
        <w:t xml:space="preserve"> e Shpenzimeve Buxhetore </w:t>
      </w:r>
      <w:r w:rsidR="00FC337D" w:rsidRPr="00D16E4B">
        <w:t>deri n</w:t>
      </w:r>
      <w:r w:rsidR="000960BA" w:rsidRPr="00D16E4B">
        <w:t>ë</w:t>
      </w:r>
      <w:r w:rsidR="00FC337D" w:rsidRPr="00D16E4B">
        <w:t xml:space="preserve"> fund t</w:t>
      </w:r>
      <w:r w:rsidR="000960BA" w:rsidRPr="00D16E4B">
        <w:t>ë</w:t>
      </w:r>
      <w:r w:rsidR="00FC337D" w:rsidRPr="00D16E4B">
        <w:t xml:space="preserve"> vitit</w:t>
      </w:r>
      <w:r w:rsidRPr="00D16E4B">
        <w:t xml:space="preserve"> 20</w:t>
      </w:r>
      <w:r w:rsidR="008E422C" w:rsidRPr="00D16E4B">
        <w:t>20</w:t>
      </w:r>
      <w:bookmarkEnd w:id="75"/>
    </w:p>
    <w:p w:rsidR="0092452B" w:rsidRPr="0092452B" w:rsidRDefault="0092452B" w:rsidP="0092452B">
      <w:pPr>
        <w:spacing w:line="276" w:lineRule="auto"/>
        <w:jc w:val="both"/>
        <w:rPr>
          <w:rFonts w:asciiTheme="minorHAnsi" w:hAnsiTheme="minorHAnsi"/>
          <w:sz w:val="8"/>
          <w:szCs w:val="8"/>
          <w:lang w:val="sq-AL"/>
        </w:rPr>
      </w:pPr>
    </w:p>
    <w:p w:rsidR="007E571D" w:rsidRDefault="00FC337D" w:rsidP="007E571D">
      <w:pPr>
        <w:spacing w:line="276" w:lineRule="auto"/>
        <w:jc w:val="both"/>
        <w:rPr>
          <w:rFonts w:asciiTheme="minorHAnsi" w:hAnsiTheme="minorHAnsi"/>
          <w:noProof/>
          <w:lang w:val="sq-AL"/>
        </w:rPr>
      </w:pPr>
      <w:r w:rsidRPr="0065598A">
        <w:rPr>
          <w:rFonts w:asciiTheme="minorHAnsi" w:hAnsiTheme="minorHAnsi"/>
          <w:lang w:val="sq-AL"/>
        </w:rPr>
        <w:t>Shpenzimet</w:t>
      </w:r>
      <w:r w:rsidRPr="0065598A">
        <w:rPr>
          <w:rFonts w:asciiTheme="minorHAnsi" w:hAnsiTheme="minorHAnsi"/>
          <w:noProof/>
          <w:lang w:val="sq-AL"/>
        </w:rPr>
        <w:t xml:space="preserve"> e p</w:t>
      </w:r>
      <w:r w:rsidR="000960BA" w:rsidRPr="0065598A">
        <w:rPr>
          <w:rFonts w:asciiTheme="minorHAnsi" w:hAnsiTheme="minorHAnsi"/>
          <w:noProof/>
          <w:lang w:val="sq-AL"/>
        </w:rPr>
        <w:t>ë</w:t>
      </w:r>
      <w:r w:rsidRPr="0065598A">
        <w:rPr>
          <w:rFonts w:asciiTheme="minorHAnsi" w:hAnsiTheme="minorHAnsi"/>
          <w:noProof/>
          <w:lang w:val="sq-AL"/>
        </w:rPr>
        <w:t>rgjithshme për vitin 20</w:t>
      </w:r>
      <w:r w:rsidR="00D16E4B">
        <w:rPr>
          <w:rFonts w:asciiTheme="minorHAnsi" w:hAnsiTheme="minorHAnsi"/>
          <w:noProof/>
          <w:lang w:val="sq-AL"/>
        </w:rPr>
        <w:t>20</w:t>
      </w:r>
      <w:r w:rsidRPr="0065598A">
        <w:rPr>
          <w:rFonts w:asciiTheme="minorHAnsi" w:hAnsiTheme="minorHAnsi"/>
          <w:noProof/>
          <w:lang w:val="sq-AL"/>
        </w:rPr>
        <w:t>, vlerësuar mbi bazën e ecuris</w:t>
      </w:r>
      <w:r w:rsidR="000960BA" w:rsidRPr="0065598A">
        <w:rPr>
          <w:rFonts w:asciiTheme="minorHAnsi" w:hAnsiTheme="minorHAnsi"/>
          <w:noProof/>
          <w:lang w:val="sq-AL"/>
        </w:rPr>
        <w:t>ë</w:t>
      </w:r>
      <w:r w:rsidRPr="0065598A">
        <w:rPr>
          <w:rFonts w:asciiTheme="minorHAnsi" w:hAnsiTheme="minorHAnsi"/>
          <w:noProof/>
          <w:lang w:val="sq-AL"/>
        </w:rPr>
        <w:t xml:space="preserve"> dhe performancës së tyre gjat</w:t>
      </w:r>
      <w:r w:rsidR="000960BA" w:rsidRPr="0065598A">
        <w:rPr>
          <w:rFonts w:asciiTheme="minorHAnsi" w:hAnsiTheme="minorHAnsi"/>
          <w:noProof/>
          <w:lang w:val="sq-AL"/>
        </w:rPr>
        <w:t>ë</w:t>
      </w:r>
      <w:r w:rsidRPr="0065598A">
        <w:rPr>
          <w:rFonts w:asciiTheme="minorHAnsi" w:hAnsiTheme="minorHAnsi"/>
          <w:noProof/>
          <w:lang w:val="sq-AL"/>
        </w:rPr>
        <w:t xml:space="preserve"> periudhës Janar-Maj 20</w:t>
      </w:r>
      <w:r w:rsidR="00D16E4B">
        <w:rPr>
          <w:rFonts w:asciiTheme="minorHAnsi" w:hAnsiTheme="minorHAnsi"/>
          <w:noProof/>
          <w:lang w:val="sq-AL"/>
        </w:rPr>
        <w:t>20</w:t>
      </w:r>
      <w:r w:rsidRPr="0065598A">
        <w:rPr>
          <w:rFonts w:asciiTheme="minorHAnsi" w:hAnsiTheme="minorHAnsi"/>
          <w:noProof/>
          <w:lang w:val="sq-AL"/>
        </w:rPr>
        <w:t>, paraqesin nj</w:t>
      </w:r>
      <w:r w:rsidR="000960BA" w:rsidRPr="0065598A">
        <w:rPr>
          <w:rFonts w:asciiTheme="minorHAnsi" w:hAnsiTheme="minorHAnsi"/>
          <w:noProof/>
          <w:lang w:val="sq-AL"/>
        </w:rPr>
        <w:t>ë</w:t>
      </w:r>
      <w:r w:rsidRPr="0065598A">
        <w:rPr>
          <w:rFonts w:asciiTheme="minorHAnsi" w:hAnsiTheme="minorHAnsi"/>
          <w:noProof/>
          <w:lang w:val="sq-AL"/>
        </w:rPr>
        <w:t xml:space="preserve"> pritshm</w:t>
      </w:r>
      <w:r w:rsidR="000960BA" w:rsidRPr="0065598A">
        <w:rPr>
          <w:rFonts w:asciiTheme="minorHAnsi" w:hAnsiTheme="minorHAnsi"/>
          <w:noProof/>
          <w:lang w:val="sq-AL"/>
        </w:rPr>
        <w:t>ë</w:t>
      </w:r>
      <w:r w:rsidRPr="0065598A">
        <w:rPr>
          <w:rFonts w:asciiTheme="minorHAnsi" w:hAnsiTheme="minorHAnsi"/>
          <w:noProof/>
          <w:lang w:val="sq-AL"/>
        </w:rPr>
        <w:t>ri p</w:t>
      </w:r>
      <w:r w:rsidR="000960BA" w:rsidRPr="0065598A">
        <w:rPr>
          <w:rFonts w:asciiTheme="minorHAnsi" w:hAnsiTheme="minorHAnsi"/>
          <w:noProof/>
          <w:lang w:val="sq-AL"/>
        </w:rPr>
        <w:t>ë</w:t>
      </w:r>
      <w:r w:rsidRPr="0065598A">
        <w:rPr>
          <w:rFonts w:asciiTheme="minorHAnsi" w:hAnsiTheme="minorHAnsi"/>
          <w:noProof/>
          <w:lang w:val="sq-AL"/>
        </w:rPr>
        <w:t>rgjith</w:t>
      </w:r>
      <w:r w:rsidR="000960BA" w:rsidRPr="0065598A">
        <w:rPr>
          <w:rFonts w:asciiTheme="minorHAnsi" w:hAnsiTheme="minorHAnsi"/>
          <w:noProof/>
          <w:lang w:val="sq-AL"/>
        </w:rPr>
        <w:t>ë</w:t>
      </w:r>
      <w:r w:rsidRPr="0065598A">
        <w:rPr>
          <w:rFonts w:asciiTheme="minorHAnsi" w:hAnsiTheme="minorHAnsi"/>
          <w:noProof/>
          <w:lang w:val="sq-AL"/>
        </w:rPr>
        <w:t>sisht n</w:t>
      </w:r>
      <w:r w:rsidR="000960BA" w:rsidRPr="0065598A">
        <w:rPr>
          <w:rFonts w:asciiTheme="minorHAnsi" w:hAnsiTheme="minorHAnsi"/>
          <w:noProof/>
          <w:lang w:val="sq-AL"/>
        </w:rPr>
        <w:t>ë</w:t>
      </w:r>
      <w:r w:rsidRPr="0065598A">
        <w:rPr>
          <w:rFonts w:asciiTheme="minorHAnsi" w:hAnsiTheme="minorHAnsi"/>
          <w:noProof/>
          <w:lang w:val="sq-AL"/>
        </w:rPr>
        <w:t xml:space="preserve"> linj</w:t>
      </w:r>
      <w:r w:rsidR="000960BA" w:rsidRPr="0065598A">
        <w:rPr>
          <w:rFonts w:asciiTheme="minorHAnsi" w:hAnsiTheme="minorHAnsi"/>
          <w:noProof/>
          <w:lang w:val="sq-AL"/>
        </w:rPr>
        <w:t>ë</w:t>
      </w:r>
      <w:r w:rsidRPr="0065598A">
        <w:rPr>
          <w:rFonts w:asciiTheme="minorHAnsi" w:hAnsiTheme="minorHAnsi"/>
          <w:noProof/>
          <w:lang w:val="sq-AL"/>
        </w:rPr>
        <w:t xml:space="preserve"> me parashik</w:t>
      </w:r>
      <w:r w:rsidR="00FA7107" w:rsidRPr="0065598A">
        <w:rPr>
          <w:rFonts w:asciiTheme="minorHAnsi" w:hAnsiTheme="minorHAnsi"/>
          <w:noProof/>
          <w:lang w:val="sq-AL"/>
        </w:rPr>
        <w:t>i</w:t>
      </w:r>
      <w:r w:rsidRPr="0065598A">
        <w:rPr>
          <w:rFonts w:asciiTheme="minorHAnsi" w:hAnsiTheme="minorHAnsi"/>
          <w:noProof/>
          <w:lang w:val="sq-AL"/>
        </w:rPr>
        <w:t xml:space="preserve">met ligjit </w:t>
      </w:r>
      <w:r w:rsidRPr="006C6319">
        <w:rPr>
          <w:rFonts w:asciiTheme="minorHAnsi" w:hAnsiTheme="minorHAnsi"/>
          <w:noProof/>
          <w:u w:val="single"/>
          <w:lang w:val="sq-AL"/>
        </w:rPr>
        <w:t>t</w:t>
      </w:r>
      <w:r w:rsidR="000960BA" w:rsidRPr="006C6319">
        <w:rPr>
          <w:rFonts w:asciiTheme="minorHAnsi" w:hAnsiTheme="minorHAnsi"/>
          <w:noProof/>
          <w:u w:val="single"/>
          <w:lang w:val="sq-AL"/>
        </w:rPr>
        <w:t>ë</w:t>
      </w:r>
      <w:r w:rsidRPr="006C6319">
        <w:rPr>
          <w:rFonts w:asciiTheme="minorHAnsi" w:hAnsiTheme="minorHAnsi"/>
          <w:noProof/>
          <w:u w:val="single"/>
          <w:lang w:val="sq-AL"/>
        </w:rPr>
        <w:t xml:space="preserve"> </w:t>
      </w:r>
      <w:r w:rsidR="00D16E4B" w:rsidRPr="006C6319">
        <w:rPr>
          <w:rFonts w:asciiTheme="minorHAnsi" w:hAnsiTheme="minorHAnsi"/>
          <w:noProof/>
          <w:u w:val="single"/>
          <w:lang w:val="sq-AL"/>
        </w:rPr>
        <w:t>rishikuar</w:t>
      </w:r>
      <w:r w:rsidR="00D16E4B">
        <w:rPr>
          <w:rFonts w:asciiTheme="minorHAnsi" w:hAnsiTheme="minorHAnsi"/>
          <w:noProof/>
          <w:lang w:val="sq-AL"/>
        </w:rPr>
        <w:t xml:space="preserve"> t</w:t>
      </w:r>
      <w:r w:rsidR="006C6319">
        <w:rPr>
          <w:rFonts w:asciiTheme="minorHAnsi" w:hAnsiTheme="minorHAnsi"/>
          <w:noProof/>
          <w:lang w:val="sq-AL"/>
        </w:rPr>
        <w:t>ë</w:t>
      </w:r>
      <w:r w:rsidR="00D16E4B">
        <w:rPr>
          <w:rFonts w:asciiTheme="minorHAnsi" w:hAnsiTheme="minorHAnsi"/>
          <w:noProof/>
          <w:lang w:val="sq-AL"/>
        </w:rPr>
        <w:t xml:space="preserve"> </w:t>
      </w:r>
      <w:r w:rsidRPr="0065598A">
        <w:rPr>
          <w:rFonts w:asciiTheme="minorHAnsi" w:hAnsiTheme="minorHAnsi"/>
          <w:noProof/>
          <w:lang w:val="sq-AL"/>
        </w:rPr>
        <w:t>buxhetit 20</w:t>
      </w:r>
      <w:r w:rsidR="00D16E4B">
        <w:rPr>
          <w:rFonts w:asciiTheme="minorHAnsi" w:hAnsiTheme="minorHAnsi"/>
          <w:noProof/>
          <w:lang w:val="sq-AL"/>
        </w:rPr>
        <w:t>20</w:t>
      </w:r>
      <w:r w:rsidR="00DB5C58">
        <w:rPr>
          <w:rFonts w:asciiTheme="minorHAnsi" w:hAnsiTheme="minorHAnsi"/>
          <w:noProof/>
          <w:lang w:val="sq-AL"/>
        </w:rPr>
        <w:t>.</w:t>
      </w:r>
      <w:r w:rsidR="00796E6A">
        <w:rPr>
          <w:rFonts w:asciiTheme="minorHAnsi" w:hAnsiTheme="minorHAnsi"/>
          <w:noProof/>
          <w:lang w:val="sq-AL"/>
        </w:rPr>
        <w:t xml:space="preserve"> </w:t>
      </w:r>
      <w:r w:rsidR="007E571D" w:rsidRPr="007E571D">
        <w:rPr>
          <w:rFonts w:asciiTheme="minorHAnsi" w:hAnsiTheme="minorHAnsi"/>
          <w:noProof/>
          <w:lang w:val="sq-AL"/>
        </w:rPr>
        <w:t>Shpenzimet kapitale, paraqiten disi nën pritshmëritë fillesatare për realizimin e planit vjetor. Për shkak të situatës së krijuar nga gjendja e Covid-19, për një pjesë të madhe të kontratave të investimeve janë pezulluar punimet. Pritet që me normalizimin e situatës punimet të rifillojnë, dhe kontratat të realizohen kundrejt planit vjetor, në gjysmën e dytë të vitit 2020. Sidoqoftë, një parashikim më i saktë lidhur me pritshmërinë e realizmit të tyre deri në fund të vitit 2019 do të jetë i mundur vetëm pas analizës së ecurisë 9 mujore të tyre. Kjo, duke konsideruar tremujorin e fundit të çdo viti buxhetor, si periudhën me performancë më të lartë përsa i përket investimeve publike në tërësi dhe atyre në infrastrukturë në veçanti.</w:t>
      </w:r>
    </w:p>
    <w:p w:rsidR="006C6319" w:rsidRPr="006C6319" w:rsidRDefault="006C6319" w:rsidP="006C6319">
      <w:pPr>
        <w:spacing w:line="276" w:lineRule="auto"/>
        <w:jc w:val="both"/>
        <w:rPr>
          <w:rFonts w:asciiTheme="minorHAnsi" w:hAnsiTheme="minorHAnsi"/>
          <w:noProof/>
          <w:sz w:val="8"/>
          <w:szCs w:val="8"/>
          <w:lang w:val="sq-AL"/>
        </w:rPr>
      </w:pPr>
    </w:p>
    <w:p w:rsidR="00DB5C58" w:rsidRPr="006C6319" w:rsidRDefault="00DB5C58" w:rsidP="006C6319">
      <w:pPr>
        <w:spacing w:line="276" w:lineRule="auto"/>
        <w:jc w:val="both"/>
        <w:rPr>
          <w:rFonts w:asciiTheme="minorHAnsi" w:hAnsiTheme="minorHAnsi"/>
          <w:lang w:val="sq-AL"/>
        </w:rPr>
      </w:pPr>
      <w:r w:rsidRPr="006C6319">
        <w:rPr>
          <w:rFonts w:asciiTheme="minorHAnsi" w:hAnsiTheme="minorHAnsi"/>
          <w:noProof/>
          <w:lang w:val="sq-AL"/>
        </w:rPr>
        <w:t>Sjellim n</w:t>
      </w:r>
      <w:r w:rsidR="006C6319">
        <w:rPr>
          <w:rFonts w:asciiTheme="minorHAnsi" w:hAnsiTheme="minorHAnsi"/>
          <w:noProof/>
          <w:lang w:val="sq-AL"/>
        </w:rPr>
        <w:t>ë</w:t>
      </w:r>
      <w:r w:rsidRPr="006C6319">
        <w:rPr>
          <w:rFonts w:asciiTheme="minorHAnsi" w:hAnsiTheme="minorHAnsi"/>
          <w:noProof/>
          <w:lang w:val="sq-AL"/>
        </w:rPr>
        <w:t xml:space="preserve"> v</w:t>
      </w:r>
      <w:r w:rsidR="006C6319">
        <w:rPr>
          <w:rFonts w:asciiTheme="minorHAnsi" w:hAnsiTheme="minorHAnsi"/>
          <w:noProof/>
          <w:lang w:val="sq-AL"/>
        </w:rPr>
        <w:t>ë</w:t>
      </w:r>
      <w:r w:rsidRPr="006C6319">
        <w:rPr>
          <w:rFonts w:asciiTheme="minorHAnsi" w:hAnsiTheme="minorHAnsi"/>
          <w:noProof/>
          <w:lang w:val="sq-AL"/>
        </w:rPr>
        <w:t>mendje se deri n</w:t>
      </w:r>
      <w:r w:rsidR="006C6319">
        <w:rPr>
          <w:rFonts w:asciiTheme="minorHAnsi" w:hAnsiTheme="minorHAnsi"/>
          <w:noProof/>
          <w:lang w:val="sq-AL"/>
        </w:rPr>
        <w:t>ë</w:t>
      </w:r>
      <w:r w:rsidRPr="006C6319">
        <w:rPr>
          <w:rFonts w:asciiTheme="minorHAnsi" w:hAnsiTheme="minorHAnsi"/>
          <w:noProof/>
          <w:lang w:val="sq-AL"/>
        </w:rPr>
        <w:t xml:space="preserve"> k</w:t>
      </w:r>
      <w:r w:rsidR="006C6319">
        <w:rPr>
          <w:rFonts w:asciiTheme="minorHAnsi" w:hAnsiTheme="minorHAnsi"/>
          <w:noProof/>
          <w:lang w:val="sq-AL"/>
        </w:rPr>
        <w:t>ë</w:t>
      </w:r>
      <w:r w:rsidRPr="006C6319">
        <w:rPr>
          <w:rFonts w:asciiTheme="minorHAnsi" w:hAnsiTheme="minorHAnsi"/>
          <w:noProof/>
          <w:lang w:val="sq-AL"/>
        </w:rPr>
        <w:t>t</w:t>
      </w:r>
      <w:r w:rsidR="006C6319">
        <w:rPr>
          <w:rFonts w:asciiTheme="minorHAnsi" w:hAnsiTheme="minorHAnsi"/>
          <w:noProof/>
          <w:lang w:val="sq-AL"/>
        </w:rPr>
        <w:t>ë</w:t>
      </w:r>
      <w:r w:rsidRPr="006C6319">
        <w:rPr>
          <w:rFonts w:asciiTheme="minorHAnsi" w:hAnsiTheme="minorHAnsi"/>
          <w:noProof/>
          <w:lang w:val="sq-AL"/>
        </w:rPr>
        <w:t xml:space="preserve"> moment, vetem gjat</w:t>
      </w:r>
      <w:r w:rsidR="006C6319">
        <w:rPr>
          <w:rFonts w:asciiTheme="minorHAnsi" w:hAnsiTheme="minorHAnsi"/>
          <w:noProof/>
          <w:lang w:val="sq-AL"/>
        </w:rPr>
        <w:t>ë</w:t>
      </w:r>
      <w:r w:rsidRPr="006C6319">
        <w:rPr>
          <w:rFonts w:asciiTheme="minorHAnsi" w:hAnsiTheme="minorHAnsi"/>
          <w:noProof/>
          <w:lang w:val="sq-AL"/>
        </w:rPr>
        <w:t xml:space="preserve"> dy mujorit mars-prill 2020, </w:t>
      </w:r>
      <w:r w:rsidRPr="006C6319">
        <w:rPr>
          <w:rFonts w:asciiTheme="minorHAnsi" w:hAnsiTheme="minorHAnsi"/>
          <w:lang w:val="sq-AL"/>
        </w:rPr>
        <w:t xml:space="preserve">ligji i buxhetit 2020 </w:t>
      </w:r>
      <w:r w:rsidR="00EB3166">
        <w:rPr>
          <w:rFonts w:asciiTheme="minorHAnsi" w:hAnsiTheme="minorHAnsi"/>
          <w:lang w:val="sq-AL"/>
        </w:rPr>
        <w:t xml:space="preserve">është rishikuar </w:t>
      </w:r>
      <w:r w:rsidR="00D16E4B" w:rsidRPr="006C6319">
        <w:rPr>
          <w:rFonts w:asciiTheme="minorHAnsi" w:hAnsiTheme="minorHAnsi"/>
          <w:lang w:val="sq-AL"/>
        </w:rPr>
        <w:t>dy her</w:t>
      </w:r>
      <w:r w:rsidR="006C6319">
        <w:rPr>
          <w:rFonts w:asciiTheme="minorHAnsi" w:hAnsiTheme="minorHAnsi"/>
          <w:lang w:val="sq-AL"/>
        </w:rPr>
        <w:t>ë</w:t>
      </w:r>
      <w:r w:rsidRPr="006C6319">
        <w:rPr>
          <w:rFonts w:asciiTheme="minorHAnsi" w:hAnsiTheme="minorHAnsi"/>
          <w:lang w:val="sq-AL"/>
        </w:rPr>
        <w:t>,</w:t>
      </w:r>
      <w:r w:rsidR="00D16E4B" w:rsidRPr="006C6319">
        <w:rPr>
          <w:rFonts w:asciiTheme="minorHAnsi" w:hAnsiTheme="minorHAnsi"/>
          <w:lang w:val="sq-AL"/>
        </w:rPr>
        <w:t xml:space="preserve"> </w:t>
      </w:r>
      <w:r w:rsidRPr="006C6319">
        <w:rPr>
          <w:rFonts w:asciiTheme="minorHAnsi" w:hAnsiTheme="minorHAnsi"/>
          <w:lang w:val="sq-AL"/>
        </w:rPr>
        <w:t>deri n</w:t>
      </w:r>
      <w:r w:rsidR="006C6319">
        <w:rPr>
          <w:rFonts w:asciiTheme="minorHAnsi" w:hAnsiTheme="minorHAnsi"/>
          <w:lang w:val="sq-AL"/>
        </w:rPr>
        <w:t>ë</w:t>
      </w:r>
      <w:r w:rsidRPr="006C6319">
        <w:rPr>
          <w:rFonts w:asciiTheme="minorHAnsi" w:hAnsiTheme="minorHAnsi"/>
          <w:lang w:val="sq-AL"/>
        </w:rPr>
        <w:t xml:space="preserve"> k</w:t>
      </w:r>
      <w:r w:rsidR="006C6319">
        <w:rPr>
          <w:rFonts w:asciiTheme="minorHAnsi" w:hAnsiTheme="minorHAnsi"/>
          <w:lang w:val="sq-AL"/>
        </w:rPr>
        <w:t>ë</w:t>
      </w:r>
      <w:r w:rsidRPr="006C6319">
        <w:rPr>
          <w:rFonts w:asciiTheme="minorHAnsi" w:hAnsiTheme="minorHAnsi"/>
          <w:lang w:val="sq-AL"/>
        </w:rPr>
        <w:t>t</w:t>
      </w:r>
      <w:r w:rsidR="006C6319">
        <w:rPr>
          <w:rFonts w:asciiTheme="minorHAnsi" w:hAnsiTheme="minorHAnsi"/>
          <w:lang w:val="sq-AL"/>
        </w:rPr>
        <w:t>ë</w:t>
      </w:r>
      <w:r w:rsidRPr="006C6319">
        <w:rPr>
          <w:rFonts w:asciiTheme="minorHAnsi" w:hAnsiTheme="minorHAnsi"/>
          <w:lang w:val="sq-AL"/>
        </w:rPr>
        <w:t xml:space="preserve"> moment, </w:t>
      </w:r>
      <w:r w:rsidR="00D16E4B" w:rsidRPr="006C6319">
        <w:rPr>
          <w:rFonts w:asciiTheme="minorHAnsi" w:hAnsiTheme="minorHAnsi"/>
          <w:lang w:val="sq-AL"/>
        </w:rPr>
        <w:t>p</w:t>
      </w:r>
      <w:r w:rsidR="006C6319">
        <w:rPr>
          <w:rFonts w:asciiTheme="minorHAnsi" w:hAnsiTheme="minorHAnsi"/>
          <w:lang w:val="sq-AL"/>
        </w:rPr>
        <w:t>ë</w:t>
      </w:r>
      <w:r w:rsidR="00D16E4B" w:rsidRPr="006C6319">
        <w:rPr>
          <w:rFonts w:asciiTheme="minorHAnsi" w:hAnsiTheme="minorHAnsi"/>
          <w:lang w:val="sq-AL"/>
        </w:rPr>
        <w:t>rkat</w:t>
      </w:r>
      <w:r w:rsidR="006C6319">
        <w:rPr>
          <w:rFonts w:asciiTheme="minorHAnsi" w:hAnsiTheme="minorHAnsi"/>
          <w:lang w:val="sq-AL"/>
        </w:rPr>
        <w:t>ë</w:t>
      </w:r>
      <w:r w:rsidR="00D16E4B" w:rsidRPr="006C6319">
        <w:rPr>
          <w:rFonts w:asciiTheme="minorHAnsi" w:hAnsiTheme="minorHAnsi"/>
          <w:lang w:val="sq-AL"/>
        </w:rPr>
        <w:t>sisht</w:t>
      </w:r>
      <w:r w:rsidRPr="006C6319">
        <w:rPr>
          <w:rFonts w:asciiTheme="minorHAnsi" w:hAnsiTheme="minorHAnsi"/>
          <w:lang w:val="sq-AL"/>
        </w:rPr>
        <w:t xml:space="preserve"> p</w:t>
      </w:r>
      <w:r w:rsidR="006C6319">
        <w:rPr>
          <w:rFonts w:asciiTheme="minorHAnsi" w:hAnsiTheme="minorHAnsi"/>
          <w:lang w:val="sq-AL"/>
        </w:rPr>
        <w:t>ë</w:t>
      </w:r>
      <w:r w:rsidRPr="006C6319">
        <w:rPr>
          <w:rFonts w:asciiTheme="minorHAnsi" w:hAnsiTheme="minorHAnsi"/>
          <w:lang w:val="sq-AL"/>
        </w:rPr>
        <w:t>rmes Aktit Normativ nr.6 dat</w:t>
      </w:r>
      <w:r w:rsidR="006C6319">
        <w:rPr>
          <w:rFonts w:asciiTheme="minorHAnsi" w:hAnsiTheme="minorHAnsi"/>
          <w:lang w:val="sq-AL"/>
        </w:rPr>
        <w:t>ë</w:t>
      </w:r>
      <w:r w:rsidRPr="006C6319">
        <w:rPr>
          <w:rFonts w:asciiTheme="minorHAnsi" w:hAnsiTheme="minorHAnsi"/>
          <w:lang w:val="sq-AL"/>
        </w:rPr>
        <w:t xml:space="preserve"> 21.03.2020 dhe Aktit Normativ nr.15 dat</w:t>
      </w:r>
      <w:r w:rsidR="006C6319">
        <w:rPr>
          <w:rFonts w:asciiTheme="minorHAnsi" w:hAnsiTheme="minorHAnsi"/>
          <w:lang w:val="sq-AL"/>
        </w:rPr>
        <w:t>ë</w:t>
      </w:r>
      <w:r w:rsidRPr="006C6319">
        <w:rPr>
          <w:rFonts w:asciiTheme="minorHAnsi" w:hAnsiTheme="minorHAnsi"/>
          <w:lang w:val="sq-AL"/>
        </w:rPr>
        <w:t xml:space="preserve"> 15.04.2020. M</w:t>
      </w:r>
      <w:r w:rsidR="006C6319">
        <w:rPr>
          <w:rFonts w:asciiTheme="minorHAnsi" w:hAnsiTheme="minorHAnsi"/>
          <w:lang w:val="sq-AL"/>
        </w:rPr>
        <w:t>ë</w:t>
      </w:r>
      <w:r w:rsidRPr="006C6319">
        <w:rPr>
          <w:rFonts w:asciiTheme="minorHAnsi" w:hAnsiTheme="minorHAnsi"/>
          <w:lang w:val="sq-AL"/>
        </w:rPr>
        <w:t xml:space="preserve"> konkretisht:</w:t>
      </w:r>
    </w:p>
    <w:p w:rsidR="0092452B" w:rsidRPr="0092452B" w:rsidRDefault="0092452B" w:rsidP="0092452B">
      <w:pPr>
        <w:spacing w:line="276" w:lineRule="auto"/>
        <w:jc w:val="both"/>
        <w:rPr>
          <w:rFonts w:asciiTheme="minorHAnsi" w:hAnsiTheme="minorHAnsi"/>
          <w:sz w:val="8"/>
          <w:szCs w:val="8"/>
          <w:u w:val="single"/>
          <w:lang w:val="sq-AL"/>
        </w:rPr>
      </w:pPr>
    </w:p>
    <w:p w:rsidR="00DB5C58" w:rsidRPr="006C6319" w:rsidRDefault="00DB5C58" w:rsidP="0092452B">
      <w:pPr>
        <w:spacing w:line="276" w:lineRule="auto"/>
        <w:jc w:val="both"/>
        <w:rPr>
          <w:rFonts w:asciiTheme="minorHAnsi" w:hAnsiTheme="minorHAnsi"/>
          <w:u w:val="single"/>
          <w:lang w:val="sq-AL"/>
        </w:rPr>
      </w:pPr>
      <w:r w:rsidRPr="006C6319">
        <w:rPr>
          <w:rFonts w:asciiTheme="minorHAnsi" w:hAnsiTheme="minorHAnsi"/>
          <w:u w:val="single"/>
          <w:lang w:val="sq-AL"/>
        </w:rPr>
        <w:t>Akti Normativ nr.6 dat</w:t>
      </w:r>
      <w:r w:rsidR="006C6319">
        <w:rPr>
          <w:rFonts w:asciiTheme="minorHAnsi" w:hAnsiTheme="minorHAnsi"/>
          <w:u w:val="single"/>
          <w:lang w:val="sq-AL"/>
        </w:rPr>
        <w:t>ë</w:t>
      </w:r>
      <w:r w:rsidRPr="006C6319">
        <w:rPr>
          <w:rFonts w:asciiTheme="minorHAnsi" w:hAnsiTheme="minorHAnsi"/>
          <w:u w:val="single"/>
          <w:lang w:val="sq-AL"/>
        </w:rPr>
        <w:t xml:space="preserve"> 21.03.2020, pati si q</w:t>
      </w:r>
      <w:r w:rsidR="006C6319">
        <w:rPr>
          <w:rFonts w:asciiTheme="minorHAnsi" w:hAnsiTheme="minorHAnsi"/>
          <w:u w:val="single"/>
          <w:lang w:val="sq-AL"/>
        </w:rPr>
        <w:t>ë</w:t>
      </w:r>
      <w:r w:rsidRPr="006C6319">
        <w:rPr>
          <w:rFonts w:asciiTheme="minorHAnsi" w:hAnsiTheme="minorHAnsi"/>
          <w:u w:val="single"/>
          <w:lang w:val="sq-AL"/>
        </w:rPr>
        <w:t>llim:</w:t>
      </w:r>
    </w:p>
    <w:p w:rsidR="00E23D84" w:rsidRDefault="00E23D84" w:rsidP="00796E6A">
      <w:pPr>
        <w:numPr>
          <w:ilvl w:val="0"/>
          <w:numId w:val="30"/>
        </w:numPr>
        <w:ind w:left="450"/>
        <w:contextualSpacing/>
        <w:jc w:val="both"/>
        <w:rPr>
          <w:rFonts w:asciiTheme="minorHAnsi" w:hAnsiTheme="minorHAnsi"/>
          <w:i/>
          <w:lang w:val="sq-AL"/>
        </w:rPr>
      </w:pPr>
      <w:r w:rsidRPr="00E23D84">
        <w:rPr>
          <w:rFonts w:asciiTheme="minorHAnsi" w:hAnsiTheme="minorHAnsi"/>
          <w:i/>
          <w:lang w:val="sq-AL"/>
        </w:rPr>
        <w:t>Të akordojë një fond prej 6.5 miliardë lekë në zërin e ri “Kontigjenca per paketen sociale     anti-COVID19” si paket</w:t>
      </w:r>
      <w:r w:rsidR="00E02DC5">
        <w:rPr>
          <w:rFonts w:asciiTheme="minorHAnsi" w:hAnsiTheme="minorHAnsi"/>
          <w:i/>
          <w:lang w:val="sq-AL"/>
        </w:rPr>
        <w:t>ë</w:t>
      </w:r>
      <w:r w:rsidRPr="00E23D84">
        <w:rPr>
          <w:rFonts w:asciiTheme="minorHAnsi" w:hAnsiTheme="minorHAnsi"/>
          <w:i/>
          <w:lang w:val="sq-AL"/>
        </w:rPr>
        <w:t xml:space="preserve"> e par</w:t>
      </w:r>
      <w:r w:rsidR="00E02DC5">
        <w:rPr>
          <w:rFonts w:asciiTheme="minorHAnsi" w:hAnsiTheme="minorHAnsi"/>
          <w:i/>
          <w:lang w:val="sq-AL"/>
        </w:rPr>
        <w:t>ë</w:t>
      </w:r>
      <w:r w:rsidRPr="00E23D84">
        <w:rPr>
          <w:rFonts w:asciiTheme="minorHAnsi" w:hAnsiTheme="minorHAnsi"/>
          <w:i/>
          <w:lang w:val="sq-AL"/>
        </w:rPr>
        <w:t xml:space="preserve"> sociale, e cila përdoret me Vendim të Këshillit të Ministrave. Ky fond i dedikohet financimit të masave me karakter social, në funksion të lehtësimit dhe mbështetjes së punëmarrësve dhe/ose shtresave të tjera të prekura nga pezullimi i proçeseve të punës në shkallë vendi</w:t>
      </w:r>
      <w:r w:rsidR="00796E6A">
        <w:rPr>
          <w:rFonts w:asciiTheme="minorHAnsi" w:hAnsiTheme="minorHAnsi"/>
          <w:i/>
          <w:lang w:val="sq-AL"/>
        </w:rPr>
        <w:t>.</w:t>
      </w:r>
    </w:p>
    <w:p w:rsidR="00E23D84" w:rsidRPr="00E23D84" w:rsidRDefault="00E23D84" w:rsidP="00503465">
      <w:pPr>
        <w:numPr>
          <w:ilvl w:val="0"/>
          <w:numId w:val="30"/>
        </w:numPr>
        <w:spacing w:line="276" w:lineRule="auto"/>
        <w:ind w:left="450"/>
        <w:contextualSpacing/>
        <w:jc w:val="both"/>
        <w:rPr>
          <w:rFonts w:asciiTheme="minorHAnsi" w:hAnsiTheme="minorHAnsi"/>
          <w:i/>
          <w:lang w:val="sq-AL"/>
        </w:rPr>
      </w:pPr>
      <w:r w:rsidRPr="00E23D84">
        <w:rPr>
          <w:rFonts w:asciiTheme="minorHAnsi" w:hAnsiTheme="minorHAnsi"/>
          <w:i/>
          <w:lang w:val="sq-AL"/>
        </w:rPr>
        <w:lastRenderedPageBreak/>
        <w:t xml:space="preserve">Miratimin </w:t>
      </w:r>
      <w:r>
        <w:rPr>
          <w:rFonts w:asciiTheme="minorHAnsi" w:hAnsiTheme="minorHAnsi"/>
          <w:i/>
          <w:lang w:val="sq-AL"/>
        </w:rPr>
        <w:t>e</w:t>
      </w:r>
      <w:r w:rsidRPr="00E23D84">
        <w:rPr>
          <w:rFonts w:asciiTheme="minorHAnsi" w:hAnsiTheme="minorHAnsi"/>
          <w:i/>
          <w:lang w:val="sq-AL"/>
        </w:rPr>
        <w:t xml:space="preserve"> mbeshtetj</w:t>
      </w:r>
      <w:r>
        <w:rPr>
          <w:rFonts w:asciiTheme="minorHAnsi" w:hAnsiTheme="minorHAnsi"/>
          <w:i/>
          <w:lang w:val="sq-AL"/>
        </w:rPr>
        <w:t>es</w:t>
      </w:r>
      <w:r w:rsidRPr="00E23D84">
        <w:rPr>
          <w:rFonts w:asciiTheme="minorHAnsi" w:hAnsiTheme="minorHAnsi"/>
          <w:i/>
          <w:lang w:val="sq-AL"/>
        </w:rPr>
        <w:t xml:space="preserve"> per bisnesin, ne formen e instrumentit të Garancisë Sovrane</w:t>
      </w:r>
      <w:r>
        <w:rPr>
          <w:rFonts w:asciiTheme="minorHAnsi" w:hAnsiTheme="minorHAnsi"/>
          <w:i/>
          <w:lang w:val="sq-AL"/>
        </w:rPr>
        <w:t>,</w:t>
      </w:r>
      <w:r w:rsidRPr="00E23D84">
        <w:rPr>
          <w:rFonts w:asciiTheme="minorHAnsi" w:hAnsiTheme="minorHAnsi"/>
          <w:i/>
          <w:lang w:val="sq-AL"/>
        </w:rPr>
        <w:t xml:space="preserve"> në masën 11 miliardë lekë (100 milionë USD), si garanci për kompanitë që u gjenden përballë vështirësisë për pagesën e pagave të punonjësve.</w:t>
      </w:r>
    </w:p>
    <w:p w:rsidR="006C6319" w:rsidRDefault="006C6319" w:rsidP="00503465">
      <w:pPr>
        <w:numPr>
          <w:ilvl w:val="0"/>
          <w:numId w:val="30"/>
        </w:numPr>
        <w:spacing w:line="276" w:lineRule="auto"/>
        <w:ind w:left="450"/>
        <w:contextualSpacing/>
        <w:jc w:val="both"/>
        <w:rPr>
          <w:rFonts w:asciiTheme="minorHAnsi" w:hAnsiTheme="minorHAnsi"/>
          <w:i/>
          <w:lang w:val="sq-AL"/>
        </w:rPr>
      </w:pPr>
      <w:r w:rsidRPr="006C6319">
        <w:rPr>
          <w:rFonts w:asciiTheme="minorHAnsi" w:hAnsiTheme="minorHAnsi"/>
          <w:i/>
          <w:lang w:val="sq-AL"/>
        </w:rPr>
        <w:t xml:space="preserve">Alokimin e fondeve të nevojshme buxhetore për përballimin të situatës emergjente të krijuar nga Pandemia COVID-19, përmes financimit të sektorit te shendetesise per pajisje, medikamente, materiale mjekësore dhe sherbimet e tjera te nevojshme, si dhe financimin e paketave sociale, në kuadër të saj. </w:t>
      </w:r>
    </w:p>
    <w:p w:rsidR="006C6319" w:rsidRPr="006C6319" w:rsidRDefault="006C6319" w:rsidP="00503465">
      <w:pPr>
        <w:numPr>
          <w:ilvl w:val="0"/>
          <w:numId w:val="30"/>
        </w:numPr>
        <w:spacing w:line="276" w:lineRule="auto"/>
        <w:ind w:left="450"/>
        <w:contextualSpacing/>
        <w:jc w:val="both"/>
        <w:rPr>
          <w:rFonts w:asciiTheme="minorHAnsi" w:hAnsiTheme="minorHAnsi"/>
          <w:i/>
          <w:lang w:val="sq-AL"/>
        </w:rPr>
      </w:pPr>
      <w:r w:rsidRPr="006C6319">
        <w:rPr>
          <w:rFonts w:asciiTheme="minorHAnsi" w:hAnsiTheme="minorHAnsi"/>
          <w:i/>
          <w:lang w:val="sq-AL"/>
        </w:rPr>
        <w:t xml:space="preserve">Të reflektojë reduktimin në masën 20 miliardë lekë, të zërit “Të ardhura tatimore”, si pasojë e ngadalësimit të pritshëm në mbledhjen e tyre.  </w:t>
      </w:r>
    </w:p>
    <w:p w:rsidR="006C6319" w:rsidRPr="006C6319" w:rsidRDefault="006C6319" w:rsidP="00503465">
      <w:pPr>
        <w:numPr>
          <w:ilvl w:val="0"/>
          <w:numId w:val="30"/>
        </w:numPr>
        <w:spacing w:line="276" w:lineRule="auto"/>
        <w:ind w:left="450"/>
        <w:contextualSpacing/>
        <w:jc w:val="both"/>
        <w:rPr>
          <w:rFonts w:asciiTheme="minorHAnsi" w:hAnsiTheme="minorHAnsi"/>
          <w:i/>
          <w:lang w:val="sq-AL"/>
        </w:rPr>
      </w:pPr>
      <w:r w:rsidRPr="006C6319">
        <w:rPr>
          <w:rFonts w:asciiTheme="minorHAnsi" w:hAnsiTheme="minorHAnsi"/>
          <w:i/>
          <w:lang w:val="sq-AL"/>
        </w:rPr>
        <w:t>Të reflektojë rritjen e shpenzimeve të përgjithshme,buxhetore në masën 9 miliardë lekë ku, perfshire edhe rialokimet e brendshme, mbeshtetja financiare per masat Anti-Covid 19 arrin ne 12 miliarde leke.</w:t>
      </w:r>
    </w:p>
    <w:p w:rsidR="006C6319" w:rsidRPr="006C6319" w:rsidRDefault="006C6319" w:rsidP="00503465">
      <w:pPr>
        <w:numPr>
          <w:ilvl w:val="0"/>
          <w:numId w:val="30"/>
        </w:numPr>
        <w:spacing w:line="276" w:lineRule="auto"/>
        <w:ind w:left="450"/>
        <w:contextualSpacing/>
        <w:jc w:val="both"/>
        <w:rPr>
          <w:rFonts w:asciiTheme="minorHAnsi" w:hAnsiTheme="minorHAnsi"/>
          <w:i/>
          <w:lang w:val="sq-AL"/>
        </w:rPr>
      </w:pPr>
      <w:r w:rsidRPr="006C6319">
        <w:rPr>
          <w:rFonts w:asciiTheme="minorHAnsi" w:hAnsiTheme="minorHAnsi"/>
          <w:i/>
          <w:lang w:val="sq-AL"/>
        </w:rPr>
        <w:t xml:space="preserve">Të reflektojë për rrjedhojë, rritjen e defiçitit buxhetor në nivelin 68.7 miliarde leke, ose 3.9 përqind të PBB, nga përkatësisht 39.7 miliard lekë ose 2.2% e PBB që ishin sipas buxhetit fillestar. </w:t>
      </w:r>
    </w:p>
    <w:p w:rsidR="006C6319" w:rsidRDefault="006C6319" w:rsidP="00503465">
      <w:pPr>
        <w:numPr>
          <w:ilvl w:val="0"/>
          <w:numId w:val="30"/>
        </w:numPr>
        <w:spacing w:line="276" w:lineRule="auto"/>
        <w:ind w:left="450"/>
        <w:contextualSpacing/>
        <w:jc w:val="both"/>
        <w:rPr>
          <w:rFonts w:asciiTheme="minorHAnsi" w:hAnsiTheme="minorHAnsi"/>
          <w:i/>
          <w:lang w:val="sq-AL"/>
        </w:rPr>
      </w:pPr>
      <w:r w:rsidRPr="006C6319">
        <w:rPr>
          <w:rFonts w:asciiTheme="minorHAnsi" w:hAnsiTheme="minorHAnsi"/>
          <w:i/>
          <w:lang w:val="sq-AL"/>
        </w:rPr>
        <w:t xml:space="preserve">Të reflektojë për rrjedhojë, rritjen e borxhit publik total në nivelin e pritur prej rreth 68.8% e PBB, nga 65.4% të PBB që pritej sipas buxhetit fillestar. </w:t>
      </w:r>
    </w:p>
    <w:p w:rsidR="0092452B" w:rsidRPr="0092452B" w:rsidRDefault="0092452B" w:rsidP="00503465">
      <w:pPr>
        <w:numPr>
          <w:ilvl w:val="1"/>
          <w:numId w:val="31"/>
        </w:numPr>
        <w:spacing w:line="276" w:lineRule="auto"/>
        <w:ind w:left="900"/>
        <w:contextualSpacing/>
        <w:jc w:val="both"/>
        <w:rPr>
          <w:rFonts w:asciiTheme="minorHAnsi" w:hAnsiTheme="minorHAnsi"/>
          <w:i/>
          <w:lang w:val="sq-AL"/>
        </w:rPr>
      </w:pPr>
      <w:r w:rsidRPr="0092452B">
        <w:rPr>
          <w:rFonts w:asciiTheme="minorHAnsi" w:hAnsiTheme="minorHAnsi"/>
          <w:i/>
          <w:lang w:val="sq-AL"/>
        </w:rPr>
        <w:t xml:space="preserve">Rritja e borxhit publik total të pritshëm </w:t>
      </w:r>
      <w:r w:rsidR="00C16CE3" w:rsidRPr="0092452B">
        <w:rPr>
          <w:rFonts w:asciiTheme="minorHAnsi" w:hAnsiTheme="minorHAnsi"/>
          <w:i/>
          <w:lang w:val="sq-AL"/>
        </w:rPr>
        <w:t xml:space="preserve">në këtë </w:t>
      </w:r>
      <w:r w:rsidR="00C16CE3">
        <w:rPr>
          <w:rFonts w:asciiTheme="minorHAnsi" w:hAnsiTheme="minorHAnsi"/>
          <w:i/>
          <w:lang w:val="sq-AL"/>
        </w:rPr>
        <w:t>AN,</w:t>
      </w:r>
      <w:r w:rsidR="00C16CE3" w:rsidRPr="0092452B">
        <w:rPr>
          <w:rFonts w:asciiTheme="minorHAnsi" w:hAnsiTheme="minorHAnsi"/>
          <w:i/>
          <w:lang w:val="sq-AL"/>
        </w:rPr>
        <w:t xml:space="preserve"> </w:t>
      </w:r>
      <w:r w:rsidRPr="0092452B">
        <w:rPr>
          <w:rFonts w:asciiTheme="minorHAnsi" w:hAnsiTheme="minorHAnsi"/>
          <w:i/>
          <w:lang w:val="sq-AL"/>
        </w:rPr>
        <w:t>si raport ndaj PBB</w:t>
      </w:r>
      <w:r w:rsidR="00C16CE3">
        <w:rPr>
          <w:rFonts w:asciiTheme="minorHAnsi" w:hAnsiTheme="minorHAnsi"/>
          <w:i/>
          <w:lang w:val="sq-AL"/>
        </w:rPr>
        <w:t>,</w:t>
      </w:r>
      <w:r w:rsidRPr="0092452B">
        <w:rPr>
          <w:rFonts w:asciiTheme="minorHAnsi" w:hAnsiTheme="minorHAnsi"/>
          <w:i/>
          <w:lang w:val="sq-AL"/>
        </w:rPr>
        <w:t xml:space="preserve"> kundrejt buxhetit fillestar reflekton</w:t>
      </w:r>
      <w:r w:rsidR="00C16CE3">
        <w:rPr>
          <w:rFonts w:asciiTheme="minorHAnsi" w:hAnsiTheme="minorHAnsi"/>
          <w:i/>
          <w:lang w:val="sq-AL"/>
        </w:rPr>
        <w:t>:</w:t>
      </w:r>
      <w:r w:rsidRPr="0092452B">
        <w:rPr>
          <w:rFonts w:asciiTheme="minorHAnsi" w:hAnsiTheme="minorHAnsi"/>
          <w:i/>
          <w:lang w:val="sq-AL"/>
        </w:rPr>
        <w:t xml:space="preserve"> (i) rritjen e deficitit buxhetor dhe huamarrjes totale neto; (ii) rritjen e stokut të pritshëm të borxhit të garantuar; dhe (iii) reduktimin e PBB nominale të parashikuar.  </w:t>
      </w:r>
    </w:p>
    <w:p w:rsidR="0092452B" w:rsidRDefault="0092452B" w:rsidP="00503465">
      <w:pPr>
        <w:numPr>
          <w:ilvl w:val="1"/>
          <w:numId w:val="31"/>
        </w:numPr>
        <w:spacing w:line="276" w:lineRule="auto"/>
        <w:ind w:left="900"/>
        <w:contextualSpacing/>
        <w:jc w:val="both"/>
        <w:rPr>
          <w:rFonts w:asciiTheme="minorHAnsi" w:hAnsiTheme="minorHAnsi"/>
          <w:i/>
          <w:lang w:val="sq-AL"/>
        </w:rPr>
      </w:pPr>
      <w:r w:rsidRPr="0092452B">
        <w:rPr>
          <w:rFonts w:asciiTheme="minorHAnsi" w:hAnsiTheme="minorHAnsi"/>
          <w:i/>
          <w:lang w:val="sq-AL"/>
        </w:rPr>
        <w:t xml:space="preserve">Ndërkohë, ndryshe nga rregulli fiskal i përcaktuar në </w:t>
      </w:r>
      <w:r w:rsidR="00C16CE3">
        <w:rPr>
          <w:rFonts w:asciiTheme="minorHAnsi" w:hAnsiTheme="minorHAnsi"/>
          <w:i/>
          <w:lang w:val="sq-AL"/>
        </w:rPr>
        <w:t>LOB</w:t>
      </w:r>
      <w:r w:rsidRPr="0092452B">
        <w:rPr>
          <w:rFonts w:asciiTheme="minorHAnsi" w:hAnsiTheme="minorHAnsi"/>
          <w:i/>
          <w:lang w:val="sq-AL"/>
        </w:rPr>
        <w:t xml:space="preserve"> për targetimin e një niveli të borxhit publik më të ulët se sa një vit më parë, devijimi i përkohshëm nga ky rregull fiskal në këtë </w:t>
      </w:r>
      <w:r w:rsidR="00C16CE3">
        <w:rPr>
          <w:rFonts w:asciiTheme="minorHAnsi" w:hAnsiTheme="minorHAnsi"/>
          <w:i/>
          <w:lang w:val="sq-AL"/>
        </w:rPr>
        <w:t>AN</w:t>
      </w:r>
      <w:r w:rsidRPr="0092452B">
        <w:rPr>
          <w:rFonts w:asciiTheme="minorHAnsi" w:hAnsiTheme="minorHAnsi"/>
          <w:i/>
          <w:lang w:val="sq-AL"/>
        </w:rPr>
        <w:t>, ku borxhi publik i pritshëm 2020 prej rreth 68.8% e PBB është më i lartë se sa ai i vitit 2019 prej 65.9% të PBB, është në përputhje me një prej rasteve të rrethanave të jashtëzakonshme përc</w:t>
      </w:r>
      <w:r w:rsidR="00C16CE3">
        <w:rPr>
          <w:rFonts w:asciiTheme="minorHAnsi" w:hAnsiTheme="minorHAnsi"/>
          <w:i/>
          <w:lang w:val="sq-AL"/>
        </w:rPr>
        <w:t>a</w:t>
      </w:r>
      <w:r w:rsidRPr="0092452B">
        <w:rPr>
          <w:rFonts w:asciiTheme="minorHAnsi" w:hAnsiTheme="minorHAnsi"/>
          <w:i/>
          <w:lang w:val="sq-AL"/>
        </w:rPr>
        <w:t xml:space="preserve">ktuar në  </w:t>
      </w:r>
      <w:r w:rsidR="00C16CE3">
        <w:rPr>
          <w:rFonts w:asciiTheme="minorHAnsi" w:hAnsiTheme="minorHAnsi"/>
          <w:i/>
          <w:lang w:val="sq-AL"/>
        </w:rPr>
        <w:t>N</w:t>
      </w:r>
      <w:r w:rsidRPr="0092452B">
        <w:rPr>
          <w:rFonts w:asciiTheme="minorHAnsi" w:hAnsiTheme="minorHAnsi"/>
          <w:i/>
          <w:lang w:val="sq-AL"/>
        </w:rPr>
        <w:t>enin 4//4</w:t>
      </w:r>
      <w:r w:rsidR="00C16CE3">
        <w:rPr>
          <w:rFonts w:asciiTheme="minorHAnsi" w:hAnsiTheme="minorHAnsi"/>
          <w:i/>
          <w:lang w:val="sq-AL"/>
        </w:rPr>
        <w:t xml:space="preserve">, </w:t>
      </w:r>
      <w:r w:rsidRPr="0092452B">
        <w:rPr>
          <w:rFonts w:asciiTheme="minorHAnsi" w:hAnsiTheme="minorHAnsi"/>
          <w:i/>
          <w:lang w:val="sq-AL"/>
        </w:rPr>
        <w:t xml:space="preserve">pika (a) e </w:t>
      </w:r>
      <w:r w:rsidR="00C16CE3">
        <w:rPr>
          <w:rFonts w:asciiTheme="minorHAnsi" w:hAnsiTheme="minorHAnsi"/>
          <w:i/>
          <w:lang w:val="sq-AL"/>
        </w:rPr>
        <w:t>LOB</w:t>
      </w:r>
      <w:r w:rsidRPr="0092452B">
        <w:rPr>
          <w:rFonts w:asciiTheme="minorHAnsi" w:hAnsiTheme="minorHAnsi"/>
          <w:i/>
          <w:lang w:val="sq-AL"/>
        </w:rPr>
        <w:t xml:space="preserve"> (Ligji </w:t>
      </w:r>
      <w:r w:rsidR="00C16CE3">
        <w:rPr>
          <w:rFonts w:asciiTheme="minorHAnsi" w:hAnsiTheme="minorHAnsi"/>
          <w:i/>
          <w:lang w:val="sq-AL"/>
        </w:rPr>
        <w:t>n</w:t>
      </w:r>
      <w:r w:rsidRPr="0092452B">
        <w:rPr>
          <w:rFonts w:asciiTheme="minorHAnsi" w:hAnsiTheme="minorHAnsi"/>
          <w:i/>
          <w:lang w:val="sq-AL"/>
        </w:rPr>
        <w:t>r.9936 datë 26.</w:t>
      </w:r>
      <w:r w:rsidR="00C16CE3">
        <w:rPr>
          <w:rFonts w:asciiTheme="minorHAnsi" w:hAnsiTheme="minorHAnsi"/>
          <w:i/>
          <w:lang w:val="sq-AL"/>
        </w:rPr>
        <w:t>0</w:t>
      </w:r>
      <w:r w:rsidRPr="0092452B">
        <w:rPr>
          <w:rFonts w:asciiTheme="minorHAnsi" w:hAnsiTheme="minorHAnsi"/>
          <w:i/>
          <w:lang w:val="sq-AL"/>
        </w:rPr>
        <w:t xml:space="preserve">6.2008, i ndryshuar), rast në të cilin </w:t>
      </w:r>
      <w:r w:rsidR="00C16CE3">
        <w:rPr>
          <w:rFonts w:asciiTheme="minorHAnsi" w:hAnsiTheme="minorHAnsi"/>
          <w:i/>
          <w:lang w:val="sq-AL"/>
        </w:rPr>
        <w:t>Q</w:t>
      </w:r>
      <w:r w:rsidRPr="0092452B">
        <w:rPr>
          <w:rFonts w:asciiTheme="minorHAnsi" w:hAnsiTheme="minorHAnsi"/>
          <w:i/>
          <w:lang w:val="sq-AL"/>
        </w:rPr>
        <w:t>everia mund të devijojë përkohë</w:t>
      </w:r>
      <w:r w:rsidR="00C16CE3">
        <w:rPr>
          <w:rFonts w:asciiTheme="minorHAnsi" w:hAnsiTheme="minorHAnsi"/>
          <w:i/>
          <w:lang w:val="sq-AL"/>
        </w:rPr>
        <w:t>s</w:t>
      </w:r>
      <w:r w:rsidRPr="0092452B">
        <w:rPr>
          <w:rFonts w:asciiTheme="minorHAnsi" w:hAnsiTheme="minorHAnsi"/>
          <w:i/>
          <w:lang w:val="sq-AL"/>
        </w:rPr>
        <w:t>i</w:t>
      </w:r>
      <w:r w:rsidR="00C16CE3">
        <w:rPr>
          <w:rFonts w:asciiTheme="minorHAnsi" w:hAnsiTheme="minorHAnsi"/>
          <w:i/>
          <w:lang w:val="sq-AL"/>
        </w:rPr>
        <w:t>sht nga rregulli fiskal i sipër</w:t>
      </w:r>
      <w:r w:rsidRPr="0092452B">
        <w:rPr>
          <w:rFonts w:asciiTheme="minorHAnsi" w:hAnsiTheme="minorHAnsi"/>
          <w:i/>
          <w:lang w:val="sq-AL"/>
        </w:rPr>
        <w:t xml:space="preserve">përmendur. </w:t>
      </w:r>
      <w:r w:rsidRPr="0092452B">
        <w:rPr>
          <w:rFonts w:asciiTheme="minorHAnsi" w:hAnsiTheme="minorHAnsi"/>
          <w:i/>
          <w:lang w:val="sq-AL"/>
        </w:rPr>
        <w:tab/>
      </w:r>
    </w:p>
    <w:p w:rsidR="00E02DC5" w:rsidRDefault="00E02DC5" w:rsidP="007C4932">
      <w:pPr>
        <w:spacing w:line="276" w:lineRule="auto"/>
        <w:jc w:val="both"/>
        <w:rPr>
          <w:rFonts w:asciiTheme="minorHAnsi" w:hAnsiTheme="minorHAnsi"/>
          <w:u w:val="single"/>
          <w:lang w:val="sq-AL"/>
        </w:rPr>
      </w:pPr>
    </w:p>
    <w:p w:rsidR="004D3A5E" w:rsidRPr="006C6319" w:rsidRDefault="004D3A5E" w:rsidP="007C4932">
      <w:pPr>
        <w:spacing w:line="276" w:lineRule="auto"/>
        <w:jc w:val="both"/>
        <w:rPr>
          <w:rFonts w:asciiTheme="minorHAnsi" w:hAnsiTheme="minorHAnsi"/>
          <w:u w:val="single"/>
          <w:lang w:val="sq-AL"/>
        </w:rPr>
      </w:pPr>
      <w:r w:rsidRPr="006C6319">
        <w:rPr>
          <w:rFonts w:asciiTheme="minorHAnsi" w:hAnsiTheme="minorHAnsi"/>
          <w:u w:val="single"/>
          <w:lang w:val="sq-AL"/>
        </w:rPr>
        <w:t>Akti Normativ nr.15 dat</w:t>
      </w:r>
      <w:r w:rsidR="006C6319">
        <w:rPr>
          <w:rFonts w:asciiTheme="minorHAnsi" w:hAnsiTheme="minorHAnsi"/>
          <w:u w:val="single"/>
          <w:lang w:val="sq-AL"/>
        </w:rPr>
        <w:t>ë</w:t>
      </w:r>
      <w:r w:rsidRPr="006C6319">
        <w:rPr>
          <w:rFonts w:asciiTheme="minorHAnsi" w:hAnsiTheme="minorHAnsi"/>
          <w:u w:val="single"/>
          <w:lang w:val="sq-AL"/>
        </w:rPr>
        <w:t xml:space="preserve"> 15.04.2020, pati si q</w:t>
      </w:r>
      <w:r w:rsidR="006C6319">
        <w:rPr>
          <w:rFonts w:asciiTheme="minorHAnsi" w:hAnsiTheme="minorHAnsi"/>
          <w:u w:val="single"/>
          <w:lang w:val="sq-AL"/>
        </w:rPr>
        <w:t>ë</w:t>
      </w:r>
      <w:r w:rsidRPr="006C6319">
        <w:rPr>
          <w:rFonts w:asciiTheme="minorHAnsi" w:hAnsiTheme="minorHAnsi"/>
          <w:u w:val="single"/>
          <w:lang w:val="sq-AL"/>
        </w:rPr>
        <w:t>llim:</w:t>
      </w:r>
    </w:p>
    <w:p w:rsidR="00EA1672" w:rsidRPr="006C6319" w:rsidRDefault="00EA1672" w:rsidP="00503465">
      <w:pPr>
        <w:numPr>
          <w:ilvl w:val="0"/>
          <w:numId w:val="32"/>
        </w:numPr>
        <w:spacing w:line="276" w:lineRule="auto"/>
        <w:ind w:left="450"/>
        <w:contextualSpacing/>
        <w:jc w:val="both"/>
        <w:rPr>
          <w:rFonts w:asciiTheme="minorHAnsi" w:hAnsiTheme="minorHAnsi"/>
          <w:i/>
          <w:lang w:val="sq-AL"/>
        </w:rPr>
      </w:pPr>
      <w:r w:rsidRPr="006C6319">
        <w:rPr>
          <w:rFonts w:asciiTheme="minorHAnsi" w:hAnsiTheme="minorHAnsi"/>
          <w:i/>
          <w:lang w:val="sq-AL"/>
        </w:rPr>
        <w:t xml:space="preserve">Të reflektojë reduktimin në masën 7 miliardë lekë, të zërave të shpenzimeve buxhetore, korente dhe kapitale, referuar kursimeve të evidentuara dhe atyre të pritshme për 2020.  </w:t>
      </w:r>
    </w:p>
    <w:p w:rsidR="00EA1672" w:rsidRPr="006C6319" w:rsidRDefault="00EA1672" w:rsidP="00503465">
      <w:pPr>
        <w:numPr>
          <w:ilvl w:val="0"/>
          <w:numId w:val="32"/>
        </w:numPr>
        <w:spacing w:line="276" w:lineRule="auto"/>
        <w:ind w:left="450"/>
        <w:contextualSpacing/>
        <w:jc w:val="both"/>
        <w:rPr>
          <w:rFonts w:asciiTheme="minorHAnsi" w:hAnsiTheme="minorHAnsi"/>
          <w:i/>
          <w:lang w:val="sq-AL"/>
        </w:rPr>
      </w:pPr>
      <w:r w:rsidRPr="006C6319">
        <w:rPr>
          <w:rFonts w:asciiTheme="minorHAnsi" w:hAnsiTheme="minorHAnsi"/>
          <w:i/>
          <w:lang w:val="sq-AL"/>
        </w:rPr>
        <w:t>Të reflektojë rritjen në masën 7 miliardë lekë të fondit t</w:t>
      </w:r>
      <w:r w:rsidR="006C6319">
        <w:rPr>
          <w:rFonts w:asciiTheme="minorHAnsi" w:hAnsiTheme="minorHAnsi"/>
          <w:i/>
          <w:lang w:val="sq-AL"/>
        </w:rPr>
        <w:t>ë</w:t>
      </w:r>
      <w:r w:rsidRPr="006C6319">
        <w:rPr>
          <w:rFonts w:asciiTheme="minorHAnsi" w:hAnsiTheme="minorHAnsi"/>
          <w:i/>
          <w:lang w:val="sq-AL"/>
        </w:rPr>
        <w:t xml:space="preserve"> dedikuar p</w:t>
      </w:r>
      <w:r w:rsidR="006C6319">
        <w:rPr>
          <w:rFonts w:asciiTheme="minorHAnsi" w:hAnsiTheme="minorHAnsi"/>
          <w:i/>
          <w:lang w:val="sq-AL"/>
        </w:rPr>
        <w:t>ë</w:t>
      </w:r>
      <w:r w:rsidRPr="006C6319">
        <w:rPr>
          <w:rFonts w:asciiTheme="minorHAnsi" w:hAnsiTheme="minorHAnsi"/>
          <w:i/>
          <w:lang w:val="sq-AL"/>
        </w:rPr>
        <w:t>r paketën e dyt</w:t>
      </w:r>
      <w:r w:rsidR="006C6319">
        <w:rPr>
          <w:rFonts w:asciiTheme="minorHAnsi" w:hAnsiTheme="minorHAnsi"/>
          <w:i/>
          <w:lang w:val="sq-AL"/>
        </w:rPr>
        <w:t>ë</w:t>
      </w:r>
      <w:r w:rsidRPr="006C6319">
        <w:rPr>
          <w:rFonts w:asciiTheme="minorHAnsi" w:hAnsiTheme="minorHAnsi"/>
          <w:i/>
          <w:lang w:val="sq-AL"/>
        </w:rPr>
        <w:t xml:space="preserve"> financiare në mbeshtetje të masave sociale Anti-Covid19.</w:t>
      </w:r>
    </w:p>
    <w:p w:rsidR="00EA1672" w:rsidRPr="006C6319" w:rsidRDefault="00EA1672" w:rsidP="00503465">
      <w:pPr>
        <w:numPr>
          <w:ilvl w:val="0"/>
          <w:numId w:val="32"/>
        </w:numPr>
        <w:spacing w:line="276" w:lineRule="auto"/>
        <w:ind w:left="450"/>
        <w:contextualSpacing/>
        <w:jc w:val="both"/>
        <w:rPr>
          <w:rFonts w:asciiTheme="minorHAnsi" w:hAnsiTheme="minorHAnsi"/>
          <w:i/>
          <w:lang w:val="sq-AL"/>
        </w:rPr>
      </w:pPr>
      <w:r w:rsidRPr="006C6319">
        <w:rPr>
          <w:rFonts w:asciiTheme="minorHAnsi" w:hAnsiTheme="minorHAnsi"/>
          <w:i/>
          <w:lang w:val="sq-AL"/>
        </w:rPr>
        <w:t>T</w:t>
      </w:r>
      <w:r w:rsidR="006C6319">
        <w:rPr>
          <w:rFonts w:asciiTheme="minorHAnsi" w:hAnsiTheme="minorHAnsi"/>
          <w:i/>
          <w:lang w:val="sq-AL"/>
        </w:rPr>
        <w:t>ë</w:t>
      </w:r>
      <w:r w:rsidRPr="006C6319">
        <w:rPr>
          <w:rFonts w:asciiTheme="minorHAnsi" w:hAnsiTheme="minorHAnsi"/>
          <w:i/>
          <w:lang w:val="sq-AL"/>
        </w:rPr>
        <w:t xml:space="preserve"> miratoj</w:t>
      </w:r>
      <w:r w:rsidR="006C6319">
        <w:rPr>
          <w:rFonts w:asciiTheme="minorHAnsi" w:hAnsiTheme="minorHAnsi"/>
          <w:i/>
          <w:lang w:val="sq-AL"/>
        </w:rPr>
        <w:t>ë</w:t>
      </w:r>
      <w:r w:rsidRPr="006C6319">
        <w:rPr>
          <w:rFonts w:asciiTheme="minorHAnsi" w:hAnsiTheme="minorHAnsi"/>
          <w:i/>
          <w:lang w:val="sq-AL"/>
        </w:rPr>
        <w:t xml:space="preserve"> mbeshtetjen per bisnesin ne formen e instrumentit të Garancisë së re Sovrane në masën 15 miliardë lekë, e cila shkon për kompanitë që u gjend</w:t>
      </w:r>
      <w:r w:rsidR="006C6319">
        <w:rPr>
          <w:rFonts w:asciiTheme="minorHAnsi" w:hAnsiTheme="minorHAnsi"/>
          <w:i/>
          <w:lang w:val="sq-AL"/>
        </w:rPr>
        <w:t>ë</w:t>
      </w:r>
      <w:r w:rsidRPr="006C6319">
        <w:rPr>
          <w:rFonts w:asciiTheme="minorHAnsi" w:hAnsiTheme="minorHAnsi"/>
          <w:i/>
          <w:lang w:val="sq-AL"/>
        </w:rPr>
        <w:t xml:space="preserve">n përballë vështirësive, jo vetëm për pagesën e pagave të punonjësve, por edhe në nivel kapitali apo likuiditeti. </w:t>
      </w:r>
    </w:p>
    <w:p w:rsidR="00EA1672" w:rsidRPr="006C6319" w:rsidRDefault="00EA1672" w:rsidP="00503465">
      <w:pPr>
        <w:numPr>
          <w:ilvl w:val="0"/>
          <w:numId w:val="32"/>
        </w:numPr>
        <w:spacing w:line="276" w:lineRule="auto"/>
        <w:ind w:left="450"/>
        <w:contextualSpacing/>
        <w:jc w:val="both"/>
        <w:rPr>
          <w:rFonts w:asciiTheme="minorHAnsi" w:hAnsiTheme="minorHAnsi"/>
          <w:i/>
          <w:lang w:val="sq-AL"/>
        </w:rPr>
      </w:pPr>
      <w:r w:rsidRPr="006C6319">
        <w:rPr>
          <w:rFonts w:asciiTheme="minorHAnsi" w:hAnsiTheme="minorHAnsi"/>
          <w:i/>
          <w:lang w:val="sq-AL"/>
        </w:rPr>
        <w:t xml:space="preserve">Ruajtjen të pandryshuar të defiçitit buxhetor. </w:t>
      </w:r>
    </w:p>
    <w:p w:rsidR="00E02DC5" w:rsidRPr="00796E6A" w:rsidRDefault="00E02DC5" w:rsidP="007C4932">
      <w:pPr>
        <w:spacing w:line="276" w:lineRule="auto"/>
        <w:jc w:val="both"/>
        <w:rPr>
          <w:rFonts w:asciiTheme="minorHAnsi" w:hAnsiTheme="minorHAnsi"/>
          <w:sz w:val="8"/>
          <w:szCs w:val="8"/>
          <w:lang w:val="sq-AL"/>
        </w:rPr>
      </w:pPr>
    </w:p>
    <w:p w:rsidR="00E02DC5" w:rsidRDefault="006C6319" w:rsidP="007C4932">
      <w:pPr>
        <w:spacing w:line="276" w:lineRule="auto"/>
        <w:jc w:val="both"/>
        <w:rPr>
          <w:rFonts w:asciiTheme="minorHAnsi" w:hAnsiTheme="minorHAnsi"/>
          <w:lang w:val="sq-AL"/>
        </w:rPr>
      </w:pPr>
      <w:r>
        <w:rPr>
          <w:rFonts w:asciiTheme="minorHAnsi" w:hAnsiTheme="minorHAnsi"/>
          <w:lang w:val="sq-AL"/>
        </w:rPr>
        <w:t>Nisur nga sa m</w:t>
      </w:r>
      <w:r w:rsidR="007E571D">
        <w:rPr>
          <w:rFonts w:asciiTheme="minorHAnsi" w:hAnsiTheme="minorHAnsi"/>
          <w:lang w:val="sq-AL"/>
        </w:rPr>
        <w:t>ë</w:t>
      </w:r>
      <w:r>
        <w:rPr>
          <w:rFonts w:asciiTheme="minorHAnsi" w:hAnsiTheme="minorHAnsi"/>
          <w:lang w:val="sq-AL"/>
        </w:rPr>
        <w:t>sip</w:t>
      </w:r>
      <w:r w:rsidR="007E571D">
        <w:rPr>
          <w:rFonts w:asciiTheme="minorHAnsi" w:hAnsiTheme="minorHAnsi"/>
          <w:lang w:val="sq-AL"/>
        </w:rPr>
        <w:t>ë</w:t>
      </w:r>
      <w:r>
        <w:rPr>
          <w:rFonts w:asciiTheme="minorHAnsi" w:hAnsiTheme="minorHAnsi"/>
          <w:lang w:val="sq-AL"/>
        </w:rPr>
        <w:t>r, n</w:t>
      </w:r>
      <w:r w:rsidR="007E571D">
        <w:rPr>
          <w:rFonts w:asciiTheme="minorHAnsi" w:hAnsiTheme="minorHAnsi"/>
          <w:lang w:val="sq-AL"/>
        </w:rPr>
        <w:t>ë</w:t>
      </w:r>
      <w:r>
        <w:rPr>
          <w:rFonts w:asciiTheme="minorHAnsi" w:hAnsiTheme="minorHAnsi"/>
          <w:lang w:val="sq-AL"/>
        </w:rPr>
        <w:t xml:space="preserve"> kushtet e situat</w:t>
      </w:r>
      <w:r w:rsidR="007E571D">
        <w:rPr>
          <w:rFonts w:asciiTheme="minorHAnsi" w:hAnsiTheme="minorHAnsi"/>
          <w:lang w:val="sq-AL"/>
        </w:rPr>
        <w:t>ë</w:t>
      </w:r>
      <w:r>
        <w:rPr>
          <w:rFonts w:asciiTheme="minorHAnsi" w:hAnsiTheme="minorHAnsi"/>
          <w:lang w:val="sq-AL"/>
        </w:rPr>
        <w:t>s s</w:t>
      </w:r>
      <w:r w:rsidR="007E571D">
        <w:rPr>
          <w:rFonts w:asciiTheme="minorHAnsi" w:hAnsiTheme="minorHAnsi"/>
          <w:lang w:val="sq-AL"/>
        </w:rPr>
        <w:t>ë</w:t>
      </w:r>
      <w:r>
        <w:rPr>
          <w:rFonts w:asciiTheme="minorHAnsi" w:hAnsiTheme="minorHAnsi"/>
          <w:lang w:val="sq-AL"/>
        </w:rPr>
        <w:t xml:space="preserve"> v</w:t>
      </w:r>
      <w:r w:rsidR="007E571D">
        <w:rPr>
          <w:rFonts w:asciiTheme="minorHAnsi" w:hAnsiTheme="minorHAnsi"/>
          <w:lang w:val="sq-AL"/>
        </w:rPr>
        <w:t>ë</w:t>
      </w:r>
      <w:r>
        <w:rPr>
          <w:rFonts w:asciiTheme="minorHAnsi" w:hAnsiTheme="minorHAnsi"/>
          <w:lang w:val="sq-AL"/>
        </w:rPr>
        <w:t>shtir</w:t>
      </w:r>
      <w:r w:rsidR="007E571D">
        <w:rPr>
          <w:rFonts w:asciiTheme="minorHAnsi" w:hAnsiTheme="minorHAnsi"/>
          <w:lang w:val="sq-AL"/>
        </w:rPr>
        <w:t>ë</w:t>
      </w:r>
      <w:r>
        <w:rPr>
          <w:rFonts w:asciiTheme="minorHAnsi" w:hAnsiTheme="minorHAnsi"/>
          <w:lang w:val="sq-AL"/>
        </w:rPr>
        <w:t xml:space="preserve"> dhe atipike </w:t>
      </w:r>
      <w:r w:rsidR="007E571D">
        <w:rPr>
          <w:rFonts w:asciiTheme="minorHAnsi" w:hAnsiTheme="minorHAnsi"/>
          <w:lang w:val="sq-AL"/>
        </w:rPr>
        <w:t xml:space="preserve">socio-financiare </w:t>
      </w:r>
      <w:r>
        <w:rPr>
          <w:rFonts w:asciiTheme="minorHAnsi" w:hAnsiTheme="minorHAnsi"/>
          <w:lang w:val="sq-AL"/>
        </w:rPr>
        <w:t>t</w:t>
      </w:r>
      <w:r w:rsidR="007E571D">
        <w:rPr>
          <w:rFonts w:asciiTheme="minorHAnsi" w:hAnsiTheme="minorHAnsi"/>
          <w:lang w:val="sq-AL"/>
        </w:rPr>
        <w:t>ë</w:t>
      </w:r>
      <w:r>
        <w:rPr>
          <w:rFonts w:asciiTheme="minorHAnsi" w:hAnsiTheme="minorHAnsi"/>
          <w:lang w:val="sq-AL"/>
        </w:rPr>
        <w:t xml:space="preserve"> shkaktuar nga Pandemia Covid-19, pritshm</w:t>
      </w:r>
      <w:r w:rsidR="007E571D">
        <w:rPr>
          <w:rFonts w:asciiTheme="minorHAnsi" w:hAnsiTheme="minorHAnsi"/>
          <w:lang w:val="sq-AL"/>
        </w:rPr>
        <w:t>ë</w:t>
      </w:r>
      <w:r>
        <w:rPr>
          <w:rFonts w:asciiTheme="minorHAnsi" w:hAnsiTheme="minorHAnsi"/>
          <w:lang w:val="sq-AL"/>
        </w:rPr>
        <w:t>ria p</w:t>
      </w:r>
      <w:r w:rsidR="007E571D">
        <w:rPr>
          <w:rFonts w:asciiTheme="minorHAnsi" w:hAnsiTheme="minorHAnsi"/>
          <w:lang w:val="sq-AL"/>
        </w:rPr>
        <w:t>ë</w:t>
      </w:r>
      <w:r>
        <w:rPr>
          <w:rFonts w:asciiTheme="minorHAnsi" w:hAnsiTheme="minorHAnsi"/>
          <w:lang w:val="sq-AL"/>
        </w:rPr>
        <w:t>r ecurin</w:t>
      </w:r>
      <w:r w:rsidR="007E571D">
        <w:rPr>
          <w:rFonts w:asciiTheme="minorHAnsi" w:hAnsiTheme="minorHAnsi"/>
          <w:lang w:val="sq-AL"/>
        </w:rPr>
        <w:t>ë</w:t>
      </w:r>
      <w:r>
        <w:rPr>
          <w:rFonts w:asciiTheme="minorHAnsi" w:hAnsiTheme="minorHAnsi"/>
          <w:lang w:val="sq-AL"/>
        </w:rPr>
        <w:t xml:space="preserve"> e shpenzimeve buxhetore </w:t>
      </w:r>
      <w:r w:rsidR="007E571D">
        <w:rPr>
          <w:rFonts w:asciiTheme="minorHAnsi" w:hAnsiTheme="minorHAnsi"/>
          <w:lang w:val="sq-AL"/>
        </w:rPr>
        <w:t>ë</w:t>
      </w:r>
      <w:r>
        <w:rPr>
          <w:rFonts w:asciiTheme="minorHAnsi" w:hAnsiTheme="minorHAnsi"/>
          <w:lang w:val="sq-AL"/>
        </w:rPr>
        <w:t>sht</w:t>
      </w:r>
      <w:r w:rsidR="007E571D">
        <w:rPr>
          <w:rFonts w:asciiTheme="minorHAnsi" w:hAnsiTheme="minorHAnsi"/>
          <w:lang w:val="sq-AL"/>
        </w:rPr>
        <w:t>ë</w:t>
      </w:r>
      <w:r>
        <w:rPr>
          <w:rFonts w:asciiTheme="minorHAnsi" w:hAnsiTheme="minorHAnsi"/>
          <w:lang w:val="sq-AL"/>
        </w:rPr>
        <w:t xml:space="preserve"> ende n</w:t>
      </w:r>
      <w:r w:rsidR="007E571D">
        <w:rPr>
          <w:rFonts w:asciiTheme="minorHAnsi" w:hAnsiTheme="minorHAnsi"/>
          <w:lang w:val="sq-AL"/>
        </w:rPr>
        <w:t>ë</w:t>
      </w:r>
      <w:r>
        <w:rPr>
          <w:rFonts w:asciiTheme="minorHAnsi" w:hAnsiTheme="minorHAnsi"/>
          <w:lang w:val="sq-AL"/>
        </w:rPr>
        <w:t xml:space="preserve"> proces vler</w:t>
      </w:r>
      <w:r w:rsidR="007E571D">
        <w:rPr>
          <w:rFonts w:asciiTheme="minorHAnsi" w:hAnsiTheme="minorHAnsi"/>
          <w:lang w:val="sq-AL"/>
        </w:rPr>
        <w:t>ë</w:t>
      </w:r>
      <w:r>
        <w:rPr>
          <w:rFonts w:asciiTheme="minorHAnsi" w:hAnsiTheme="minorHAnsi"/>
          <w:lang w:val="sq-AL"/>
        </w:rPr>
        <w:t xml:space="preserve">simi </w:t>
      </w:r>
      <w:r w:rsidR="007E571D">
        <w:rPr>
          <w:rFonts w:asciiTheme="minorHAnsi" w:hAnsiTheme="minorHAnsi"/>
          <w:lang w:val="sq-AL"/>
        </w:rPr>
        <w:t xml:space="preserve">intensiv </w:t>
      </w:r>
      <w:r>
        <w:rPr>
          <w:rFonts w:asciiTheme="minorHAnsi" w:hAnsiTheme="minorHAnsi"/>
          <w:lang w:val="sq-AL"/>
        </w:rPr>
        <w:t>nga ana e strukturave p</w:t>
      </w:r>
      <w:r w:rsidR="007E571D">
        <w:rPr>
          <w:rFonts w:asciiTheme="minorHAnsi" w:hAnsiTheme="minorHAnsi"/>
          <w:lang w:val="sq-AL"/>
        </w:rPr>
        <w:t>ë</w:t>
      </w:r>
      <w:r>
        <w:rPr>
          <w:rFonts w:asciiTheme="minorHAnsi" w:hAnsiTheme="minorHAnsi"/>
          <w:lang w:val="sq-AL"/>
        </w:rPr>
        <w:t>rgjegj</w:t>
      </w:r>
      <w:r w:rsidR="007E571D">
        <w:rPr>
          <w:rFonts w:asciiTheme="minorHAnsi" w:hAnsiTheme="minorHAnsi"/>
          <w:lang w:val="sq-AL"/>
        </w:rPr>
        <w:t>ë</w:t>
      </w:r>
      <w:r>
        <w:rPr>
          <w:rFonts w:asciiTheme="minorHAnsi" w:hAnsiTheme="minorHAnsi"/>
          <w:lang w:val="sq-AL"/>
        </w:rPr>
        <w:t>se n</w:t>
      </w:r>
      <w:r w:rsidR="007E571D">
        <w:rPr>
          <w:rFonts w:asciiTheme="minorHAnsi" w:hAnsiTheme="minorHAnsi"/>
          <w:lang w:val="sq-AL"/>
        </w:rPr>
        <w:t>ë</w:t>
      </w:r>
      <w:r>
        <w:rPr>
          <w:rFonts w:asciiTheme="minorHAnsi" w:hAnsiTheme="minorHAnsi"/>
          <w:lang w:val="sq-AL"/>
        </w:rPr>
        <w:t xml:space="preserve"> MFE. </w:t>
      </w:r>
      <w:r w:rsidR="00E02DC5" w:rsidRPr="00E02DC5">
        <w:rPr>
          <w:rFonts w:asciiTheme="minorHAnsi" w:hAnsiTheme="minorHAnsi"/>
          <w:lang w:val="sq-AL"/>
        </w:rPr>
        <w:t>Parashikimet kuantitative për impaktin negativ të COVID-19 në ekonomi, deri më tani, mbeten të rrethuara nga një marzh i lartë paqartësie.</w:t>
      </w:r>
    </w:p>
    <w:p w:rsidR="00A27156" w:rsidRDefault="006C6319" w:rsidP="007C4932">
      <w:pPr>
        <w:spacing w:line="276" w:lineRule="auto"/>
        <w:jc w:val="both"/>
        <w:rPr>
          <w:rFonts w:asciiTheme="minorHAnsi" w:hAnsiTheme="minorHAnsi"/>
          <w:lang w:val="sq-AL"/>
        </w:rPr>
      </w:pPr>
      <w:r>
        <w:rPr>
          <w:rFonts w:asciiTheme="minorHAnsi" w:hAnsiTheme="minorHAnsi"/>
          <w:lang w:val="sq-AL"/>
        </w:rPr>
        <w:lastRenderedPageBreak/>
        <w:t>N</w:t>
      </w:r>
      <w:r w:rsidR="007E571D">
        <w:rPr>
          <w:rFonts w:asciiTheme="minorHAnsi" w:hAnsiTheme="minorHAnsi"/>
          <w:lang w:val="sq-AL"/>
        </w:rPr>
        <w:t>ë</w:t>
      </w:r>
      <w:r>
        <w:rPr>
          <w:rFonts w:asciiTheme="minorHAnsi" w:hAnsiTheme="minorHAnsi"/>
          <w:lang w:val="sq-AL"/>
        </w:rPr>
        <w:t xml:space="preserve"> cdo rast, nisur nga ngadal</w:t>
      </w:r>
      <w:r w:rsidR="007E571D">
        <w:rPr>
          <w:rFonts w:asciiTheme="minorHAnsi" w:hAnsiTheme="minorHAnsi"/>
          <w:lang w:val="sq-AL"/>
        </w:rPr>
        <w:t>ë</w:t>
      </w:r>
      <w:r>
        <w:rPr>
          <w:rFonts w:asciiTheme="minorHAnsi" w:hAnsiTheme="minorHAnsi"/>
          <w:lang w:val="sq-AL"/>
        </w:rPr>
        <w:t>simi i performanc</w:t>
      </w:r>
      <w:r w:rsidR="007E571D">
        <w:rPr>
          <w:rFonts w:asciiTheme="minorHAnsi" w:hAnsiTheme="minorHAnsi"/>
          <w:lang w:val="sq-AL"/>
        </w:rPr>
        <w:t>ë</w:t>
      </w:r>
      <w:r>
        <w:rPr>
          <w:rFonts w:asciiTheme="minorHAnsi" w:hAnsiTheme="minorHAnsi"/>
          <w:lang w:val="sq-AL"/>
        </w:rPr>
        <w:t>s s</w:t>
      </w:r>
      <w:r w:rsidR="007E571D">
        <w:rPr>
          <w:rFonts w:asciiTheme="minorHAnsi" w:hAnsiTheme="minorHAnsi"/>
          <w:lang w:val="sq-AL"/>
        </w:rPr>
        <w:t>ë</w:t>
      </w:r>
      <w:r>
        <w:rPr>
          <w:rFonts w:asciiTheme="minorHAnsi" w:hAnsiTheme="minorHAnsi"/>
          <w:lang w:val="sq-AL"/>
        </w:rPr>
        <w:t xml:space="preserve"> shpenzimeve </w:t>
      </w:r>
      <w:r w:rsidR="007E571D">
        <w:rPr>
          <w:rFonts w:asciiTheme="minorHAnsi" w:hAnsiTheme="minorHAnsi"/>
          <w:lang w:val="sq-AL"/>
        </w:rPr>
        <w:t xml:space="preserve">buxhetore </w:t>
      </w:r>
      <w:r>
        <w:rPr>
          <w:rFonts w:asciiTheme="minorHAnsi" w:hAnsiTheme="minorHAnsi"/>
          <w:lang w:val="sq-AL"/>
        </w:rPr>
        <w:t>gjat</w:t>
      </w:r>
      <w:r w:rsidR="007E571D">
        <w:rPr>
          <w:rFonts w:asciiTheme="minorHAnsi" w:hAnsiTheme="minorHAnsi"/>
          <w:lang w:val="sq-AL"/>
        </w:rPr>
        <w:t>ë</w:t>
      </w:r>
      <w:r>
        <w:rPr>
          <w:rFonts w:asciiTheme="minorHAnsi" w:hAnsiTheme="minorHAnsi"/>
          <w:lang w:val="sq-AL"/>
        </w:rPr>
        <w:t xml:space="preserve"> gjysm</w:t>
      </w:r>
      <w:r w:rsidR="007E571D">
        <w:rPr>
          <w:rFonts w:asciiTheme="minorHAnsi" w:hAnsiTheme="minorHAnsi"/>
          <w:lang w:val="sq-AL"/>
        </w:rPr>
        <w:t>ë</w:t>
      </w:r>
      <w:r>
        <w:rPr>
          <w:rFonts w:asciiTheme="minorHAnsi" w:hAnsiTheme="minorHAnsi"/>
          <w:lang w:val="sq-AL"/>
        </w:rPr>
        <w:t>s s</w:t>
      </w:r>
      <w:r w:rsidR="007E571D">
        <w:rPr>
          <w:rFonts w:asciiTheme="minorHAnsi" w:hAnsiTheme="minorHAnsi"/>
          <w:lang w:val="sq-AL"/>
        </w:rPr>
        <w:t>ë</w:t>
      </w:r>
      <w:r>
        <w:rPr>
          <w:rFonts w:asciiTheme="minorHAnsi" w:hAnsiTheme="minorHAnsi"/>
          <w:lang w:val="sq-AL"/>
        </w:rPr>
        <w:t xml:space="preserve"> par</w:t>
      </w:r>
      <w:r w:rsidR="007E571D">
        <w:rPr>
          <w:rFonts w:asciiTheme="minorHAnsi" w:hAnsiTheme="minorHAnsi"/>
          <w:lang w:val="sq-AL"/>
        </w:rPr>
        <w:t>ë</w:t>
      </w:r>
      <w:r>
        <w:rPr>
          <w:rFonts w:asciiTheme="minorHAnsi" w:hAnsiTheme="minorHAnsi"/>
          <w:lang w:val="sq-AL"/>
        </w:rPr>
        <w:t xml:space="preserve"> t</w:t>
      </w:r>
      <w:r w:rsidR="007E571D">
        <w:rPr>
          <w:rFonts w:asciiTheme="minorHAnsi" w:hAnsiTheme="minorHAnsi"/>
          <w:lang w:val="sq-AL"/>
        </w:rPr>
        <w:t>ë</w:t>
      </w:r>
      <w:r>
        <w:rPr>
          <w:rFonts w:asciiTheme="minorHAnsi" w:hAnsiTheme="minorHAnsi"/>
          <w:lang w:val="sq-AL"/>
        </w:rPr>
        <w:t xml:space="preserve"> vitit 2020, si pasoj</w:t>
      </w:r>
      <w:r w:rsidR="007E571D">
        <w:rPr>
          <w:rFonts w:asciiTheme="minorHAnsi" w:hAnsiTheme="minorHAnsi"/>
          <w:lang w:val="sq-AL"/>
        </w:rPr>
        <w:t>ë</w:t>
      </w:r>
      <w:r>
        <w:rPr>
          <w:rFonts w:asciiTheme="minorHAnsi" w:hAnsiTheme="minorHAnsi"/>
          <w:lang w:val="sq-AL"/>
        </w:rPr>
        <w:t xml:space="preserve"> e ngadal</w:t>
      </w:r>
      <w:r w:rsidR="007E571D">
        <w:rPr>
          <w:rFonts w:asciiTheme="minorHAnsi" w:hAnsiTheme="minorHAnsi"/>
          <w:lang w:val="sq-AL"/>
        </w:rPr>
        <w:t>ë</w:t>
      </w:r>
      <w:r>
        <w:rPr>
          <w:rFonts w:asciiTheme="minorHAnsi" w:hAnsiTheme="minorHAnsi"/>
          <w:lang w:val="sq-AL"/>
        </w:rPr>
        <w:t>simit t</w:t>
      </w:r>
      <w:r w:rsidR="007E571D">
        <w:rPr>
          <w:rFonts w:asciiTheme="minorHAnsi" w:hAnsiTheme="minorHAnsi"/>
          <w:lang w:val="sq-AL"/>
        </w:rPr>
        <w:t>ë</w:t>
      </w:r>
      <w:r>
        <w:rPr>
          <w:rFonts w:asciiTheme="minorHAnsi" w:hAnsiTheme="minorHAnsi"/>
          <w:lang w:val="sq-AL"/>
        </w:rPr>
        <w:t xml:space="preserve"> veprimtaris</w:t>
      </w:r>
      <w:r w:rsidR="007E571D">
        <w:rPr>
          <w:rFonts w:asciiTheme="minorHAnsi" w:hAnsiTheme="minorHAnsi"/>
          <w:lang w:val="sq-AL"/>
        </w:rPr>
        <w:t>ë</w:t>
      </w:r>
      <w:r>
        <w:rPr>
          <w:rFonts w:asciiTheme="minorHAnsi" w:hAnsiTheme="minorHAnsi"/>
          <w:lang w:val="sq-AL"/>
        </w:rPr>
        <w:t xml:space="preserve"> s</w:t>
      </w:r>
      <w:r w:rsidR="007E571D">
        <w:rPr>
          <w:rFonts w:asciiTheme="minorHAnsi" w:hAnsiTheme="minorHAnsi"/>
          <w:lang w:val="sq-AL"/>
        </w:rPr>
        <w:t>ë</w:t>
      </w:r>
      <w:r>
        <w:rPr>
          <w:rFonts w:asciiTheme="minorHAnsi" w:hAnsiTheme="minorHAnsi"/>
          <w:lang w:val="sq-AL"/>
        </w:rPr>
        <w:t xml:space="preserve"> nj</w:t>
      </w:r>
      <w:r w:rsidR="007E571D">
        <w:rPr>
          <w:rFonts w:asciiTheme="minorHAnsi" w:hAnsiTheme="minorHAnsi"/>
          <w:lang w:val="sq-AL"/>
        </w:rPr>
        <w:t>ë</w:t>
      </w:r>
      <w:r>
        <w:rPr>
          <w:rFonts w:asciiTheme="minorHAnsi" w:hAnsiTheme="minorHAnsi"/>
          <w:lang w:val="sq-AL"/>
        </w:rPr>
        <w:t>sive t</w:t>
      </w:r>
      <w:r w:rsidR="007E571D">
        <w:rPr>
          <w:rFonts w:asciiTheme="minorHAnsi" w:hAnsiTheme="minorHAnsi"/>
          <w:lang w:val="sq-AL"/>
        </w:rPr>
        <w:t>ë</w:t>
      </w:r>
      <w:r>
        <w:rPr>
          <w:rFonts w:asciiTheme="minorHAnsi" w:hAnsiTheme="minorHAnsi"/>
          <w:lang w:val="sq-AL"/>
        </w:rPr>
        <w:t xml:space="preserve"> qeverisjes s</w:t>
      </w:r>
      <w:r w:rsidR="007E571D">
        <w:rPr>
          <w:rFonts w:asciiTheme="minorHAnsi" w:hAnsiTheme="minorHAnsi"/>
          <w:lang w:val="sq-AL"/>
        </w:rPr>
        <w:t>ë</w:t>
      </w:r>
      <w:r>
        <w:rPr>
          <w:rFonts w:asciiTheme="minorHAnsi" w:hAnsiTheme="minorHAnsi"/>
          <w:lang w:val="sq-AL"/>
        </w:rPr>
        <w:t xml:space="preserve"> p</w:t>
      </w:r>
      <w:r w:rsidR="007E571D">
        <w:rPr>
          <w:rFonts w:asciiTheme="minorHAnsi" w:hAnsiTheme="minorHAnsi"/>
          <w:lang w:val="sq-AL"/>
        </w:rPr>
        <w:t>ë</w:t>
      </w:r>
      <w:r>
        <w:rPr>
          <w:rFonts w:asciiTheme="minorHAnsi" w:hAnsiTheme="minorHAnsi"/>
          <w:lang w:val="sq-AL"/>
        </w:rPr>
        <w:t>rgjithshme, pritshm</w:t>
      </w:r>
      <w:r w:rsidR="007E571D">
        <w:rPr>
          <w:rFonts w:asciiTheme="minorHAnsi" w:hAnsiTheme="minorHAnsi"/>
          <w:lang w:val="sq-AL"/>
        </w:rPr>
        <w:t>ë</w:t>
      </w:r>
      <w:r>
        <w:rPr>
          <w:rFonts w:asciiTheme="minorHAnsi" w:hAnsiTheme="minorHAnsi"/>
          <w:lang w:val="sq-AL"/>
        </w:rPr>
        <w:t>rit</w:t>
      </w:r>
      <w:r w:rsidR="007E571D">
        <w:rPr>
          <w:rFonts w:asciiTheme="minorHAnsi" w:hAnsiTheme="minorHAnsi"/>
          <w:lang w:val="sq-AL"/>
        </w:rPr>
        <w:t>ë</w:t>
      </w:r>
      <w:r>
        <w:rPr>
          <w:rFonts w:asciiTheme="minorHAnsi" w:hAnsiTheme="minorHAnsi"/>
          <w:lang w:val="sq-AL"/>
        </w:rPr>
        <w:t xml:space="preserve"> jan</w:t>
      </w:r>
      <w:r w:rsidR="007E571D">
        <w:rPr>
          <w:rFonts w:asciiTheme="minorHAnsi" w:hAnsiTheme="minorHAnsi"/>
          <w:lang w:val="sq-AL"/>
        </w:rPr>
        <w:t>ë</w:t>
      </w:r>
      <w:r>
        <w:rPr>
          <w:rFonts w:asciiTheme="minorHAnsi" w:hAnsiTheme="minorHAnsi"/>
          <w:lang w:val="sq-AL"/>
        </w:rPr>
        <w:t xml:space="preserve"> p</w:t>
      </w:r>
      <w:r w:rsidR="007E571D">
        <w:rPr>
          <w:rFonts w:asciiTheme="minorHAnsi" w:hAnsiTheme="minorHAnsi"/>
          <w:lang w:val="sq-AL"/>
        </w:rPr>
        <w:t>ë</w:t>
      </w:r>
      <w:r>
        <w:rPr>
          <w:rFonts w:asciiTheme="minorHAnsi" w:hAnsiTheme="minorHAnsi"/>
          <w:lang w:val="sq-AL"/>
        </w:rPr>
        <w:t>r nj</w:t>
      </w:r>
      <w:r w:rsidR="007E571D">
        <w:rPr>
          <w:rFonts w:asciiTheme="minorHAnsi" w:hAnsiTheme="minorHAnsi"/>
          <w:lang w:val="sq-AL"/>
        </w:rPr>
        <w:t>ë</w:t>
      </w:r>
      <w:r>
        <w:rPr>
          <w:rFonts w:asciiTheme="minorHAnsi" w:hAnsiTheme="minorHAnsi"/>
          <w:lang w:val="sq-AL"/>
        </w:rPr>
        <w:t xml:space="preserve"> realizi</w:t>
      </w:r>
      <w:r w:rsidR="007E571D">
        <w:rPr>
          <w:rFonts w:asciiTheme="minorHAnsi" w:hAnsiTheme="minorHAnsi"/>
          <w:lang w:val="sq-AL"/>
        </w:rPr>
        <w:t>m</w:t>
      </w:r>
      <w:r>
        <w:rPr>
          <w:rFonts w:asciiTheme="minorHAnsi" w:hAnsiTheme="minorHAnsi"/>
          <w:lang w:val="sq-AL"/>
        </w:rPr>
        <w:t xml:space="preserve"> m</w:t>
      </w:r>
      <w:r w:rsidR="007E571D">
        <w:rPr>
          <w:rFonts w:asciiTheme="minorHAnsi" w:hAnsiTheme="minorHAnsi"/>
          <w:lang w:val="sq-AL"/>
        </w:rPr>
        <w:t>ë</w:t>
      </w:r>
      <w:r>
        <w:rPr>
          <w:rFonts w:asciiTheme="minorHAnsi" w:hAnsiTheme="minorHAnsi"/>
          <w:lang w:val="sq-AL"/>
        </w:rPr>
        <w:t xml:space="preserve"> t</w:t>
      </w:r>
      <w:r w:rsidR="007E571D">
        <w:rPr>
          <w:rFonts w:asciiTheme="minorHAnsi" w:hAnsiTheme="minorHAnsi"/>
          <w:lang w:val="sq-AL"/>
        </w:rPr>
        <w:t>ë</w:t>
      </w:r>
      <w:r>
        <w:rPr>
          <w:rFonts w:asciiTheme="minorHAnsi" w:hAnsiTheme="minorHAnsi"/>
          <w:lang w:val="sq-AL"/>
        </w:rPr>
        <w:t xml:space="preserve"> ul</w:t>
      </w:r>
      <w:r w:rsidR="007E571D">
        <w:rPr>
          <w:rFonts w:asciiTheme="minorHAnsi" w:hAnsiTheme="minorHAnsi"/>
          <w:lang w:val="sq-AL"/>
        </w:rPr>
        <w:t>ë</w:t>
      </w:r>
      <w:r>
        <w:rPr>
          <w:rFonts w:asciiTheme="minorHAnsi" w:hAnsiTheme="minorHAnsi"/>
          <w:lang w:val="sq-AL"/>
        </w:rPr>
        <w:t>t t</w:t>
      </w:r>
      <w:r w:rsidR="007E571D">
        <w:rPr>
          <w:rFonts w:asciiTheme="minorHAnsi" w:hAnsiTheme="minorHAnsi"/>
          <w:lang w:val="sq-AL"/>
        </w:rPr>
        <w:t>ë</w:t>
      </w:r>
      <w:r>
        <w:rPr>
          <w:rFonts w:asciiTheme="minorHAnsi" w:hAnsiTheme="minorHAnsi"/>
          <w:lang w:val="sq-AL"/>
        </w:rPr>
        <w:t xml:space="preserve"> shpenzimeve normale t</w:t>
      </w:r>
      <w:r w:rsidR="007E571D">
        <w:rPr>
          <w:rFonts w:asciiTheme="minorHAnsi" w:hAnsiTheme="minorHAnsi"/>
          <w:lang w:val="sq-AL"/>
        </w:rPr>
        <w:t>ë</w:t>
      </w:r>
      <w:r>
        <w:rPr>
          <w:rFonts w:asciiTheme="minorHAnsi" w:hAnsiTheme="minorHAnsi"/>
          <w:lang w:val="sq-AL"/>
        </w:rPr>
        <w:t xml:space="preserve"> institucioneve buxhetore</w:t>
      </w:r>
      <w:r w:rsidR="007E571D">
        <w:rPr>
          <w:rFonts w:asciiTheme="minorHAnsi" w:hAnsiTheme="minorHAnsi"/>
          <w:lang w:val="sq-AL"/>
        </w:rPr>
        <w:t xml:space="preserve"> </w:t>
      </w:r>
      <w:r w:rsidR="00E02DC5">
        <w:rPr>
          <w:rFonts w:asciiTheme="minorHAnsi" w:hAnsiTheme="minorHAnsi"/>
          <w:lang w:val="sq-AL"/>
        </w:rPr>
        <w:t>(</w:t>
      </w:r>
      <w:r w:rsidR="007E571D">
        <w:rPr>
          <w:rFonts w:asciiTheme="minorHAnsi" w:hAnsiTheme="minorHAnsi"/>
          <w:lang w:val="sq-AL"/>
        </w:rPr>
        <w:t>krahasuar me trendin vjetor)</w:t>
      </w:r>
      <w:r>
        <w:rPr>
          <w:rFonts w:asciiTheme="minorHAnsi" w:hAnsiTheme="minorHAnsi"/>
          <w:lang w:val="sq-AL"/>
        </w:rPr>
        <w:t>, t</w:t>
      </w:r>
      <w:r w:rsidR="007E571D">
        <w:rPr>
          <w:rFonts w:asciiTheme="minorHAnsi" w:hAnsiTheme="minorHAnsi"/>
          <w:lang w:val="sq-AL"/>
        </w:rPr>
        <w:t>ë</w:t>
      </w:r>
      <w:r>
        <w:rPr>
          <w:rFonts w:asciiTheme="minorHAnsi" w:hAnsiTheme="minorHAnsi"/>
          <w:lang w:val="sq-AL"/>
        </w:rPr>
        <w:t xml:space="preserve"> cilat n</w:t>
      </w:r>
      <w:r w:rsidR="007E571D">
        <w:rPr>
          <w:rFonts w:asciiTheme="minorHAnsi" w:hAnsiTheme="minorHAnsi"/>
          <w:lang w:val="sq-AL"/>
        </w:rPr>
        <w:t>ë</w:t>
      </w:r>
      <w:r>
        <w:rPr>
          <w:rFonts w:asciiTheme="minorHAnsi" w:hAnsiTheme="minorHAnsi"/>
          <w:lang w:val="sq-AL"/>
        </w:rPr>
        <w:t xml:space="preserve"> cdo rast (</w:t>
      </w:r>
      <w:r w:rsidR="007E571D">
        <w:rPr>
          <w:rFonts w:asciiTheme="minorHAnsi" w:hAnsiTheme="minorHAnsi"/>
          <w:lang w:val="sq-AL"/>
        </w:rPr>
        <w:t>në linjë me</w:t>
      </w:r>
      <w:r>
        <w:rPr>
          <w:rFonts w:asciiTheme="minorHAnsi" w:hAnsiTheme="minorHAnsi"/>
          <w:lang w:val="sq-AL"/>
        </w:rPr>
        <w:t xml:space="preserve"> dy AN </w:t>
      </w:r>
      <w:r w:rsidR="007E571D">
        <w:rPr>
          <w:rFonts w:asciiTheme="minorHAnsi" w:hAnsiTheme="minorHAnsi"/>
          <w:lang w:val="sq-AL"/>
        </w:rPr>
        <w:t>e</w:t>
      </w:r>
      <w:r>
        <w:rPr>
          <w:rFonts w:asciiTheme="minorHAnsi" w:hAnsiTheme="minorHAnsi"/>
          <w:lang w:val="sq-AL"/>
        </w:rPr>
        <w:t xml:space="preserve"> miratuara tashm</w:t>
      </w:r>
      <w:r w:rsidR="007E571D">
        <w:rPr>
          <w:rFonts w:asciiTheme="minorHAnsi" w:hAnsiTheme="minorHAnsi"/>
          <w:lang w:val="sq-AL"/>
        </w:rPr>
        <w:t>ë</w:t>
      </w:r>
      <w:r>
        <w:rPr>
          <w:rFonts w:asciiTheme="minorHAnsi" w:hAnsiTheme="minorHAnsi"/>
          <w:lang w:val="sq-AL"/>
        </w:rPr>
        <w:t>) do t</w:t>
      </w:r>
      <w:r w:rsidR="007E571D">
        <w:rPr>
          <w:rFonts w:asciiTheme="minorHAnsi" w:hAnsiTheme="minorHAnsi"/>
          <w:lang w:val="sq-AL"/>
        </w:rPr>
        <w:t>ë</w:t>
      </w:r>
      <w:r>
        <w:rPr>
          <w:rFonts w:asciiTheme="minorHAnsi" w:hAnsiTheme="minorHAnsi"/>
          <w:lang w:val="sq-AL"/>
        </w:rPr>
        <w:t xml:space="preserve"> </w:t>
      </w:r>
      <w:r w:rsidR="00E02DC5">
        <w:rPr>
          <w:rFonts w:asciiTheme="minorHAnsi" w:hAnsiTheme="minorHAnsi"/>
          <w:lang w:val="sq-AL"/>
        </w:rPr>
        <w:t xml:space="preserve">        </w:t>
      </w:r>
      <w:r>
        <w:rPr>
          <w:rFonts w:asciiTheme="minorHAnsi" w:hAnsiTheme="minorHAnsi"/>
          <w:lang w:val="sq-AL"/>
        </w:rPr>
        <w:t xml:space="preserve">ri-orientohen </w:t>
      </w:r>
      <w:r w:rsidR="007E571D">
        <w:rPr>
          <w:rFonts w:asciiTheme="minorHAnsi" w:hAnsiTheme="minorHAnsi"/>
          <w:lang w:val="sq-AL"/>
        </w:rPr>
        <w:t xml:space="preserve">padiskutim </w:t>
      </w:r>
      <w:r>
        <w:rPr>
          <w:rFonts w:asciiTheme="minorHAnsi" w:hAnsiTheme="minorHAnsi"/>
          <w:lang w:val="sq-AL"/>
        </w:rPr>
        <w:t>drejt masave sociale dhe financiare anti-Covid19, n</w:t>
      </w:r>
      <w:r w:rsidR="007E571D">
        <w:rPr>
          <w:rFonts w:asciiTheme="minorHAnsi" w:hAnsiTheme="minorHAnsi"/>
          <w:lang w:val="sq-AL"/>
        </w:rPr>
        <w:t>ë</w:t>
      </w:r>
      <w:r>
        <w:rPr>
          <w:rFonts w:asciiTheme="minorHAnsi" w:hAnsiTheme="minorHAnsi"/>
          <w:lang w:val="sq-AL"/>
        </w:rPr>
        <w:t xml:space="preserve"> mb</w:t>
      </w:r>
      <w:r w:rsidR="007E571D">
        <w:rPr>
          <w:rFonts w:asciiTheme="minorHAnsi" w:hAnsiTheme="minorHAnsi"/>
          <w:lang w:val="sq-AL"/>
        </w:rPr>
        <w:t>ë</w:t>
      </w:r>
      <w:r>
        <w:rPr>
          <w:rFonts w:asciiTheme="minorHAnsi" w:hAnsiTheme="minorHAnsi"/>
          <w:lang w:val="sq-AL"/>
        </w:rPr>
        <w:t>shtetje t</w:t>
      </w:r>
      <w:r w:rsidR="007E571D">
        <w:rPr>
          <w:rFonts w:asciiTheme="minorHAnsi" w:hAnsiTheme="minorHAnsi"/>
          <w:lang w:val="sq-AL"/>
        </w:rPr>
        <w:t>ë</w:t>
      </w:r>
      <w:r>
        <w:rPr>
          <w:rFonts w:asciiTheme="minorHAnsi" w:hAnsiTheme="minorHAnsi"/>
          <w:lang w:val="sq-AL"/>
        </w:rPr>
        <w:t xml:space="preserve"> qytetar</w:t>
      </w:r>
      <w:r w:rsidR="007E571D">
        <w:rPr>
          <w:rFonts w:asciiTheme="minorHAnsi" w:hAnsiTheme="minorHAnsi"/>
          <w:lang w:val="sq-AL"/>
        </w:rPr>
        <w:t>ë</w:t>
      </w:r>
      <w:r>
        <w:rPr>
          <w:rFonts w:asciiTheme="minorHAnsi" w:hAnsiTheme="minorHAnsi"/>
          <w:lang w:val="sq-AL"/>
        </w:rPr>
        <w:t>ve, bizneseve dhe rim</w:t>
      </w:r>
      <w:r w:rsidR="007E571D">
        <w:rPr>
          <w:rFonts w:asciiTheme="minorHAnsi" w:hAnsiTheme="minorHAnsi"/>
          <w:lang w:val="sq-AL"/>
        </w:rPr>
        <w:t>ë</w:t>
      </w:r>
      <w:r>
        <w:rPr>
          <w:rFonts w:asciiTheme="minorHAnsi" w:hAnsiTheme="minorHAnsi"/>
          <w:lang w:val="sq-AL"/>
        </w:rPr>
        <w:t>k</w:t>
      </w:r>
      <w:r w:rsidR="007E571D">
        <w:rPr>
          <w:rFonts w:asciiTheme="minorHAnsi" w:hAnsiTheme="minorHAnsi"/>
          <w:lang w:val="sq-AL"/>
        </w:rPr>
        <w:t>ë</w:t>
      </w:r>
      <w:r>
        <w:rPr>
          <w:rFonts w:asciiTheme="minorHAnsi" w:hAnsiTheme="minorHAnsi"/>
          <w:lang w:val="sq-AL"/>
        </w:rPr>
        <w:t>mbjes s</w:t>
      </w:r>
      <w:r w:rsidR="007E571D">
        <w:rPr>
          <w:rFonts w:asciiTheme="minorHAnsi" w:hAnsiTheme="minorHAnsi"/>
          <w:lang w:val="sq-AL"/>
        </w:rPr>
        <w:t>ë</w:t>
      </w:r>
      <w:r>
        <w:rPr>
          <w:rFonts w:asciiTheme="minorHAnsi" w:hAnsiTheme="minorHAnsi"/>
          <w:lang w:val="sq-AL"/>
        </w:rPr>
        <w:t xml:space="preserve"> sektor</w:t>
      </w:r>
      <w:r w:rsidR="007E571D">
        <w:rPr>
          <w:rFonts w:asciiTheme="minorHAnsi" w:hAnsiTheme="minorHAnsi"/>
          <w:lang w:val="sq-AL"/>
        </w:rPr>
        <w:t>ë</w:t>
      </w:r>
      <w:r>
        <w:rPr>
          <w:rFonts w:asciiTheme="minorHAnsi" w:hAnsiTheme="minorHAnsi"/>
          <w:lang w:val="sq-AL"/>
        </w:rPr>
        <w:t>ve kyç t</w:t>
      </w:r>
      <w:r w:rsidR="007E571D">
        <w:rPr>
          <w:rFonts w:asciiTheme="minorHAnsi" w:hAnsiTheme="minorHAnsi"/>
          <w:lang w:val="sq-AL"/>
        </w:rPr>
        <w:t>ë</w:t>
      </w:r>
      <w:r>
        <w:rPr>
          <w:rFonts w:asciiTheme="minorHAnsi" w:hAnsiTheme="minorHAnsi"/>
          <w:lang w:val="sq-AL"/>
        </w:rPr>
        <w:t xml:space="preserve"> ekonomis</w:t>
      </w:r>
      <w:r w:rsidR="007E571D">
        <w:rPr>
          <w:rFonts w:asciiTheme="minorHAnsi" w:hAnsiTheme="minorHAnsi"/>
          <w:lang w:val="sq-AL"/>
        </w:rPr>
        <w:t>ë</w:t>
      </w:r>
      <w:r>
        <w:rPr>
          <w:rFonts w:asciiTheme="minorHAnsi" w:hAnsiTheme="minorHAnsi"/>
          <w:lang w:val="sq-AL"/>
        </w:rPr>
        <w:t xml:space="preserve"> n</w:t>
      </w:r>
      <w:r w:rsidR="007E571D">
        <w:rPr>
          <w:rFonts w:asciiTheme="minorHAnsi" w:hAnsiTheme="minorHAnsi"/>
          <w:lang w:val="sq-AL"/>
        </w:rPr>
        <w:t>ë</w:t>
      </w:r>
      <w:r>
        <w:rPr>
          <w:rFonts w:asciiTheme="minorHAnsi" w:hAnsiTheme="minorHAnsi"/>
          <w:lang w:val="sq-AL"/>
        </w:rPr>
        <w:t xml:space="preserve"> t</w:t>
      </w:r>
      <w:r w:rsidR="007E571D">
        <w:rPr>
          <w:rFonts w:asciiTheme="minorHAnsi" w:hAnsiTheme="minorHAnsi"/>
          <w:lang w:val="sq-AL"/>
        </w:rPr>
        <w:t>ë</w:t>
      </w:r>
      <w:r>
        <w:rPr>
          <w:rFonts w:asciiTheme="minorHAnsi" w:hAnsiTheme="minorHAnsi"/>
          <w:lang w:val="sq-AL"/>
        </w:rPr>
        <w:t>r</w:t>
      </w:r>
      <w:r w:rsidR="007E571D">
        <w:rPr>
          <w:rFonts w:asciiTheme="minorHAnsi" w:hAnsiTheme="minorHAnsi"/>
          <w:lang w:val="sq-AL"/>
        </w:rPr>
        <w:t>ë</w:t>
      </w:r>
      <w:r w:rsidR="00E02DC5">
        <w:rPr>
          <w:rFonts w:asciiTheme="minorHAnsi" w:hAnsiTheme="minorHAnsi"/>
          <w:lang w:val="sq-AL"/>
        </w:rPr>
        <w:t xml:space="preserve">si, </w:t>
      </w:r>
      <w:r w:rsidR="00E02DC5" w:rsidRPr="00E02DC5">
        <w:rPr>
          <w:rFonts w:asciiTheme="minorHAnsi" w:hAnsiTheme="minorHAnsi"/>
          <w:lang w:val="sq-AL"/>
        </w:rPr>
        <w:t xml:space="preserve">me objektiv primar përmirësimin gradual </w:t>
      </w:r>
      <w:r w:rsidR="00E02DC5">
        <w:rPr>
          <w:rFonts w:asciiTheme="minorHAnsi" w:hAnsiTheme="minorHAnsi"/>
          <w:lang w:val="sq-AL"/>
        </w:rPr>
        <w:t xml:space="preserve">të treguesve makro-fiskal e buxhetorë </w:t>
      </w:r>
      <w:r w:rsidR="00E02DC5" w:rsidRPr="00E02DC5">
        <w:rPr>
          <w:rFonts w:asciiTheme="minorHAnsi" w:hAnsiTheme="minorHAnsi"/>
          <w:lang w:val="sq-AL"/>
        </w:rPr>
        <w:t>dhe ruajtjen e qendrueshmerise fiskale</w:t>
      </w:r>
      <w:r w:rsidR="00E02DC5">
        <w:rPr>
          <w:rFonts w:asciiTheme="minorHAnsi" w:hAnsiTheme="minorHAnsi"/>
          <w:lang w:val="sq-AL"/>
        </w:rPr>
        <w:t>.</w:t>
      </w:r>
      <w:r>
        <w:rPr>
          <w:rFonts w:asciiTheme="minorHAnsi" w:hAnsiTheme="minorHAnsi"/>
          <w:lang w:val="sq-AL"/>
        </w:rPr>
        <w:t xml:space="preserve"> </w:t>
      </w:r>
    </w:p>
    <w:p w:rsidR="00796E6A" w:rsidRDefault="00796E6A" w:rsidP="007C4932">
      <w:pPr>
        <w:spacing w:line="276" w:lineRule="auto"/>
        <w:jc w:val="both"/>
        <w:rPr>
          <w:rFonts w:asciiTheme="minorHAnsi" w:hAnsiTheme="minorHAnsi"/>
          <w:lang w:val="sq-AL"/>
        </w:rPr>
      </w:pPr>
    </w:p>
    <w:p w:rsidR="00E812EF" w:rsidRPr="001E18DB" w:rsidRDefault="002570C3" w:rsidP="00B95810">
      <w:pPr>
        <w:pStyle w:val="Heading1"/>
        <w:numPr>
          <w:ilvl w:val="0"/>
          <w:numId w:val="1"/>
        </w:numPr>
        <w:spacing w:line="276" w:lineRule="auto"/>
        <w:ind w:left="720"/>
        <w:jc w:val="both"/>
        <w:rPr>
          <w:sz w:val="32"/>
          <w:u w:val="none"/>
        </w:rPr>
      </w:pPr>
      <w:bookmarkStart w:id="76" w:name="_Toc44403613"/>
      <w:r w:rsidRPr="001E18DB">
        <w:rPr>
          <w:sz w:val="32"/>
          <w:u w:val="none"/>
        </w:rPr>
        <w:t xml:space="preserve">MENAXHIMI I BORXHIT </w:t>
      </w:r>
      <w:r w:rsidR="00A14825" w:rsidRPr="001E18DB">
        <w:rPr>
          <w:sz w:val="32"/>
          <w:u w:val="none"/>
        </w:rPr>
        <w:t>PUBLIK</w:t>
      </w:r>
      <w:bookmarkEnd w:id="76"/>
      <w:r w:rsidR="00A14825" w:rsidRPr="001E18DB">
        <w:rPr>
          <w:sz w:val="32"/>
          <w:u w:val="none"/>
        </w:rPr>
        <w:t xml:space="preserve"> </w:t>
      </w:r>
      <w:bookmarkEnd w:id="0"/>
    </w:p>
    <w:p w:rsidR="00A666F4" w:rsidRPr="00A666F4" w:rsidRDefault="00A666F4" w:rsidP="00A666F4">
      <w:pPr>
        <w:spacing w:line="276" w:lineRule="auto"/>
        <w:jc w:val="both"/>
        <w:rPr>
          <w:rFonts w:asciiTheme="minorHAnsi" w:eastAsia="MS Mincho" w:hAnsiTheme="minorHAnsi"/>
          <w:sz w:val="8"/>
          <w:szCs w:val="8"/>
          <w:highlight w:val="yellow"/>
          <w:lang w:val="sq-AL"/>
        </w:rPr>
      </w:pPr>
    </w:p>
    <w:p w:rsidR="00A666F4" w:rsidRPr="00A666F4" w:rsidRDefault="00A666F4" w:rsidP="00A666F4">
      <w:pPr>
        <w:spacing w:line="276" w:lineRule="auto"/>
        <w:jc w:val="both"/>
        <w:rPr>
          <w:rFonts w:asciiTheme="minorHAnsi" w:hAnsiTheme="minorHAnsi"/>
          <w:noProof/>
          <w:color w:val="000000"/>
          <w:szCs w:val="23"/>
        </w:rPr>
      </w:pPr>
      <w:r w:rsidRPr="00A666F4">
        <w:rPr>
          <w:rFonts w:asciiTheme="minorHAnsi" w:eastAsia="MS Mincho" w:hAnsiTheme="minorHAnsi"/>
          <w:lang w:val="sq-AL"/>
        </w:rPr>
        <w:t>Borxhi publik gjatë periudhës janar-mars 2020 përgjithësisht u karakterizua nga një ecuri pozitive, duke qenë në përputhje me buxhetin e planifikuar për vitin 2019 dhe objektivat e Strategjisë Afatmesme të Menaxhimit të Borxhit.</w:t>
      </w:r>
      <w:r>
        <w:rPr>
          <w:rFonts w:asciiTheme="minorHAnsi" w:eastAsia="MS Mincho" w:hAnsiTheme="minorHAnsi"/>
          <w:lang w:val="sq-AL"/>
        </w:rPr>
        <w:t xml:space="preserve"> </w:t>
      </w:r>
      <w:r w:rsidRPr="00A666F4">
        <w:rPr>
          <w:rFonts w:asciiTheme="minorHAnsi" w:eastAsia="MS Mincho" w:hAnsiTheme="minorHAnsi"/>
          <w:lang w:val="sq-AL"/>
        </w:rPr>
        <w:t>Huamarrja në tremujorin e parë është realizuar në linjë me buxhetin e vitit 2020</w:t>
      </w:r>
      <w:r w:rsidRPr="00A666F4">
        <w:rPr>
          <w:rFonts w:asciiTheme="minorHAnsi" w:eastAsia="MS Mincho" w:hAnsiTheme="minorHAnsi"/>
          <w:vertAlign w:val="superscript"/>
          <w:lang w:val="sq-AL"/>
        </w:rPr>
        <w:footnoteReference w:id="2"/>
      </w:r>
      <w:r w:rsidRPr="00A666F4">
        <w:rPr>
          <w:rFonts w:asciiTheme="minorHAnsi" w:eastAsia="MS Mincho" w:hAnsiTheme="minorHAnsi"/>
          <w:lang w:val="sq-AL"/>
        </w:rPr>
        <w:t xml:space="preserve"> dhe në përputhje me objektivat strategjikë për ruajtjen e qëndrueshmërisë së raporteve ndërmjet kostos dhe risqeve. Nëpërmjet burimeve të huamarrjes u mundësua rifinancimi i borxhit ekzistues, menaxhimi i nevojave për likuiditet, si edhe financimin e deficitit të planifikuar për  tremujorin e parë të vitit 2020. Gjatë këtij tremujori nevojat për huamarrje kanë shënuar një rritje të moderuar krahasuar me të njëjtën periudhë të vitit të kaluar, kryesisht duke reflektuar masat e ndërmarra në kaudër të reduktimit të riskut të rifinancimit që buron nga maturimi i Eurobond-it në tremujorin e fundit të vitit. Në përputhje me objektivat e Strategjisë Afatmesme të Menaxhimit të Borxhit, gjatë tremujorit të parë të vitit 2020 u menaxhua reduktimi i mëtejshëm i ekspozimit ndaj risqeve të borxhit të brendshëm, si edhe u vijua me aktivitete në drejtim të zhvillimit të tregut të titujve shtetërorë.</w:t>
      </w:r>
      <w:r>
        <w:rPr>
          <w:rFonts w:asciiTheme="minorHAnsi" w:eastAsia="MS Mincho" w:hAnsiTheme="minorHAnsi"/>
          <w:lang w:val="sq-AL"/>
        </w:rPr>
        <w:t xml:space="preserve"> </w:t>
      </w:r>
      <w:r w:rsidRPr="00A666F4">
        <w:rPr>
          <w:rFonts w:asciiTheme="minorHAnsi" w:eastAsia="MS Mincho" w:hAnsiTheme="minorHAnsi"/>
          <w:lang w:val="sq-AL"/>
        </w:rPr>
        <w:t xml:space="preserve">Në drejtim të reduktimit të risqeve ndikim ka pasur realizimi i huamarrjes së re më së shumti nëpërmjet titujve afatgjatë me norma interesi fikse, duke mundësuar rritjen e peshës së këtyre titujve në portofolin e borxhit. </w:t>
      </w:r>
      <w:r w:rsidRPr="00A666F4">
        <w:rPr>
          <w:rFonts w:asciiTheme="minorHAnsi" w:hAnsiTheme="minorHAnsi"/>
          <w:noProof/>
          <w:color w:val="000000"/>
          <w:szCs w:val="23"/>
        </w:rPr>
        <w:t>Në vazhdim të angazhimit të ndërmarrë në lidhje me përmirësimin e mëtejshëm të tregut primar dhe zhvillimin e tregut sekondar të titujve shtetërorë, përgjatë tremujorit të parë të vitit 2020 është vijuar me praktikat që kontribuojnë në krijimin e madhësive referencë dhe konsolidimin e kurbës së yield-it.</w:t>
      </w:r>
    </w:p>
    <w:p w:rsidR="00796E6A" w:rsidRPr="00796E6A" w:rsidRDefault="00796E6A" w:rsidP="00A666F4">
      <w:pPr>
        <w:spacing w:line="276" w:lineRule="auto"/>
        <w:jc w:val="both"/>
        <w:rPr>
          <w:rFonts w:asciiTheme="minorHAnsi" w:hAnsiTheme="minorHAnsi"/>
          <w:noProof/>
          <w:sz w:val="8"/>
          <w:szCs w:val="8"/>
        </w:rPr>
      </w:pPr>
    </w:p>
    <w:p w:rsidR="00A666F4" w:rsidRPr="00A666F4" w:rsidRDefault="00A666F4" w:rsidP="00A666F4">
      <w:pPr>
        <w:spacing w:line="276" w:lineRule="auto"/>
        <w:jc w:val="both"/>
        <w:rPr>
          <w:rFonts w:asciiTheme="minorHAnsi" w:eastAsia="MS Mincho" w:hAnsiTheme="minorHAnsi"/>
          <w:lang w:val="sq-AL"/>
        </w:rPr>
      </w:pPr>
      <w:r w:rsidRPr="00A666F4">
        <w:rPr>
          <w:rFonts w:asciiTheme="minorHAnsi" w:hAnsiTheme="minorHAnsi"/>
          <w:noProof/>
          <w:szCs w:val="23"/>
        </w:rPr>
        <w:t>Për sa i përket zhvillimeve në tregun primar, kërkesa për tituj shtetërorë, megjithëse mbetet ende jo shumë e diversifikuar dhe e bazuar kryesisht tek sektori bankar, gjatë tremujorit të parë të vitit 2020 ka qenë e kënaqshme dhe ka mbuluar plotësisht nevojat e qeverisë për huamarrje të brendshme, përfshirë këtu edhe nevojat përgjatë muajit mars ku pandemia COVID-19 ishte shfaqur në Republikën e Shqipërisë.</w:t>
      </w:r>
    </w:p>
    <w:p w:rsidR="00796E6A" w:rsidRPr="00796E6A" w:rsidRDefault="00796E6A" w:rsidP="00A666F4">
      <w:pPr>
        <w:spacing w:line="276" w:lineRule="auto"/>
        <w:jc w:val="both"/>
        <w:rPr>
          <w:rFonts w:asciiTheme="minorHAnsi" w:eastAsia="MS Mincho" w:hAnsiTheme="minorHAnsi"/>
          <w:sz w:val="8"/>
          <w:szCs w:val="8"/>
          <w:lang w:val="sq-AL"/>
        </w:rPr>
      </w:pPr>
    </w:p>
    <w:p w:rsidR="00A666F4" w:rsidRDefault="00A666F4" w:rsidP="00A666F4">
      <w:pPr>
        <w:spacing w:line="276" w:lineRule="auto"/>
        <w:jc w:val="both"/>
        <w:rPr>
          <w:rFonts w:asciiTheme="minorHAnsi" w:eastAsia="MS Mincho" w:hAnsiTheme="minorHAnsi"/>
          <w:lang w:val="sq-AL"/>
        </w:rPr>
      </w:pPr>
      <w:r w:rsidRPr="00A666F4">
        <w:rPr>
          <w:rFonts w:asciiTheme="minorHAnsi" w:eastAsia="MS Mincho" w:hAnsiTheme="minorHAnsi"/>
          <w:lang w:val="sq-AL"/>
        </w:rPr>
        <w:t>Normat e interesit në tregun e titujve shtetërorë kanë shfaqur një tendencë rritëse përgjatë tremujorit të parë, pothuajse në të gjitha maturitetet e titujve. Megjithëse kjo rritje ka qënë brenda pritshmërive për vitin 2020, vlerësohet të ketë patur një përshpejtim të saj, kryesisht të ndikuar nga pasiguria në tregjet financiare për shkak të pandemisë COVID-19.</w:t>
      </w:r>
    </w:p>
    <w:p w:rsidR="00591367" w:rsidRDefault="00CB4875" w:rsidP="002334F6">
      <w:pPr>
        <w:pStyle w:val="Heading2"/>
      </w:pPr>
      <w:bookmarkStart w:id="77" w:name="_Toc44403614"/>
      <w:r w:rsidRPr="0065598A">
        <w:lastRenderedPageBreak/>
        <w:t>I</w:t>
      </w:r>
      <w:r w:rsidR="006C73CF" w:rsidRPr="0065598A">
        <w:t>V.1</w:t>
      </w:r>
      <w:r w:rsidR="006C73CF" w:rsidRPr="0065598A">
        <w:tab/>
        <w:t xml:space="preserve">Stoku i Borxhit </w:t>
      </w:r>
      <w:r w:rsidR="00996855" w:rsidRPr="0065598A">
        <w:t>Publik</w:t>
      </w:r>
      <w:bookmarkEnd w:id="77"/>
    </w:p>
    <w:p w:rsidR="00591367" w:rsidRDefault="00591367" w:rsidP="00591367">
      <w:pPr>
        <w:spacing w:line="276" w:lineRule="auto"/>
        <w:jc w:val="both"/>
        <w:rPr>
          <w:rFonts w:asciiTheme="minorHAnsi" w:hAnsiTheme="minorHAnsi"/>
          <w:lang w:val="sq-AL"/>
        </w:rPr>
      </w:pPr>
      <w:r w:rsidRPr="00591367">
        <w:rPr>
          <w:rFonts w:asciiTheme="minorHAnsi" w:hAnsiTheme="minorHAnsi"/>
          <w:lang w:val="sq-AL"/>
        </w:rPr>
        <w:t>Në fund të muajit mars 2020, borxhi publik u vlerësua në nivelin 1,162.4 miliard Lekë ose 66.7% e PBB . Në terma nominal, stoku i borxhit publik është rritur më rreth 49.8 miliard Lekë krahasuar me fundin e vitit 2019, nga të cilat 11.1 miliard Lekë i korrespondojnë rritjes së borxhit të brendshëm dhe 38.6 miliard Lekë borxhit të jashtëm. Rritja e stokut të borxhit të jashtëm i atribuohet kryesisht nënçmimit të monedhës vendase ndaj monedheva të tjera që kompozojnë portofolin e borxhit të jashtëm. Me përhapjen e pandemisë COVID-19 edhe në vendin tonë, tregu i këmbimit valutor pësoi luhatje të ndjeshme, si rrjedhojë, krahasuar me fundin e vitit 2019, monedha vendase u zhvlerësua me rreth 7.3% kundrejt monedhës Euro.</w:t>
      </w:r>
    </w:p>
    <w:p w:rsidR="00847FA6" w:rsidRDefault="00847FA6" w:rsidP="00847FA6">
      <w:pPr>
        <w:ind w:right="-46"/>
        <w:rPr>
          <w:rFonts w:asciiTheme="minorHAnsi" w:hAnsiTheme="minorHAnsi"/>
          <w:i/>
          <w:noProof/>
        </w:rPr>
      </w:pPr>
    </w:p>
    <w:p w:rsidR="00847FA6" w:rsidRPr="00EB3166" w:rsidRDefault="00847FA6" w:rsidP="00847FA6">
      <w:pPr>
        <w:spacing w:line="276" w:lineRule="auto"/>
        <w:ind w:right="-46"/>
        <w:rPr>
          <w:rFonts w:asciiTheme="minorHAnsi" w:hAnsiTheme="minorHAnsi"/>
          <w:i/>
        </w:rPr>
      </w:pPr>
      <w:bookmarkStart w:id="78" w:name="_Toc44404474"/>
      <w:r w:rsidRPr="00847FA6">
        <w:rPr>
          <w:rFonts w:asciiTheme="minorHAnsi" w:hAnsiTheme="minorHAnsi"/>
          <w:i/>
          <w:noProof/>
        </w:rPr>
        <w:t xml:space="preserve">Grafiku </w:t>
      </w:r>
      <w:r w:rsidRPr="00847FA6">
        <w:rPr>
          <w:rFonts w:asciiTheme="minorHAnsi" w:hAnsiTheme="minorHAnsi"/>
          <w:i/>
          <w:noProof/>
        </w:rPr>
        <w:fldChar w:fldCharType="begin"/>
      </w:r>
      <w:r w:rsidRPr="00847FA6">
        <w:rPr>
          <w:rFonts w:asciiTheme="minorHAnsi" w:hAnsiTheme="minorHAnsi"/>
          <w:i/>
          <w:noProof/>
        </w:rPr>
        <w:instrText xml:space="preserve"> SEQ Grafiku \* ARABIC </w:instrText>
      </w:r>
      <w:r w:rsidRPr="00847FA6">
        <w:rPr>
          <w:rFonts w:asciiTheme="minorHAnsi" w:hAnsiTheme="minorHAnsi"/>
          <w:i/>
          <w:noProof/>
        </w:rPr>
        <w:fldChar w:fldCharType="separate"/>
      </w:r>
      <w:r w:rsidR="00C342E2">
        <w:rPr>
          <w:rFonts w:asciiTheme="minorHAnsi" w:hAnsiTheme="minorHAnsi"/>
          <w:i/>
          <w:noProof/>
        </w:rPr>
        <w:t>34</w:t>
      </w:r>
      <w:r w:rsidRPr="00847FA6">
        <w:rPr>
          <w:rFonts w:asciiTheme="minorHAnsi" w:hAnsiTheme="minorHAnsi"/>
          <w:i/>
          <w:noProof/>
        </w:rPr>
        <w:fldChar w:fldCharType="end"/>
      </w:r>
      <w:r w:rsidRPr="00EB3166">
        <w:rPr>
          <w:rFonts w:asciiTheme="minorHAnsi" w:hAnsiTheme="minorHAnsi"/>
          <w:i/>
          <w:noProof/>
        </w:rPr>
        <w:t xml:space="preserve">: </w:t>
      </w:r>
      <w:r w:rsidRPr="00847FA6">
        <w:rPr>
          <w:rFonts w:asciiTheme="minorHAnsi" w:hAnsiTheme="minorHAnsi"/>
          <w:i/>
          <w:noProof/>
        </w:rPr>
        <w:t>Borxhi publik në vlerë absolute dhe relative ndaj PBB (2016–Mars 2020)</w:t>
      </w:r>
      <w:bookmarkEnd w:id="78"/>
    </w:p>
    <w:p w:rsidR="00591367" w:rsidRPr="00591367" w:rsidRDefault="00591367" w:rsidP="00591367">
      <w:pPr>
        <w:tabs>
          <w:tab w:val="left" w:pos="2730"/>
        </w:tabs>
        <w:spacing w:line="276" w:lineRule="auto"/>
        <w:jc w:val="center"/>
        <w:rPr>
          <w:rFonts w:asciiTheme="minorHAnsi" w:hAnsiTheme="minorHAnsi"/>
          <w:lang w:val="sq-AL"/>
        </w:rPr>
      </w:pPr>
      <w:r w:rsidRPr="00591367">
        <w:rPr>
          <w:rFonts w:asciiTheme="minorHAnsi" w:hAnsiTheme="minorHAnsi"/>
          <w:noProof/>
        </w:rPr>
        <w:drawing>
          <wp:inline distT="0" distB="0" distL="0" distR="0" wp14:anchorId="5D9CFD17" wp14:editId="6AA65410">
            <wp:extent cx="5924550" cy="1666875"/>
            <wp:effectExtent l="0" t="0" r="19050" b="9525"/>
            <wp:docPr id="306" name="Chart 306"/>
            <wp:cNvGraphicFramePr/>
            <a:graphic xmlns:a="http://schemas.openxmlformats.org/drawingml/2006/main">
              <a:graphicData uri="http://schemas.openxmlformats.org/drawingml/2006/chart">
                <c:chart xmlns:c="http://schemas.openxmlformats.org/drawingml/2006/chart" xmlns:r="http://schemas.openxmlformats.org/officeDocument/2006/relationships" r:id="rId50"/>
              </a:graphicData>
            </a:graphic>
          </wp:inline>
        </w:drawing>
      </w:r>
    </w:p>
    <w:p w:rsidR="00591367" w:rsidRPr="00591367" w:rsidRDefault="00591367" w:rsidP="00EB3166">
      <w:pPr>
        <w:tabs>
          <w:tab w:val="left" w:pos="540"/>
        </w:tabs>
        <w:spacing w:line="276" w:lineRule="auto"/>
        <w:rPr>
          <w:rFonts w:asciiTheme="minorHAnsi" w:hAnsiTheme="minorHAnsi"/>
          <w:i/>
          <w:sz w:val="20"/>
          <w:lang w:val="sq-AL"/>
        </w:rPr>
      </w:pPr>
      <w:r w:rsidRPr="00591367">
        <w:rPr>
          <w:rFonts w:asciiTheme="minorHAnsi" w:hAnsiTheme="minorHAnsi"/>
          <w:i/>
          <w:sz w:val="20"/>
          <w:lang w:val="sq-AL"/>
        </w:rPr>
        <w:t>Burimi: Ministria e Financave dhe Ekonomisë (2020)</w:t>
      </w:r>
    </w:p>
    <w:p w:rsidR="00591367" w:rsidRPr="00591367" w:rsidRDefault="00591367" w:rsidP="00591367">
      <w:pPr>
        <w:tabs>
          <w:tab w:val="left" w:pos="540"/>
        </w:tabs>
        <w:spacing w:line="276" w:lineRule="auto"/>
        <w:jc w:val="both"/>
        <w:rPr>
          <w:rFonts w:asciiTheme="minorHAnsi" w:eastAsia="MS Mincho" w:hAnsiTheme="minorHAnsi"/>
          <w:lang w:val="sq-AL"/>
        </w:rPr>
      </w:pPr>
      <w:r w:rsidRPr="00591367">
        <w:rPr>
          <w:rFonts w:asciiTheme="minorHAnsi" w:eastAsia="MS Mincho" w:hAnsiTheme="minorHAnsi"/>
          <w:lang w:val="sq-AL"/>
        </w:rPr>
        <w:t>Niveli i borxhit të brendshëm dhe atij të jashtëm i qeverisë qendrore në raport me totalin e borxhit publik janë përkatësisht rreth 52.4% dhe 47.6%, duke shënuar një rritje të lehtë në drejtim të borxhit të jashtëm me 1.3 pp. Për sa i përket kompozimit të portofolit të borxhit publik sipas instrumenteve, më shumë se gjysmën e peshës vazhdojnë ta mbajnë instrumentet e tregtueshme (bono thesari, obligacione, eurobond), ndjekur nga huatë e huaja me destinacion financimin e projekteve dhe huatë në formën e mbështetjes buxhetore.</w:t>
      </w:r>
    </w:p>
    <w:p w:rsidR="00591367" w:rsidRPr="00591367" w:rsidRDefault="00591367" w:rsidP="00591367">
      <w:pPr>
        <w:spacing w:line="276" w:lineRule="auto"/>
        <w:ind w:right="-46"/>
        <w:jc w:val="both"/>
        <w:rPr>
          <w:rFonts w:asciiTheme="minorHAnsi" w:eastAsia="MS Mincho" w:hAnsiTheme="minorHAnsi"/>
          <w:sz w:val="8"/>
          <w:szCs w:val="8"/>
          <w:lang w:val="sq-AL"/>
        </w:rPr>
      </w:pPr>
    </w:p>
    <w:p w:rsidR="00847FA6" w:rsidRPr="00EB3166" w:rsidRDefault="00847FA6" w:rsidP="00847FA6">
      <w:pPr>
        <w:spacing w:line="276" w:lineRule="auto"/>
        <w:ind w:right="-46"/>
        <w:rPr>
          <w:rFonts w:asciiTheme="minorHAnsi" w:hAnsiTheme="minorHAnsi"/>
          <w:i/>
          <w:noProof/>
        </w:rPr>
      </w:pPr>
      <w:bookmarkStart w:id="79" w:name="_Toc44404475"/>
      <w:r w:rsidRPr="00847FA6">
        <w:rPr>
          <w:rFonts w:asciiTheme="minorHAnsi" w:hAnsiTheme="minorHAnsi"/>
          <w:i/>
          <w:noProof/>
        </w:rPr>
        <w:t xml:space="preserve">Grafiku </w:t>
      </w:r>
      <w:r w:rsidRPr="00847FA6">
        <w:rPr>
          <w:rFonts w:asciiTheme="minorHAnsi" w:hAnsiTheme="minorHAnsi"/>
          <w:i/>
          <w:noProof/>
        </w:rPr>
        <w:fldChar w:fldCharType="begin"/>
      </w:r>
      <w:r w:rsidRPr="00847FA6">
        <w:rPr>
          <w:rFonts w:asciiTheme="minorHAnsi" w:hAnsiTheme="minorHAnsi"/>
          <w:i/>
          <w:noProof/>
        </w:rPr>
        <w:instrText xml:space="preserve"> SEQ Grafiku \* ARABIC </w:instrText>
      </w:r>
      <w:r w:rsidRPr="00847FA6">
        <w:rPr>
          <w:rFonts w:asciiTheme="minorHAnsi" w:hAnsiTheme="minorHAnsi"/>
          <w:i/>
          <w:noProof/>
        </w:rPr>
        <w:fldChar w:fldCharType="separate"/>
      </w:r>
      <w:r w:rsidR="00C342E2">
        <w:rPr>
          <w:rFonts w:asciiTheme="minorHAnsi" w:hAnsiTheme="minorHAnsi"/>
          <w:i/>
          <w:noProof/>
        </w:rPr>
        <w:t>35</w:t>
      </w:r>
      <w:r w:rsidRPr="00847FA6">
        <w:rPr>
          <w:rFonts w:asciiTheme="minorHAnsi" w:hAnsiTheme="minorHAnsi"/>
          <w:i/>
          <w:noProof/>
        </w:rPr>
        <w:fldChar w:fldCharType="end"/>
      </w:r>
      <w:r w:rsidRPr="00EB3166">
        <w:rPr>
          <w:rFonts w:asciiTheme="minorHAnsi" w:hAnsiTheme="minorHAnsi"/>
          <w:i/>
          <w:noProof/>
        </w:rPr>
        <w:t>: Përbërja e borxhit të qeverisjes qendrore në raport me totalin (2016</w:t>
      </w:r>
      <w:r w:rsidRPr="00847FA6">
        <w:rPr>
          <w:rFonts w:asciiTheme="minorHAnsi" w:hAnsiTheme="minorHAnsi"/>
          <w:i/>
          <w:noProof/>
        </w:rPr>
        <w:t>-</w:t>
      </w:r>
      <w:r w:rsidRPr="00EB3166">
        <w:rPr>
          <w:rFonts w:asciiTheme="minorHAnsi" w:hAnsiTheme="minorHAnsi"/>
          <w:i/>
          <w:noProof/>
        </w:rPr>
        <w:t>Mars 2020)</w:t>
      </w:r>
      <w:bookmarkEnd w:id="79"/>
    </w:p>
    <w:p w:rsidR="00591367" w:rsidRPr="00591367" w:rsidRDefault="00591367" w:rsidP="00591367">
      <w:pPr>
        <w:spacing w:line="276" w:lineRule="auto"/>
        <w:ind w:right="-46"/>
        <w:jc w:val="center"/>
        <w:rPr>
          <w:rFonts w:asciiTheme="minorHAnsi" w:eastAsia="MS Mincho" w:hAnsiTheme="minorHAnsi"/>
          <w:lang w:val="sq-AL"/>
        </w:rPr>
      </w:pPr>
      <w:r w:rsidRPr="00591367">
        <w:rPr>
          <w:rFonts w:asciiTheme="minorHAnsi" w:hAnsiTheme="minorHAnsi"/>
          <w:noProof/>
        </w:rPr>
        <w:drawing>
          <wp:inline distT="0" distB="0" distL="0" distR="0" wp14:anchorId="09F3DB8F" wp14:editId="6B3AA615">
            <wp:extent cx="5924550" cy="1628775"/>
            <wp:effectExtent l="0" t="0" r="0" b="9525"/>
            <wp:docPr id="1"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51"/>
              </a:graphicData>
            </a:graphic>
          </wp:inline>
        </w:drawing>
      </w:r>
    </w:p>
    <w:p w:rsidR="00591367" w:rsidRPr="00591367" w:rsidRDefault="00591367" w:rsidP="00591367">
      <w:pPr>
        <w:spacing w:line="276" w:lineRule="auto"/>
        <w:ind w:right="-46" w:firstLine="720"/>
        <w:rPr>
          <w:rFonts w:asciiTheme="minorHAnsi" w:hAnsiTheme="minorHAnsi"/>
          <w:i/>
          <w:sz w:val="20"/>
          <w:lang w:val="sq-AL"/>
        </w:rPr>
      </w:pPr>
      <w:r w:rsidRPr="00591367">
        <w:rPr>
          <w:rFonts w:asciiTheme="minorHAnsi" w:eastAsia="MS Mincho" w:hAnsiTheme="minorHAnsi"/>
          <w:i/>
          <w:sz w:val="20"/>
          <w:lang w:val="sq-AL"/>
        </w:rPr>
        <w:t xml:space="preserve">Burimi: </w:t>
      </w:r>
      <w:r w:rsidRPr="00591367">
        <w:rPr>
          <w:rFonts w:asciiTheme="minorHAnsi" w:hAnsiTheme="minorHAnsi"/>
          <w:i/>
          <w:sz w:val="20"/>
          <w:lang w:val="sq-AL"/>
        </w:rPr>
        <w:t>Ministria e Financave dhe Ekonomisë (2020)</w:t>
      </w:r>
    </w:p>
    <w:p w:rsidR="00591367" w:rsidRPr="00591367" w:rsidRDefault="00591367" w:rsidP="00591367">
      <w:pPr>
        <w:spacing w:line="276" w:lineRule="auto"/>
        <w:ind w:right="-46"/>
        <w:rPr>
          <w:rFonts w:asciiTheme="minorHAnsi" w:eastAsia="MS Mincho" w:hAnsiTheme="minorHAnsi"/>
          <w:i/>
          <w:lang w:val="sq-AL"/>
        </w:rPr>
      </w:pPr>
    </w:p>
    <w:p w:rsidR="00591367" w:rsidRPr="00D43A95" w:rsidRDefault="00591367" w:rsidP="00591367">
      <w:pPr>
        <w:spacing w:line="276" w:lineRule="auto"/>
        <w:jc w:val="both"/>
        <w:rPr>
          <w:rFonts w:asciiTheme="minorHAnsi" w:hAnsiTheme="minorHAnsi"/>
          <w:i/>
          <w:u w:val="single"/>
          <w:lang w:val="sq-AL"/>
        </w:rPr>
      </w:pPr>
      <w:r w:rsidRPr="00D43A95">
        <w:rPr>
          <w:rFonts w:asciiTheme="minorHAnsi" w:hAnsiTheme="minorHAnsi"/>
          <w:i/>
          <w:u w:val="single"/>
          <w:lang w:val="sq-AL"/>
        </w:rPr>
        <w:t>Përbërja e Borxhit Shtetëror</w:t>
      </w:r>
    </w:p>
    <w:p w:rsidR="00591367" w:rsidRDefault="00591367" w:rsidP="00591367">
      <w:pPr>
        <w:tabs>
          <w:tab w:val="left" w:pos="9000"/>
        </w:tabs>
        <w:spacing w:line="276" w:lineRule="auto"/>
        <w:ind w:right="-46"/>
        <w:jc w:val="both"/>
        <w:rPr>
          <w:rFonts w:asciiTheme="minorHAnsi" w:hAnsiTheme="minorHAnsi"/>
          <w:noProof/>
        </w:rPr>
      </w:pPr>
      <w:r w:rsidRPr="00591367">
        <w:rPr>
          <w:rFonts w:asciiTheme="minorHAnsi" w:hAnsiTheme="minorHAnsi"/>
          <w:noProof/>
        </w:rPr>
        <w:t>Gjatë periudhës janar-mars të vitit 2020 portofoli i borxhit shtetëror vazhdon të dominohet mbi 50% nga titujt shtetërorë të tregtuar</w:t>
      </w:r>
      <w:r w:rsidRPr="00591367">
        <w:rPr>
          <w:rFonts w:asciiTheme="minorHAnsi" w:hAnsiTheme="minorHAnsi"/>
          <w:i/>
          <w:noProof/>
        </w:rPr>
        <w:t xml:space="preserve"> </w:t>
      </w:r>
      <w:r w:rsidRPr="00591367">
        <w:rPr>
          <w:rFonts w:asciiTheme="minorHAnsi" w:hAnsiTheme="minorHAnsi"/>
          <w:noProof/>
        </w:rPr>
        <w:t>në tregun vendas, në përputhje me objektivat strategjikë për mbajtjen nën kontroll të riskut të kursit të këmbimit.</w:t>
      </w:r>
    </w:p>
    <w:p w:rsidR="00796E6A" w:rsidRDefault="00796E6A" w:rsidP="00591367">
      <w:pPr>
        <w:tabs>
          <w:tab w:val="left" w:pos="9000"/>
        </w:tabs>
        <w:spacing w:line="276" w:lineRule="auto"/>
        <w:ind w:right="-46"/>
        <w:jc w:val="both"/>
        <w:rPr>
          <w:rFonts w:asciiTheme="minorHAnsi" w:hAnsiTheme="minorHAnsi"/>
          <w:noProof/>
        </w:rPr>
      </w:pPr>
    </w:p>
    <w:p w:rsidR="00796E6A" w:rsidRPr="00591367" w:rsidRDefault="00796E6A" w:rsidP="00591367">
      <w:pPr>
        <w:tabs>
          <w:tab w:val="left" w:pos="9000"/>
        </w:tabs>
        <w:spacing w:line="276" w:lineRule="auto"/>
        <w:ind w:right="-46"/>
        <w:jc w:val="both"/>
        <w:rPr>
          <w:rFonts w:asciiTheme="minorHAnsi" w:hAnsiTheme="minorHAnsi"/>
          <w:noProof/>
        </w:rPr>
      </w:pPr>
    </w:p>
    <w:p w:rsidR="00591367" w:rsidRPr="00591367" w:rsidRDefault="00591367" w:rsidP="00591367">
      <w:pPr>
        <w:pStyle w:val="ListParagraph"/>
        <w:tabs>
          <w:tab w:val="left" w:pos="9000"/>
        </w:tabs>
        <w:spacing w:line="276" w:lineRule="auto"/>
        <w:ind w:right="-188"/>
        <w:jc w:val="both"/>
        <w:rPr>
          <w:rFonts w:asciiTheme="minorHAnsi" w:hAnsiTheme="minorHAnsi"/>
          <w:noProof/>
          <w:sz w:val="8"/>
          <w:szCs w:val="8"/>
        </w:rPr>
      </w:pPr>
    </w:p>
    <w:p w:rsidR="00847FA6" w:rsidRPr="00EB3166" w:rsidRDefault="00847FA6" w:rsidP="00847FA6">
      <w:pPr>
        <w:spacing w:line="276" w:lineRule="auto"/>
        <w:ind w:left="-1418" w:right="-188" w:firstLine="1418"/>
        <w:rPr>
          <w:rFonts w:asciiTheme="minorHAnsi" w:eastAsia="MS Mincho" w:hAnsiTheme="minorHAnsi"/>
          <w:i/>
          <w:noProof/>
          <w:lang w:val="sq-AL"/>
        </w:rPr>
      </w:pPr>
      <w:bookmarkStart w:id="80" w:name="_Toc44404476"/>
      <w:r w:rsidRPr="00847FA6">
        <w:rPr>
          <w:rFonts w:asciiTheme="minorHAnsi" w:hAnsiTheme="minorHAnsi"/>
          <w:i/>
          <w:noProof/>
        </w:rPr>
        <w:lastRenderedPageBreak/>
        <w:t xml:space="preserve">Grafiku </w:t>
      </w:r>
      <w:r w:rsidRPr="00847FA6">
        <w:rPr>
          <w:rFonts w:asciiTheme="minorHAnsi" w:hAnsiTheme="minorHAnsi"/>
          <w:i/>
          <w:noProof/>
        </w:rPr>
        <w:fldChar w:fldCharType="begin"/>
      </w:r>
      <w:r w:rsidRPr="00847FA6">
        <w:rPr>
          <w:rFonts w:asciiTheme="minorHAnsi" w:hAnsiTheme="minorHAnsi"/>
          <w:i/>
          <w:noProof/>
        </w:rPr>
        <w:instrText xml:space="preserve"> SEQ Grafiku \* ARABIC </w:instrText>
      </w:r>
      <w:r w:rsidRPr="00847FA6">
        <w:rPr>
          <w:rFonts w:asciiTheme="minorHAnsi" w:hAnsiTheme="minorHAnsi"/>
          <w:i/>
          <w:noProof/>
        </w:rPr>
        <w:fldChar w:fldCharType="separate"/>
      </w:r>
      <w:r w:rsidR="00C342E2">
        <w:rPr>
          <w:rFonts w:asciiTheme="minorHAnsi" w:hAnsiTheme="minorHAnsi"/>
          <w:i/>
          <w:noProof/>
        </w:rPr>
        <w:t>36</w:t>
      </w:r>
      <w:r w:rsidRPr="00847FA6">
        <w:rPr>
          <w:rFonts w:asciiTheme="minorHAnsi" w:hAnsiTheme="minorHAnsi"/>
          <w:i/>
          <w:noProof/>
        </w:rPr>
        <w:fldChar w:fldCharType="end"/>
      </w:r>
      <w:r w:rsidRPr="00847FA6">
        <w:rPr>
          <w:rFonts w:asciiTheme="minorHAnsi" w:hAnsiTheme="minorHAnsi"/>
          <w:i/>
          <w:noProof/>
        </w:rPr>
        <w:t>: Kompozimi i portofolit të borxhit shtetëror sipas instrumenteve (2016–Mars 2020)</w:t>
      </w:r>
      <w:bookmarkEnd w:id="80"/>
    </w:p>
    <w:p w:rsidR="00591367" w:rsidRPr="00591367" w:rsidRDefault="00591367" w:rsidP="00591367">
      <w:pPr>
        <w:spacing w:line="276" w:lineRule="auto"/>
        <w:ind w:right="-188"/>
        <w:jc w:val="center"/>
        <w:rPr>
          <w:rFonts w:asciiTheme="minorHAnsi" w:hAnsiTheme="minorHAnsi"/>
          <w:b/>
          <w:noProof/>
          <w:sz w:val="20"/>
          <w:szCs w:val="20"/>
        </w:rPr>
      </w:pPr>
      <w:r w:rsidRPr="00591367">
        <w:rPr>
          <w:rFonts w:asciiTheme="minorHAnsi" w:hAnsiTheme="minorHAnsi"/>
          <w:noProof/>
        </w:rPr>
        <w:drawing>
          <wp:inline distT="0" distB="0" distL="0" distR="0" wp14:anchorId="4402691E" wp14:editId="2B87768C">
            <wp:extent cx="5962650" cy="1440180"/>
            <wp:effectExtent l="0" t="0" r="0" b="7620"/>
            <wp:docPr id="28" name="Chart 28"/>
            <wp:cNvGraphicFramePr/>
            <a:graphic xmlns:a="http://schemas.openxmlformats.org/drawingml/2006/main">
              <a:graphicData uri="http://schemas.openxmlformats.org/drawingml/2006/chart">
                <c:chart xmlns:c="http://schemas.openxmlformats.org/drawingml/2006/chart" xmlns:r="http://schemas.openxmlformats.org/officeDocument/2006/relationships" r:id="rId52"/>
              </a:graphicData>
            </a:graphic>
          </wp:inline>
        </w:drawing>
      </w:r>
    </w:p>
    <w:p w:rsidR="00591367" w:rsidRPr="00591367" w:rsidRDefault="00591367" w:rsidP="00591367">
      <w:pPr>
        <w:spacing w:line="276" w:lineRule="auto"/>
        <w:ind w:right="-188" w:firstLine="720"/>
        <w:rPr>
          <w:rFonts w:asciiTheme="minorHAnsi" w:hAnsiTheme="minorHAnsi"/>
          <w:i/>
          <w:noProof/>
          <w:sz w:val="20"/>
          <w:szCs w:val="20"/>
        </w:rPr>
      </w:pPr>
      <w:r w:rsidRPr="00591367">
        <w:rPr>
          <w:rFonts w:asciiTheme="minorHAnsi" w:hAnsiTheme="minorHAnsi"/>
          <w:i/>
          <w:noProof/>
          <w:sz w:val="20"/>
          <w:szCs w:val="20"/>
        </w:rPr>
        <w:t>Burimi: Ministria e Financave dhe Ekonomisë (2020)</w:t>
      </w:r>
    </w:p>
    <w:p w:rsidR="00591367" w:rsidRPr="00796E6A" w:rsidRDefault="00591367" w:rsidP="00591367">
      <w:pPr>
        <w:spacing w:line="276" w:lineRule="auto"/>
        <w:jc w:val="both"/>
        <w:rPr>
          <w:rFonts w:asciiTheme="minorHAnsi" w:eastAsia="MS Mincho" w:hAnsiTheme="minorHAnsi"/>
          <w:sz w:val="8"/>
          <w:szCs w:val="8"/>
          <w:lang w:val="sq-AL"/>
        </w:rPr>
      </w:pPr>
    </w:p>
    <w:p w:rsidR="00591367" w:rsidRPr="00591367" w:rsidRDefault="00591367" w:rsidP="00591367">
      <w:pPr>
        <w:spacing w:line="276" w:lineRule="auto"/>
        <w:jc w:val="both"/>
        <w:rPr>
          <w:rFonts w:asciiTheme="minorHAnsi" w:eastAsia="MS Mincho" w:hAnsiTheme="minorHAnsi"/>
          <w:lang w:val="sq-AL"/>
        </w:rPr>
      </w:pPr>
      <w:r w:rsidRPr="00591367">
        <w:rPr>
          <w:rFonts w:asciiTheme="minorHAnsi" w:eastAsia="MS Mincho" w:hAnsiTheme="minorHAnsi"/>
          <w:lang w:val="sq-AL"/>
        </w:rPr>
        <w:t>Për sa i përket kompozimit të borxhit të brendshëm, peshën më të madhe vazhdojnë ta mbajnë titujt afatgjatë duke qëndruar në raporte pothuajse të njëjta me fundin e vitit 2019. Ndërkohë, pesha e titujve me norma interesi të ndryshueshme është reduktuar, pasi edhe gjatë kësaj periudhe nuk ka patur emetime të titujve me norma interesi të ndryshueshme, në përputhje me objektivat për reduktimin e riskut të normave të interesit dhe shmangien e fragmentimit të kërkesës për titujt me maturitet të ngjashëm.</w:t>
      </w:r>
    </w:p>
    <w:p w:rsidR="00591367" w:rsidRPr="00591367" w:rsidRDefault="00591367" w:rsidP="00591367">
      <w:pPr>
        <w:spacing w:line="276" w:lineRule="auto"/>
        <w:jc w:val="both"/>
        <w:rPr>
          <w:rFonts w:asciiTheme="minorHAnsi" w:hAnsiTheme="minorHAnsi"/>
          <w:b/>
          <w:sz w:val="8"/>
          <w:szCs w:val="8"/>
          <w:lang w:val="sq-AL"/>
        </w:rPr>
      </w:pPr>
    </w:p>
    <w:p w:rsidR="00847FA6" w:rsidRDefault="00796E6A" w:rsidP="00847FA6">
      <w:pPr>
        <w:pStyle w:val="Caption"/>
        <w:rPr>
          <w:rFonts w:asciiTheme="minorHAnsi" w:hAnsiTheme="minorHAnsi"/>
          <w:i/>
          <w:lang w:val="sq-AL"/>
        </w:rPr>
      </w:pPr>
      <w:bookmarkStart w:id="81" w:name="_Toc44404477"/>
      <w:r w:rsidRPr="00EB3166">
        <w:rPr>
          <w:rFonts w:asciiTheme="minorHAnsi" w:hAnsiTheme="minorHAnsi"/>
          <w:noProof/>
        </w:rPr>
        <w:drawing>
          <wp:anchor distT="0" distB="0" distL="114300" distR="114300" simplePos="0" relativeHeight="251599872" behindDoc="1" locked="0" layoutInCell="1" allowOverlap="1" wp14:anchorId="63AADEAE" wp14:editId="2D2D9A2B">
            <wp:simplePos x="0" y="0"/>
            <wp:positionH relativeFrom="column">
              <wp:posOffset>-34290</wp:posOffset>
            </wp:positionH>
            <wp:positionV relativeFrom="paragraph">
              <wp:posOffset>370840</wp:posOffset>
            </wp:positionV>
            <wp:extent cx="3067050" cy="1775460"/>
            <wp:effectExtent l="0" t="0" r="0" b="0"/>
            <wp:wrapSquare wrapText="bothSides"/>
            <wp:docPr id="29" name="Chart 29"/>
            <wp:cNvGraphicFramePr/>
            <a:graphic xmlns:a="http://schemas.openxmlformats.org/drawingml/2006/main">
              <a:graphicData uri="http://schemas.openxmlformats.org/drawingml/2006/chart">
                <c:chart xmlns:c="http://schemas.openxmlformats.org/drawingml/2006/chart" xmlns:r="http://schemas.openxmlformats.org/officeDocument/2006/relationships" r:id="rId53"/>
              </a:graphicData>
            </a:graphic>
            <wp14:sizeRelH relativeFrom="margin">
              <wp14:pctWidth>0</wp14:pctWidth>
            </wp14:sizeRelH>
            <wp14:sizeRelV relativeFrom="margin">
              <wp14:pctHeight>0</wp14:pctHeight>
            </wp14:sizeRelV>
          </wp:anchor>
        </w:drawing>
      </w:r>
      <w:r w:rsidRPr="00EB3166">
        <w:rPr>
          <w:rFonts w:asciiTheme="minorHAnsi" w:hAnsiTheme="minorHAnsi"/>
          <w:noProof/>
        </w:rPr>
        <w:drawing>
          <wp:anchor distT="0" distB="0" distL="114300" distR="114300" simplePos="0" relativeHeight="251614208" behindDoc="1" locked="0" layoutInCell="1" allowOverlap="1" wp14:anchorId="109FA539" wp14:editId="57923241">
            <wp:simplePos x="0" y="0"/>
            <wp:positionH relativeFrom="column">
              <wp:posOffset>3028950</wp:posOffset>
            </wp:positionH>
            <wp:positionV relativeFrom="paragraph">
              <wp:posOffset>370840</wp:posOffset>
            </wp:positionV>
            <wp:extent cx="3009900" cy="1872615"/>
            <wp:effectExtent l="0" t="0" r="0" b="0"/>
            <wp:wrapSquare wrapText="bothSides"/>
            <wp:docPr id="30" name="Chart 30"/>
            <wp:cNvGraphicFramePr/>
            <a:graphic xmlns:a="http://schemas.openxmlformats.org/drawingml/2006/main">
              <a:graphicData uri="http://schemas.openxmlformats.org/drawingml/2006/chart">
                <c:chart xmlns:c="http://schemas.openxmlformats.org/drawingml/2006/chart" xmlns:r="http://schemas.openxmlformats.org/officeDocument/2006/relationships" r:id="rId54"/>
              </a:graphicData>
            </a:graphic>
            <wp14:sizeRelH relativeFrom="margin">
              <wp14:pctWidth>0</wp14:pctWidth>
            </wp14:sizeRelH>
            <wp14:sizeRelV relativeFrom="margin">
              <wp14:pctHeight>0</wp14:pctHeight>
            </wp14:sizeRelV>
          </wp:anchor>
        </w:drawing>
      </w:r>
      <w:r w:rsidR="00591367" w:rsidRPr="00EB3166">
        <w:rPr>
          <w:rFonts w:asciiTheme="minorHAnsi" w:hAnsiTheme="minorHAnsi"/>
          <w:i/>
          <w:lang w:val="sq-AL"/>
        </w:rPr>
        <w:t xml:space="preserve"> </w:t>
      </w:r>
      <w:r w:rsidR="00847FA6" w:rsidRPr="00847FA6">
        <w:rPr>
          <w:rFonts w:asciiTheme="minorHAnsi" w:hAnsiTheme="minorHAnsi"/>
          <w:b w:val="0"/>
          <w:bCs w:val="0"/>
          <w:i/>
          <w:noProof/>
          <w:color w:val="auto"/>
          <w:sz w:val="24"/>
          <w:szCs w:val="24"/>
        </w:rPr>
        <w:t xml:space="preserve">Grafiku </w:t>
      </w:r>
      <w:r w:rsidR="00847FA6" w:rsidRPr="00847FA6">
        <w:rPr>
          <w:rFonts w:asciiTheme="minorHAnsi" w:hAnsiTheme="minorHAnsi"/>
          <w:b w:val="0"/>
          <w:bCs w:val="0"/>
          <w:i/>
          <w:noProof/>
          <w:color w:val="auto"/>
          <w:sz w:val="24"/>
          <w:szCs w:val="24"/>
        </w:rPr>
        <w:fldChar w:fldCharType="begin"/>
      </w:r>
      <w:r w:rsidR="00847FA6" w:rsidRPr="00847FA6">
        <w:rPr>
          <w:rFonts w:asciiTheme="minorHAnsi" w:hAnsiTheme="minorHAnsi"/>
          <w:b w:val="0"/>
          <w:bCs w:val="0"/>
          <w:i/>
          <w:noProof/>
          <w:color w:val="auto"/>
          <w:sz w:val="24"/>
          <w:szCs w:val="24"/>
        </w:rPr>
        <w:instrText xml:space="preserve"> SEQ Grafiku \* ARABIC </w:instrText>
      </w:r>
      <w:r w:rsidR="00847FA6" w:rsidRPr="00847FA6">
        <w:rPr>
          <w:rFonts w:asciiTheme="minorHAnsi" w:hAnsiTheme="minorHAnsi"/>
          <w:b w:val="0"/>
          <w:bCs w:val="0"/>
          <w:i/>
          <w:noProof/>
          <w:color w:val="auto"/>
          <w:sz w:val="24"/>
          <w:szCs w:val="24"/>
        </w:rPr>
        <w:fldChar w:fldCharType="separate"/>
      </w:r>
      <w:r w:rsidR="00C342E2">
        <w:rPr>
          <w:rFonts w:asciiTheme="minorHAnsi" w:hAnsiTheme="minorHAnsi"/>
          <w:b w:val="0"/>
          <w:bCs w:val="0"/>
          <w:i/>
          <w:noProof/>
          <w:color w:val="auto"/>
          <w:sz w:val="24"/>
          <w:szCs w:val="24"/>
        </w:rPr>
        <w:t>37</w:t>
      </w:r>
      <w:r w:rsidR="00847FA6" w:rsidRPr="00847FA6">
        <w:rPr>
          <w:rFonts w:asciiTheme="minorHAnsi" w:hAnsiTheme="minorHAnsi"/>
          <w:b w:val="0"/>
          <w:bCs w:val="0"/>
          <w:i/>
          <w:noProof/>
          <w:color w:val="auto"/>
          <w:sz w:val="24"/>
          <w:szCs w:val="24"/>
        </w:rPr>
        <w:fldChar w:fldCharType="end"/>
      </w:r>
      <w:r w:rsidR="00847FA6" w:rsidRPr="00847FA6">
        <w:rPr>
          <w:rFonts w:asciiTheme="minorHAnsi" w:hAnsiTheme="minorHAnsi"/>
          <w:b w:val="0"/>
          <w:bCs w:val="0"/>
          <w:i/>
          <w:noProof/>
          <w:color w:val="auto"/>
          <w:sz w:val="24"/>
          <w:szCs w:val="24"/>
        </w:rPr>
        <w:t>: Kompozimi i borxhit të brendshëm shtetëror (2016-Mars 2020)</w:t>
      </w:r>
      <w:bookmarkEnd w:id="81"/>
    </w:p>
    <w:p w:rsidR="00796E6A" w:rsidRPr="00796E6A" w:rsidRDefault="00796E6A" w:rsidP="00591367">
      <w:pPr>
        <w:spacing w:line="276" w:lineRule="auto"/>
        <w:rPr>
          <w:rFonts w:asciiTheme="minorHAnsi" w:eastAsia="MS Mincho" w:hAnsiTheme="minorHAnsi"/>
          <w:i/>
          <w:sz w:val="8"/>
          <w:szCs w:val="8"/>
          <w:lang w:val="sq-AL"/>
        </w:rPr>
      </w:pPr>
    </w:p>
    <w:p w:rsidR="00591367" w:rsidRPr="00847FA6" w:rsidRDefault="00591367" w:rsidP="00591367">
      <w:pPr>
        <w:spacing w:line="276" w:lineRule="auto"/>
        <w:rPr>
          <w:rFonts w:asciiTheme="minorHAnsi" w:hAnsiTheme="minorHAnsi"/>
          <w:i/>
          <w:lang w:val="sq-AL"/>
        </w:rPr>
      </w:pPr>
      <w:r w:rsidRPr="00591367">
        <w:rPr>
          <w:rFonts w:asciiTheme="minorHAnsi" w:eastAsia="MS Mincho" w:hAnsiTheme="minorHAnsi"/>
          <w:i/>
          <w:sz w:val="20"/>
          <w:lang w:val="sq-AL"/>
        </w:rPr>
        <w:t xml:space="preserve">Burimi: </w:t>
      </w:r>
      <w:r w:rsidRPr="00591367">
        <w:rPr>
          <w:rFonts w:asciiTheme="minorHAnsi" w:hAnsiTheme="minorHAnsi"/>
          <w:i/>
          <w:sz w:val="20"/>
          <w:lang w:val="sq-AL"/>
        </w:rPr>
        <w:t>Ministria e Financave dhe Ekonomisë (2020)</w:t>
      </w:r>
    </w:p>
    <w:p w:rsidR="00591367" w:rsidRPr="00591367" w:rsidRDefault="00591367" w:rsidP="00591367">
      <w:pPr>
        <w:tabs>
          <w:tab w:val="left" w:pos="1916"/>
        </w:tabs>
        <w:spacing w:line="276" w:lineRule="auto"/>
        <w:jc w:val="both"/>
        <w:rPr>
          <w:rFonts w:asciiTheme="minorHAnsi" w:hAnsiTheme="minorHAnsi"/>
          <w:sz w:val="12"/>
          <w:szCs w:val="12"/>
          <w:lang w:val="sq-AL"/>
        </w:rPr>
      </w:pPr>
    </w:p>
    <w:p w:rsidR="00591367" w:rsidRPr="00591367" w:rsidRDefault="00591367" w:rsidP="00591367">
      <w:pPr>
        <w:tabs>
          <w:tab w:val="left" w:pos="1916"/>
        </w:tabs>
        <w:spacing w:line="276" w:lineRule="auto"/>
        <w:jc w:val="both"/>
        <w:rPr>
          <w:rFonts w:asciiTheme="minorHAnsi" w:hAnsiTheme="minorHAnsi"/>
          <w:lang w:val="sq-AL"/>
        </w:rPr>
      </w:pPr>
      <w:r w:rsidRPr="00591367">
        <w:rPr>
          <w:rFonts w:asciiTheme="minorHAnsi" w:hAnsiTheme="minorHAnsi"/>
          <w:lang w:val="sq-AL"/>
        </w:rPr>
        <w:t xml:space="preserve">Në portofolin e borxhit të jashtëm, mbi 50% të peshës e mban borxhi me normë interesi fikse. Ndërkohë, për sa i përket kompozimit sipas instrumenteve, pavarësisht diversifikimit të portofolit drejt instrumenteve të tregtueshme </w:t>
      </w:r>
      <w:r w:rsidRPr="00591367">
        <w:rPr>
          <w:rFonts w:asciiTheme="minorHAnsi" w:hAnsiTheme="minorHAnsi"/>
          <w:i/>
          <w:lang w:val="sq-AL"/>
        </w:rPr>
        <w:t>(p.sh. Eurobond-i)</w:t>
      </w:r>
      <w:r w:rsidRPr="00591367">
        <w:rPr>
          <w:rFonts w:asciiTheme="minorHAnsi" w:hAnsiTheme="minorHAnsi"/>
          <w:lang w:val="sq-AL"/>
        </w:rPr>
        <w:t xml:space="preserve">, peshën më të madhe vazhdojnë ta mbajnë kreditë me burim kreditorët dypalësh dhe shumëpalësh, me destinacion financimin e projekteve me natyrë zhvillimore. </w:t>
      </w:r>
    </w:p>
    <w:p w:rsidR="00591367" w:rsidRPr="00591367" w:rsidRDefault="00591367" w:rsidP="00591367">
      <w:pPr>
        <w:tabs>
          <w:tab w:val="left" w:pos="1916"/>
        </w:tabs>
        <w:spacing w:line="276" w:lineRule="auto"/>
        <w:jc w:val="center"/>
        <w:rPr>
          <w:rFonts w:asciiTheme="minorHAnsi" w:eastAsia="MS Mincho" w:hAnsiTheme="minorHAnsi"/>
          <w:i/>
          <w:noProof/>
          <w:sz w:val="8"/>
          <w:szCs w:val="8"/>
          <w:lang w:val="sq-AL"/>
        </w:rPr>
      </w:pPr>
    </w:p>
    <w:p w:rsidR="00EB3166" w:rsidRPr="00796E6A" w:rsidRDefault="00796E6A" w:rsidP="00721DE4">
      <w:pPr>
        <w:pStyle w:val="Caption"/>
        <w:rPr>
          <w:rFonts w:asciiTheme="minorHAnsi" w:hAnsiTheme="minorHAnsi"/>
          <w:i/>
          <w:sz w:val="10"/>
          <w:lang w:val="sq-AL"/>
        </w:rPr>
      </w:pPr>
      <w:bookmarkStart w:id="82" w:name="_Toc44404478"/>
      <w:r w:rsidRPr="00591367">
        <w:rPr>
          <w:rFonts w:asciiTheme="minorHAnsi" w:hAnsiTheme="minorHAnsi"/>
          <w:noProof/>
          <w:highlight w:val="yellow"/>
        </w:rPr>
        <w:drawing>
          <wp:anchor distT="0" distB="0" distL="114300" distR="114300" simplePos="0" relativeHeight="251657216" behindDoc="1" locked="0" layoutInCell="1" allowOverlap="1" wp14:anchorId="4A710674" wp14:editId="6D1167E1">
            <wp:simplePos x="0" y="0"/>
            <wp:positionH relativeFrom="column">
              <wp:posOffset>3028950</wp:posOffset>
            </wp:positionH>
            <wp:positionV relativeFrom="paragraph">
              <wp:posOffset>331470</wp:posOffset>
            </wp:positionV>
            <wp:extent cx="2806065" cy="1600200"/>
            <wp:effectExtent l="0" t="0" r="0" b="0"/>
            <wp:wrapSquare wrapText="bothSides"/>
            <wp:docPr id="308" name="Chart 308"/>
            <wp:cNvGraphicFramePr/>
            <a:graphic xmlns:a="http://schemas.openxmlformats.org/drawingml/2006/main">
              <a:graphicData uri="http://schemas.openxmlformats.org/drawingml/2006/chart">
                <c:chart xmlns:c="http://schemas.openxmlformats.org/drawingml/2006/chart" xmlns:r="http://schemas.openxmlformats.org/officeDocument/2006/relationships" r:id="rId55"/>
              </a:graphicData>
            </a:graphic>
            <wp14:sizeRelH relativeFrom="margin">
              <wp14:pctWidth>0</wp14:pctWidth>
            </wp14:sizeRelH>
            <wp14:sizeRelV relativeFrom="margin">
              <wp14:pctHeight>0</wp14:pctHeight>
            </wp14:sizeRelV>
          </wp:anchor>
        </w:drawing>
      </w:r>
      <w:r w:rsidRPr="00591367">
        <w:rPr>
          <w:rFonts w:asciiTheme="minorHAnsi" w:hAnsiTheme="minorHAnsi"/>
          <w:noProof/>
          <w:highlight w:val="yellow"/>
        </w:rPr>
        <w:drawing>
          <wp:anchor distT="0" distB="0" distL="114300" distR="114300" simplePos="0" relativeHeight="251635712" behindDoc="1" locked="0" layoutInCell="1" allowOverlap="1" wp14:anchorId="7106101E" wp14:editId="10A53029">
            <wp:simplePos x="0" y="0"/>
            <wp:positionH relativeFrom="margin">
              <wp:posOffset>194310</wp:posOffset>
            </wp:positionH>
            <wp:positionV relativeFrom="paragraph">
              <wp:posOffset>316230</wp:posOffset>
            </wp:positionV>
            <wp:extent cx="2838450" cy="1661160"/>
            <wp:effectExtent l="0" t="0" r="0" b="0"/>
            <wp:wrapSquare wrapText="bothSides"/>
            <wp:docPr id="307" name="Chart 307"/>
            <wp:cNvGraphicFramePr/>
            <a:graphic xmlns:a="http://schemas.openxmlformats.org/drawingml/2006/main">
              <a:graphicData uri="http://schemas.openxmlformats.org/drawingml/2006/chart">
                <c:chart xmlns:c="http://schemas.openxmlformats.org/drawingml/2006/chart" xmlns:r="http://schemas.openxmlformats.org/officeDocument/2006/relationships" r:id="rId56"/>
              </a:graphicData>
            </a:graphic>
            <wp14:sizeRelH relativeFrom="margin">
              <wp14:pctWidth>0</wp14:pctWidth>
            </wp14:sizeRelH>
            <wp14:sizeRelV relativeFrom="margin">
              <wp14:pctHeight>0</wp14:pctHeight>
            </wp14:sizeRelV>
          </wp:anchor>
        </w:drawing>
      </w:r>
      <w:r w:rsidR="00847FA6" w:rsidRPr="00847FA6">
        <w:rPr>
          <w:rFonts w:asciiTheme="minorHAnsi" w:hAnsiTheme="minorHAnsi"/>
          <w:b w:val="0"/>
          <w:bCs w:val="0"/>
          <w:i/>
          <w:noProof/>
          <w:color w:val="auto"/>
          <w:sz w:val="24"/>
          <w:szCs w:val="24"/>
        </w:rPr>
        <w:t xml:space="preserve">Grafiku </w:t>
      </w:r>
      <w:r w:rsidR="00847FA6" w:rsidRPr="00847FA6">
        <w:rPr>
          <w:rFonts w:asciiTheme="minorHAnsi" w:hAnsiTheme="minorHAnsi"/>
          <w:b w:val="0"/>
          <w:bCs w:val="0"/>
          <w:i/>
          <w:noProof/>
          <w:color w:val="auto"/>
          <w:sz w:val="24"/>
          <w:szCs w:val="24"/>
        </w:rPr>
        <w:fldChar w:fldCharType="begin"/>
      </w:r>
      <w:r w:rsidR="00847FA6" w:rsidRPr="00847FA6">
        <w:rPr>
          <w:rFonts w:asciiTheme="minorHAnsi" w:hAnsiTheme="minorHAnsi"/>
          <w:b w:val="0"/>
          <w:bCs w:val="0"/>
          <w:i/>
          <w:noProof/>
          <w:color w:val="auto"/>
          <w:sz w:val="24"/>
          <w:szCs w:val="24"/>
        </w:rPr>
        <w:instrText xml:space="preserve"> SEQ Grafiku \* ARABIC </w:instrText>
      </w:r>
      <w:r w:rsidR="00847FA6" w:rsidRPr="00847FA6">
        <w:rPr>
          <w:rFonts w:asciiTheme="minorHAnsi" w:hAnsiTheme="minorHAnsi"/>
          <w:b w:val="0"/>
          <w:bCs w:val="0"/>
          <w:i/>
          <w:noProof/>
          <w:color w:val="auto"/>
          <w:sz w:val="24"/>
          <w:szCs w:val="24"/>
        </w:rPr>
        <w:fldChar w:fldCharType="separate"/>
      </w:r>
      <w:r w:rsidR="00C342E2">
        <w:rPr>
          <w:rFonts w:asciiTheme="minorHAnsi" w:hAnsiTheme="minorHAnsi"/>
          <w:b w:val="0"/>
          <w:bCs w:val="0"/>
          <w:i/>
          <w:noProof/>
          <w:color w:val="auto"/>
          <w:sz w:val="24"/>
          <w:szCs w:val="24"/>
        </w:rPr>
        <w:t>38</w:t>
      </w:r>
      <w:r w:rsidR="00847FA6" w:rsidRPr="00847FA6">
        <w:rPr>
          <w:rFonts w:asciiTheme="minorHAnsi" w:hAnsiTheme="minorHAnsi"/>
          <w:b w:val="0"/>
          <w:bCs w:val="0"/>
          <w:i/>
          <w:noProof/>
          <w:color w:val="auto"/>
          <w:sz w:val="24"/>
          <w:szCs w:val="24"/>
        </w:rPr>
        <w:fldChar w:fldCharType="end"/>
      </w:r>
      <w:r w:rsidR="00847FA6" w:rsidRPr="00847FA6">
        <w:rPr>
          <w:rFonts w:asciiTheme="minorHAnsi" w:hAnsiTheme="minorHAnsi"/>
          <w:b w:val="0"/>
          <w:bCs w:val="0"/>
          <w:i/>
          <w:noProof/>
          <w:color w:val="auto"/>
          <w:sz w:val="24"/>
          <w:szCs w:val="24"/>
        </w:rPr>
        <w:t xml:space="preserve">: Kompozimi i borxhit të jashtëm </w:t>
      </w:r>
      <w:r>
        <w:rPr>
          <w:rFonts w:asciiTheme="minorHAnsi" w:hAnsiTheme="minorHAnsi"/>
          <w:b w:val="0"/>
          <w:bCs w:val="0"/>
          <w:i/>
          <w:noProof/>
          <w:color w:val="auto"/>
          <w:sz w:val="24"/>
          <w:szCs w:val="24"/>
        </w:rPr>
        <w:t>shtetëror sipas interesit&amp;</w:t>
      </w:r>
      <w:r w:rsidR="00847FA6" w:rsidRPr="00847FA6">
        <w:rPr>
          <w:rFonts w:asciiTheme="minorHAnsi" w:hAnsiTheme="minorHAnsi"/>
          <w:b w:val="0"/>
          <w:bCs w:val="0"/>
          <w:i/>
          <w:noProof/>
          <w:color w:val="auto"/>
          <w:sz w:val="24"/>
          <w:szCs w:val="24"/>
        </w:rPr>
        <w:t xml:space="preserve">instrumenteve </w:t>
      </w:r>
      <w:r w:rsidR="00847FA6" w:rsidRPr="00796E6A">
        <w:rPr>
          <w:rFonts w:asciiTheme="minorHAnsi" w:hAnsiTheme="minorHAnsi"/>
          <w:b w:val="0"/>
          <w:bCs w:val="0"/>
          <w:i/>
          <w:noProof/>
          <w:color w:val="auto"/>
          <w:sz w:val="20"/>
          <w:szCs w:val="24"/>
        </w:rPr>
        <w:t>(2016-Mars 2020)</w:t>
      </w:r>
      <w:bookmarkEnd w:id="82"/>
    </w:p>
    <w:p w:rsidR="00EB3166" w:rsidRPr="00EB3166" w:rsidRDefault="00EB3166" w:rsidP="00EB3166">
      <w:pPr>
        <w:spacing w:line="276" w:lineRule="auto"/>
        <w:rPr>
          <w:rFonts w:asciiTheme="minorHAnsi" w:hAnsiTheme="minorHAnsi"/>
          <w:i/>
          <w:sz w:val="20"/>
          <w:lang w:val="sq-AL"/>
        </w:rPr>
      </w:pPr>
      <w:r w:rsidRPr="00591367">
        <w:rPr>
          <w:rFonts w:asciiTheme="minorHAnsi" w:eastAsia="MS Mincho" w:hAnsiTheme="minorHAnsi"/>
          <w:i/>
          <w:sz w:val="20"/>
          <w:lang w:val="sq-AL"/>
        </w:rPr>
        <w:t xml:space="preserve">Burimi: </w:t>
      </w:r>
      <w:r w:rsidRPr="00591367">
        <w:rPr>
          <w:rFonts w:asciiTheme="minorHAnsi" w:hAnsiTheme="minorHAnsi"/>
          <w:i/>
          <w:sz w:val="20"/>
          <w:lang w:val="sq-AL"/>
        </w:rPr>
        <w:t>Ministria e Financave dhe Ekonomisë (2020)</w:t>
      </w:r>
    </w:p>
    <w:p w:rsidR="00D85320" w:rsidRPr="0065598A" w:rsidRDefault="006654D7" w:rsidP="002334F6">
      <w:pPr>
        <w:pStyle w:val="Heading2"/>
      </w:pPr>
      <w:bookmarkStart w:id="83" w:name="_Toc44403615"/>
      <w:r w:rsidRPr="0065598A">
        <w:lastRenderedPageBreak/>
        <w:t>I</w:t>
      </w:r>
      <w:r w:rsidR="00D85320" w:rsidRPr="0065598A">
        <w:t>V.2</w:t>
      </w:r>
      <w:r w:rsidR="00D85320" w:rsidRPr="0065598A">
        <w:tab/>
        <w:t>Menaxhimi i Borxhit</w:t>
      </w:r>
      <w:bookmarkEnd w:id="83"/>
    </w:p>
    <w:p w:rsidR="00EB0002" w:rsidRPr="00EB0002" w:rsidRDefault="00EB0002" w:rsidP="00EB0002">
      <w:pPr>
        <w:tabs>
          <w:tab w:val="left" w:pos="360"/>
        </w:tabs>
        <w:spacing w:after="240" w:line="276" w:lineRule="auto"/>
        <w:jc w:val="both"/>
        <w:rPr>
          <w:rFonts w:asciiTheme="minorHAnsi" w:hAnsiTheme="minorHAnsi"/>
          <w:lang w:val="sq-AL"/>
        </w:rPr>
      </w:pPr>
      <w:r w:rsidRPr="00EB0002">
        <w:rPr>
          <w:rFonts w:asciiTheme="minorHAnsi" w:hAnsiTheme="minorHAnsi"/>
          <w:lang w:val="sq-AL"/>
        </w:rPr>
        <w:t>Huamarrja gjatë tremujorit të parë 2020 u realizua në linjë me buxhetin e vitit 2020 dhe në përputhje me objektivat strategjikë për reduktimin risqeve dhe zhvillimin e tregut të titujve. Nëpërmjet huamarrjes u mundësua rifinancimi i borxhit ekzistues, menaxhimi i nevojave për likuiditet, si edhe financimi i deficitit të planifikuar për vitin 2020.</w:t>
      </w:r>
      <w:r w:rsidR="00796E6A">
        <w:rPr>
          <w:rFonts w:asciiTheme="minorHAnsi" w:hAnsiTheme="minorHAnsi"/>
          <w:lang w:val="sq-AL"/>
        </w:rPr>
        <w:t xml:space="preserve"> </w:t>
      </w:r>
      <w:r w:rsidRPr="00EB0002">
        <w:rPr>
          <w:rFonts w:asciiTheme="minorHAnsi" w:hAnsiTheme="minorHAnsi"/>
          <w:lang w:val="sq-AL"/>
        </w:rPr>
        <w:t>Huamarrja në terma bruto u realizua në vlerën 94.5 miliard Lekë, nga të cilat 96.4% (</w:t>
      </w:r>
      <w:r w:rsidRPr="00EB0002">
        <w:rPr>
          <w:rFonts w:asciiTheme="minorHAnsi" w:hAnsiTheme="minorHAnsi"/>
          <w:i/>
          <w:lang w:val="sq-AL"/>
        </w:rPr>
        <w:t>ose 91.1 miliard Lekë</w:t>
      </w:r>
      <w:r w:rsidRPr="00EB0002">
        <w:rPr>
          <w:rFonts w:asciiTheme="minorHAnsi" w:hAnsiTheme="minorHAnsi"/>
          <w:lang w:val="sq-AL"/>
        </w:rPr>
        <w:t>) u financuan nëpërmjet burimeve të brendshme dhe 3.6% (</w:t>
      </w:r>
      <w:r w:rsidRPr="00EB0002">
        <w:rPr>
          <w:rFonts w:asciiTheme="minorHAnsi" w:hAnsiTheme="minorHAnsi"/>
          <w:i/>
          <w:lang w:val="sq-AL"/>
        </w:rPr>
        <w:t>ose 3.4 miliard Lekë</w:t>
      </w:r>
      <w:r w:rsidRPr="00EB0002">
        <w:rPr>
          <w:rFonts w:asciiTheme="minorHAnsi" w:hAnsiTheme="minorHAnsi"/>
          <w:lang w:val="sq-AL"/>
        </w:rPr>
        <w:t xml:space="preserve">) nëpërmjet burimeve të huaja. Rreth 85.6 miliard Lekë shërbyen për rifinancimin e borxhit ekzistues, ndërsa pjesa tjetër për mbulimin e deficitit buxhetor të planifikuar. </w:t>
      </w:r>
    </w:p>
    <w:p w:rsidR="00EB0002" w:rsidRPr="006E68A7" w:rsidRDefault="00EB0002" w:rsidP="00796E6A">
      <w:pPr>
        <w:tabs>
          <w:tab w:val="left" w:pos="360"/>
        </w:tabs>
        <w:spacing w:line="276" w:lineRule="auto"/>
        <w:jc w:val="both"/>
        <w:rPr>
          <w:rFonts w:asciiTheme="minorHAnsi" w:hAnsiTheme="minorHAnsi"/>
          <w:i/>
          <w:u w:val="single"/>
          <w:lang w:val="sq-AL"/>
        </w:rPr>
      </w:pPr>
      <w:r w:rsidRPr="006E68A7">
        <w:rPr>
          <w:rFonts w:asciiTheme="minorHAnsi" w:hAnsiTheme="minorHAnsi"/>
          <w:i/>
          <w:u w:val="single"/>
          <w:lang w:val="sq-AL"/>
        </w:rPr>
        <w:t>Huamarrja e Brendshme</w:t>
      </w:r>
    </w:p>
    <w:p w:rsidR="00721DE4" w:rsidRPr="00721DE4" w:rsidRDefault="00EB0002" w:rsidP="00796E6A">
      <w:pPr>
        <w:tabs>
          <w:tab w:val="left" w:pos="360"/>
        </w:tabs>
        <w:spacing w:line="276" w:lineRule="auto"/>
        <w:jc w:val="both"/>
        <w:rPr>
          <w:rFonts w:asciiTheme="minorHAnsi" w:hAnsiTheme="minorHAnsi"/>
        </w:rPr>
      </w:pPr>
      <w:r w:rsidRPr="00EB0002">
        <w:rPr>
          <w:rFonts w:asciiTheme="minorHAnsi" w:hAnsiTheme="minorHAnsi"/>
          <w:lang w:val="sq-AL"/>
        </w:rPr>
        <w:t>Gjatë periudhës janar-mars 2020, Ministria e Financave dhe Ekonomisë ka emetuar në tregun e brendshëm tituj shtetërorë në vlerën 91.1 miliard Lekë, nga të cilat 62.0 miliard Lekë nëpërmjet titujve afatshkurtër dhe 29.1 miliard Lekë nëpërmjet titujve afatgjatë. Rreth 88.2% e huamarrjes së brendshme ka shërbyer për rifinancimin e titujve ekzistues dhe pjesa tjetër për të shërbyer nevojat buxhetore.</w:t>
      </w:r>
      <w:r>
        <w:rPr>
          <w:rFonts w:asciiTheme="minorHAnsi" w:hAnsiTheme="minorHAnsi"/>
          <w:lang w:val="sq-AL"/>
        </w:rPr>
        <w:t xml:space="preserve"> </w:t>
      </w:r>
      <w:r w:rsidRPr="00EB0002">
        <w:rPr>
          <w:rFonts w:asciiTheme="minorHAnsi" w:hAnsiTheme="minorHAnsi"/>
        </w:rPr>
        <w:t xml:space="preserve">Në linjë me objektivin për reduktimin e ekspozimit ndaj risqeve, huamarrja e re </w:t>
      </w:r>
      <w:r w:rsidRPr="00EB0002">
        <w:rPr>
          <w:rFonts w:asciiTheme="minorHAnsi" w:hAnsiTheme="minorHAnsi"/>
          <w:i/>
        </w:rPr>
        <w:t>(neto)</w:t>
      </w:r>
      <w:r w:rsidRPr="00EB0002">
        <w:rPr>
          <w:rFonts w:asciiTheme="minorHAnsi" w:hAnsiTheme="minorHAnsi"/>
        </w:rPr>
        <w:t xml:space="preserve"> është siguruar në masën 65.2% nëpërmjet titujve afatgjatë.</w:t>
      </w:r>
    </w:p>
    <w:p w:rsidR="00796E6A" w:rsidRPr="00796E6A" w:rsidRDefault="00796E6A" w:rsidP="00796E6A">
      <w:pPr>
        <w:tabs>
          <w:tab w:val="left" w:pos="360"/>
        </w:tabs>
        <w:spacing w:line="276" w:lineRule="auto"/>
        <w:jc w:val="both"/>
        <w:rPr>
          <w:rFonts w:asciiTheme="minorHAnsi" w:hAnsiTheme="minorHAnsi"/>
          <w:i/>
          <w:noProof/>
          <w:sz w:val="8"/>
        </w:rPr>
      </w:pPr>
      <w:bookmarkStart w:id="84" w:name="_Toc44404412"/>
    </w:p>
    <w:p w:rsidR="00EB0002" w:rsidRPr="00796E6A" w:rsidRDefault="00796E6A" w:rsidP="00796E6A">
      <w:pPr>
        <w:tabs>
          <w:tab w:val="left" w:pos="360"/>
        </w:tabs>
        <w:spacing w:line="276" w:lineRule="auto"/>
        <w:jc w:val="both"/>
        <w:rPr>
          <w:rFonts w:asciiTheme="minorHAnsi" w:hAnsiTheme="minorHAnsi"/>
          <w:i/>
          <w:sz w:val="22"/>
          <w:lang w:val="sq-AL"/>
        </w:rPr>
      </w:pPr>
      <w:r w:rsidRPr="00EB0002">
        <w:rPr>
          <w:rFonts w:asciiTheme="minorHAnsi" w:hAnsiTheme="minorHAnsi"/>
          <w:noProof/>
        </w:rPr>
        <w:drawing>
          <wp:anchor distT="0" distB="0" distL="114300" distR="114300" simplePos="0" relativeHeight="251673600" behindDoc="1" locked="0" layoutInCell="1" allowOverlap="1" wp14:anchorId="54B20772" wp14:editId="4CD47382">
            <wp:simplePos x="0" y="0"/>
            <wp:positionH relativeFrom="column">
              <wp:posOffset>156210</wp:posOffset>
            </wp:positionH>
            <wp:positionV relativeFrom="paragraph">
              <wp:posOffset>247015</wp:posOffset>
            </wp:positionV>
            <wp:extent cx="5814060" cy="1455420"/>
            <wp:effectExtent l="0" t="0" r="0" b="0"/>
            <wp:wrapTight wrapText="bothSides">
              <wp:wrapPolygon edited="0">
                <wp:start x="0" y="0"/>
                <wp:lineTo x="0" y="21204"/>
                <wp:lineTo x="21515" y="21204"/>
                <wp:lineTo x="21515" y="0"/>
                <wp:lineTo x="0" y="0"/>
              </wp:wrapPolygon>
            </wp:wrapTight>
            <wp:docPr id="313" name="Picture 3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5814060" cy="1455420"/>
                    </a:xfrm>
                    <a:prstGeom prst="rect">
                      <a:avLst/>
                    </a:prstGeom>
                    <a:noFill/>
                    <a:ln>
                      <a:noFill/>
                    </a:ln>
                  </pic:spPr>
                </pic:pic>
              </a:graphicData>
            </a:graphic>
            <wp14:sizeRelH relativeFrom="page">
              <wp14:pctWidth>0</wp14:pctWidth>
            </wp14:sizeRelH>
            <wp14:sizeRelV relativeFrom="page">
              <wp14:pctHeight>0</wp14:pctHeight>
            </wp14:sizeRelV>
          </wp:anchor>
        </w:drawing>
      </w:r>
      <w:r w:rsidR="00721DE4" w:rsidRPr="00721DE4">
        <w:rPr>
          <w:rFonts w:asciiTheme="minorHAnsi" w:hAnsiTheme="minorHAnsi"/>
          <w:i/>
          <w:noProof/>
        </w:rPr>
        <w:t xml:space="preserve">Tabela </w:t>
      </w:r>
      <w:r w:rsidR="00721DE4" w:rsidRPr="00721DE4">
        <w:rPr>
          <w:rFonts w:asciiTheme="minorHAnsi" w:hAnsiTheme="minorHAnsi"/>
          <w:i/>
          <w:noProof/>
        </w:rPr>
        <w:fldChar w:fldCharType="begin"/>
      </w:r>
      <w:r w:rsidR="00721DE4" w:rsidRPr="00721DE4">
        <w:rPr>
          <w:rFonts w:asciiTheme="minorHAnsi" w:hAnsiTheme="minorHAnsi"/>
          <w:i/>
          <w:noProof/>
        </w:rPr>
        <w:instrText xml:space="preserve"> SEQ Tabela \* ARABIC </w:instrText>
      </w:r>
      <w:r w:rsidR="00721DE4" w:rsidRPr="00721DE4">
        <w:rPr>
          <w:rFonts w:asciiTheme="minorHAnsi" w:hAnsiTheme="minorHAnsi"/>
          <w:i/>
          <w:noProof/>
        </w:rPr>
        <w:fldChar w:fldCharType="separate"/>
      </w:r>
      <w:r w:rsidR="00C342E2">
        <w:rPr>
          <w:rFonts w:asciiTheme="minorHAnsi" w:hAnsiTheme="minorHAnsi"/>
          <w:i/>
          <w:noProof/>
        </w:rPr>
        <w:t>11</w:t>
      </w:r>
      <w:r w:rsidR="00721DE4" w:rsidRPr="00721DE4">
        <w:rPr>
          <w:rFonts w:asciiTheme="minorHAnsi" w:hAnsiTheme="minorHAnsi"/>
          <w:i/>
          <w:noProof/>
        </w:rPr>
        <w:fldChar w:fldCharType="end"/>
      </w:r>
      <w:r w:rsidR="00721DE4" w:rsidRPr="00721DE4">
        <w:rPr>
          <w:rFonts w:asciiTheme="minorHAnsi" w:hAnsiTheme="minorHAnsi"/>
          <w:i/>
          <w:noProof/>
        </w:rPr>
        <w:t xml:space="preserve">: Huamarrja shtetërore nga burime të brendshme në terma bruto&amp;neto </w:t>
      </w:r>
      <w:r w:rsidR="00721DE4" w:rsidRPr="00796E6A">
        <w:rPr>
          <w:rFonts w:asciiTheme="minorHAnsi" w:hAnsiTheme="minorHAnsi"/>
          <w:i/>
          <w:noProof/>
          <w:sz w:val="22"/>
        </w:rPr>
        <w:t>(Janar-Mars 2020)</w:t>
      </w:r>
      <w:bookmarkEnd w:id="84"/>
    </w:p>
    <w:p w:rsidR="00EB0002" w:rsidRPr="00EB0002" w:rsidRDefault="00EB0002" w:rsidP="00796E6A">
      <w:pPr>
        <w:tabs>
          <w:tab w:val="left" w:pos="360"/>
        </w:tabs>
        <w:spacing w:line="276" w:lineRule="auto"/>
        <w:jc w:val="both"/>
        <w:rPr>
          <w:rFonts w:asciiTheme="minorHAnsi" w:hAnsiTheme="minorHAnsi"/>
          <w:i/>
          <w:sz w:val="22"/>
          <w:lang w:val="sq-AL"/>
        </w:rPr>
      </w:pPr>
      <w:r>
        <w:rPr>
          <w:rFonts w:asciiTheme="minorHAnsi" w:hAnsiTheme="minorHAnsi"/>
          <w:i/>
          <w:sz w:val="22"/>
          <w:lang w:val="sq-AL"/>
        </w:rPr>
        <w:tab/>
      </w:r>
      <w:r w:rsidRPr="00EB0002">
        <w:rPr>
          <w:rFonts w:asciiTheme="minorHAnsi" w:hAnsiTheme="minorHAnsi"/>
          <w:i/>
          <w:sz w:val="22"/>
          <w:lang w:val="sq-AL"/>
        </w:rPr>
        <w:t>Burimi: Ministria e Financave dhe Ekonomisë (2020)</w:t>
      </w:r>
    </w:p>
    <w:p w:rsidR="00796E6A" w:rsidRPr="00796E6A" w:rsidRDefault="00796E6A" w:rsidP="00796E6A">
      <w:pPr>
        <w:tabs>
          <w:tab w:val="left" w:pos="360"/>
        </w:tabs>
        <w:jc w:val="both"/>
        <w:rPr>
          <w:rFonts w:asciiTheme="minorHAnsi" w:hAnsiTheme="minorHAnsi"/>
          <w:sz w:val="12"/>
        </w:rPr>
      </w:pPr>
    </w:p>
    <w:p w:rsidR="00D43A95" w:rsidRDefault="00EB0002" w:rsidP="00796E6A">
      <w:pPr>
        <w:tabs>
          <w:tab w:val="left" w:pos="360"/>
        </w:tabs>
        <w:spacing w:line="276" w:lineRule="auto"/>
        <w:jc w:val="both"/>
        <w:rPr>
          <w:rFonts w:asciiTheme="minorHAnsi" w:hAnsiTheme="minorHAnsi"/>
          <w:lang w:val="sq-AL"/>
        </w:rPr>
      </w:pPr>
      <w:r w:rsidRPr="00EB0002">
        <w:rPr>
          <w:rFonts w:asciiTheme="minorHAnsi" w:hAnsiTheme="minorHAnsi"/>
        </w:rPr>
        <w:t xml:space="preserve">Krahasuar me tremujorin e vitit të kaluar, huamarrja e brendshme është rritur me rreth 2.3 miliard Lekë, </w:t>
      </w:r>
      <w:r w:rsidRPr="00EB0002">
        <w:rPr>
          <w:rFonts w:asciiTheme="minorHAnsi" w:hAnsiTheme="minorHAnsi"/>
          <w:lang w:val="sq-AL"/>
        </w:rPr>
        <w:t>kryesisht duke reflektuar masat e ndërmarra në kaudër të reduktimit të riskut të rifinancimit që buron nga maturimi i Eurobond-it në tremujorin e fundit të vitit. Për sa i përket raportit të huamarrjes së brendshme me të ardhurat tatimore vërehet një rritje e moderuar e këtij raporti krahasuar me të njëjtën periudhë të vitit të mëparshëm, i ndikuar kryesisht nga rënia e nivelit të të ardhurave, si rezultat i pandemisë COVID-19 dhe përqendrimi më i lartë i humarrjes në tremujorin e parë, për t’i paraprirë risqeve të mundshme përsa i përket emetimit të Eurobond-it të planifikuar, si edhe sigurimit të likuiditetit të nevojshëm për të shërbyer detyrimet e borxhit.</w:t>
      </w:r>
    </w:p>
    <w:p w:rsidR="00721DE4" w:rsidRPr="00721DE4" w:rsidRDefault="00796E6A" w:rsidP="00721DE4">
      <w:pPr>
        <w:pStyle w:val="Caption"/>
        <w:keepNext/>
        <w:jc w:val="both"/>
        <w:rPr>
          <w:rFonts w:asciiTheme="minorHAnsi" w:hAnsiTheme="minorHAnsi"/>
          <w:b w:val="0"/>
          <w:bCs w:val="0"/>
          <w:i/>
          <w:noProof/>
          <w:color w:val="auto"/>
          <w:sz w:val="24"/>
          <w:szCs w:val="24"/>
        </w:rPr>
      </w:pPr>
      <w:bookmarkStart w:id="85" w:name="_Toc44404479"/>
      <w:r>
        <w:rPr>
          <w:rFonts w:asciiTheme="minorHAnsi" w:hAnsiTheme="minorHAnsi"/>
          <w:b w:val="0"/>
          <w:bCs w:val="0"/>
          <w:i/>
          <w:noProof/>
          <w:color w:val="auto"/>
          <w:sz w:val="24"/>
          <w:szCs w:val="24"/>
        </w:rPr>
        <w:t>G</w:t>
      </w:r>
      <w:r w:rsidR="00721DE4" w:rsidRPr="00721DE4">
        <w:rPr>
          <w:rFonts w:asciiTheme="minorHAnsi" w:hAnsiTheme="minorHAnsi"/>
          <w:b w:val="0"/>
          <w:bCs w:val="0"/>
          <w:i/>
          <w:noProof/>
          <w:color w:val="auto"/>
          <w:sz w:val="24"/>
          <w:szCs w:val="24"/>
        </w:rPr>
        <w:t xml:space="preserve">rafiku </w:t>
      </w:r>
      <w:r w:rsidR="00721DE4" w:rsidRPr="00721DE4">
        <w:rPr>
          <w:rFonts w:asciiTheme="minorHAnsi" w:hAnsiTheme="minorHAnsi"/>
          <w:b w:val="0"/>
          <w:bCs w:val="0"/>
          <w:i/>
          <w:noProof/>
          <w:color w:val="auto"/>
          <w:sz w:val="24"/>
          <w:szCs w:val="24"/>
        </w:rPr>
        <w:fldChar w:fldCharType="begin"/>
      </w:r>
      <w:r w:rsidR="00721DE4" w:rsidRPr="00721DE4">
        <w:rPr>
          <w:rFonts w:asciiTheme="minorHAnsi" w:hAnsiTheme="minorHAnsi"/>
          <w:b w:val="0"/>
          <w:bCs w:val="0"/>
          <w:i/>
          <w:noProof/>
          <w:color w:val="auto"/>
          <w:sz w:val="24"/>
          <w:szCs w:val="24"/>
        </w:rPr>
        <w:instrText xml:space="preserve"> SEQ Grafiku \* ARABIC </w:instrText>
      </w:r>
      <w:r w:rsidR="00721DE4" w:rsidRPr="00721DE4">
        <w:rPr>
          <w:rFonts w:asciiTheme="minorHAnsi" w:hAnsiTheme="minorHAnsi"/>
          <w:b w:val="0"/>
          <w:bCs w:val="0"/>
          <w:i/>
          <w:noProof/>
          <w:color w:val="auto"/>
          <w:sz w:val="24"/>
          <w:szCs w:val="24"/>
        </w:rPr>
        <w:fldChar w:fldCharType="separate"/>
      </w:r>
      <w:r w:rsidR="00C342E2">
        <w:rPr>
          <w:rFonts w:asciiTheme="minorHAnsi" w:hAnsiTheme="minorHAnsi"/>
          <w:b w:val="0"/>
          <w:bCs w:val="0"/>
          <w:i/>
          <w:noProof/>
          <w:color w:val="auto"/>
          <w:sz w:val="24"/>
          <w:szCs w:val="24"/>
        </w:rPr>
        <w:t>39</w:t>
      </w:r>
      <w:r w:rsidR="00721DE4" w:rsidRPr="00721DE4">
        <w:rPr>
          <w:rFonts w:asciiTheme="minorHAnsi" w:hAnsiTheme="minorHAnsi"/>
          <w:b w:val="0"/>
          <w:bCs w:val="0"/>
          <w:i/>
          <w:noProof/>
          <w:color w:val="auto"/>
          <w:sz w:val="24"/>
          <w:szCs w:val="24"/>
        </w:rPr>
        <w:fldChar w:fldCharType="end"/>
      </w:r>
      <w:r w:rsidR="00721DE4" w:rsidRPr="00721DE4">
        <w:rPr>
          <w:rFonts w:asciiTheme="minorHAnsi" w:hAnsiTheme="minorHAnsi"/>
          <w:b w:val="0"/>
          <w:bCs w:val="0"/>
          <w:i/>
          <w:noProof/>
          <w:color w:val="auto"/>
          <w:sz w:val="24"/>
          <w:szCs w:val="24"/>
        </w:rPr>
        <w:t>: Huamarrja e brendshme në raport me të ardhurat tatimore (TM. I 2016-TM. I 2020)</w:t>
      </w:r>
      <w:bookmarkEnd w:id="85"/>
      <w:r w:rsidR="00721DE4" w:rsidRPr="00721DE4">
        <w:rPr>
          <w:rFonts w:asciiTheme="minorHAnsi" w:hAnsiTheme="minorHAnsi"/>
          <w:b w:val="0"/>
          <w:bCs w:val="0"/>
          <w:i/>
          <w:noProof/>
          <w:color w:val="auto"/>
          <w:sz w:val="24"/>
          <w:szCs w:val="24"/>
        </w:rPr>
        <w:t xml:space="preserve">  </w:t>
      </w:r>
    </w:p>
    <w:p w:rsidR="00EB0002" w:rsidRPr="00EB0002" w:rsidRDefault="00EB0002" w:rsidP="00796E6A">
      <w:pPr>
        <w:tabs>
          <w:tab w:val="left" w:pos="360"/>
        </w:tabs>
        <w:spacing w:line="276" w:lineRule="auto"/>
        <w:jc w:val="center"/>
        <w:rPr>
          <w:rFonts w:asciiTheme="minorHAnsi" w:hAnsiTheme="minorHAnsi"/>
          <w:i/>
          <w:lang w:val="sq-AL"/>
        </w:rPr>
      </w:pPr>
      <w:r w:rsidRPr="00EB0002">
        <w:rPr>
          <w:rFonts w:asciiTheme="minorHAnsi" w:hAnsiTheme="minorHAnsi"/>
          <w:noProof/>
        </w:rPr>
        <w:drawing>
          <wp:inline distT="0" distB="0" distL="0" distR="0" wp14:anchorId="4F7D8F94" wp14:editId="1EF9FC7B">
            <wp:extent cx="5905500" cy="1295400"/>
            <wp:effectExtent l="0" t="0" r="0" b="0"/>
            <wp:docPr id="18" name="Chart 18"/>
            <wp:cNvGraphicFramePr/>
            <a:graphic xmlns:a="http://schemas.openxmlformats.org/drawingml/2006/main">
              <a:graphicData uri="http://schemas.openxmlformats.org/drawingml/2006/chart">
                <c:chart xmlns:c="http://schemas.openxmlformats.org/drawingml/2006/chart" xmlns:r="http://schemas.openxmlformats.org/officeDocument/2006/relationships" r:id="rId58"/>
              </a:graphicData>
            </a:graphic>
          </wp:inline>
        </w:drawing>
      </w:r>
    </w:p>
    <w:p w:rsidR="00EB0002" w:rsidRPr="00EB0002" w:rsidRDefault="00EB0002" w:rsidP="00EB0002">
      <w:pPr>
        <w:tabs>
          <w:tab w:val="left" w:pos="360"/>
        </w:tabs>
        <w:spacing w:after="240" w:line="276" w:lineRule="auto"/>
        <w:jc w:val="both"/>
        <w:rPr>
          <w:rFonts w:asciiTheme="minorHAnsi" w:hAnsiTheme="minorHAnsi"/>
          <w:i/>
          <w:sz w:val="20"/>
          <w:lang w:val="sq-AL"/>
        </w:rPr>
      </w:pPr>
      <w:r w:rsidRPr="00EB0002">
        <w:rPr>
          <w:rFonts w:asciiTheme="minorHAnsi" w:hAnsiTheme="minorHAnsi"/>
          <w:i/>
          <w:sz w:val="20"/>
          <w:lang w:val="sq-AL"/>
        </w:rPr>
        <w:t xml:space="preserve"> Burimi: Ministria e Financave dhe Ekonomisë (2020)</w:t>
      </w:r>
    </w:p>
    <w:p w:rsidR="00EB0002" w:rsidRPr="006E68A7" w:rsidRDefault="00EB0002" w:rsidP="00796E6A">
      <w:pPr>
        <w:tabs>
          <w:tab w:val="left" w:pos="360"/>
        </w:tabs>
        <w:spacing w:line="276" w:lineRule="auto"/>
        <w:jc w:val="both"/>
        <w:rPr>
          <w:rFonts w:asciiTheme="minorHAnsi" w:hAnsiTheme="minorHAnsi"/>
          <w:i/>
          <w:u w:val="single"/>
          <w:lang w:val="sq-AL"/>
        </w:rPr>
      </w:pPr>
      <w:bookmarkStart w:id="86" w:name="_Toc485372197"/>
      <w:r w:rsidRPr="006E68A7">
        <w:rPr>
          <w:rFonts w:asciiTheme="minorHAnsi" w:hAnsiTheme="minorHAnsi"/>
          <w:i/>
          <w:u w:val="single"/>
          <w:lang w:val="sq-AL"/>
        </w:rPr>
        <w:lastRenderedPageBreak/>
        <w:t>Huamarrja e Huaj</w:t>
      </w:r>
      <w:bookmarkEnd w:id="86"/>
      <w:r w:rsidRPr="006E68A7">
        <w:rPr>
          <w:rFonts w:asciiTheme="minorHAnsi" w:hAnsiTheme="minorHAnsi"/>
          <w:i/>
          <w:u w:val="single"/>
          <w:lang w:val="sq-AL"/>
        </w:rPr>
        <w:t xml:space="preserve"> </w:t>
      </w:r>
    </w:p>
    <w:p w:rsidR="00721DE4" w:rsidRPr="00721DE4" w:rsidRDefault="00EB0002" w:rsidP="00796E6A">
      <w:pPr>
        <w:tabs>
          <w:tab w:val="left" w:pos="360"/>
        </w:tabs>
        <w:spacing w:line="276" w:lineRule="auto"/>
        <w:jc w:val="both"/>
        <w:rPr>
          <w:rFonts w:asciiTheme="minorHAnsi" w:hAnsiTheme="minorHAnsi"/>
        </w:rPr>
      </w:pPr>
      <w:r w:rsidRPr="00EB0002">
        <w:rPr>
          <w:rFonts w:asciiTheme="minorHAnsi" w:hAnsiTheme="minorHAnsi"/>
        </w:rPr>
        <w:t>Gjatë periudhës janar-mars të vitit 2020, huamarrja e huaj u realizua në nivelin 3.4 miliard Lekë. Krahasuar me të njëjtën periudhë të vitit të kaluar, huamarrja e huaj është reduktuar me rreth 1.0 miliard Lekë. Pothuajse gjysma e huamarrjes së huaj bruto është realizuar në drejtim të sektorit të transportit ndjekur nga sektori i energjisë dhe ai i ujësjellës kanalizimeve.</w:t>
      </w:r>
    </w:p>
    <w:p w:rsidR="00796E6A" w:rsidRPr="00796E6A" w:rsidRDefault="00796E6A" w:rsidP="00EE5D79">
      <w:pPr>
        <w:pStyle w:val="Caption"/>
        <w:spacing w:after="0"/>
        <w:rPr>
          <w:rFonts w:asciiTheme="minorHAnsi" w:hAnsiTheme="minorHAnsi"/>
          <w:b w:val="0"/>
          <w:bCs w:val="0"/>
          <w:i/>
          <w:noProof/>
          <w:color w:val="auto"/>
          <w:sz w:val="8"/>
          <w:szCs w:val="24"/>
        </w:rPr>
      </w:pPr>
      <w:bookmarkStart w:id="87" w:name="_Toc44404413"/>
    </w:p>
    <w:p w:rsidR="00EB0002" w:rsidRPr="00721DE4" w:rsidRDefault="00EE5D79" w:rsidP="00EE5D79">
      <w:pPr>
        <w:pStyle w:val="Caption"/>
        <w:spacing w:after="0"/>
        <w:rPr>
          <w:rFonts w:asciiTheme="minorHAnsi" w:hAnsiTheme="minorHAnsi"/>
          <w:b w:val="0"/>
          <w:bCs w:val="0"/>
          <w:i/>
          <w:noProof/>
          <w:color w:val="auto"/>
          <w:sz w:val="24"/>
          <w:szCs w:val="24"/>
        </w:rPr>
      </w:pPr>
      <w:r w:rsidRPr="00EB0002">
        <w:rPr>
          <w:rFonts w:asciiTheme="minorHAnsi" w:hAnsiTheme="minorHAnsi"/>
          <w:noProof/>
        </w:rPr>
        <w:drawing>
          <wp:anchor distT="0" distB="0" distL="114300" distR="114300" simplePos="0" relativeHeight="251685888" behindDoc="0" locked="0" layoutInCell="1" allowOverlap="1" wp14:anchorId="7757BABF" wp14:editId="7BA416D6">
            <wp:simplePos x="0" y="0"/>
            <wp:positionH relativeFrom="column">
              <wp:posOffset>194310</wp:posOffset>
            </wp:positionH>
            <wp:positionV relativeFrom="paragraph">
              <wp:posOffset>235585</wp:posOffset>
            </wp:positionV>
            <wp:extent cx="5732145" cy="1242060"/>
            <wp:effectExtent l="0" t="0" r="1905" b="0"/>
            <wp:wrapSquare wrapText="bothSides"/>
            <wp:docPr id="314" name="Picture 3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5732145" cy="1242060"/>
                    </a:xfrm>
                    <a:prstGeom prst="rect">
                      <a:avLst/>
                    </a:prstGeom>
                    <a:noFill/>
                    <a:ln>
                      <a:noFill/>
                    </a:ln>
                  </pic:spPr>
                </pic:pic>
              </a:graphicData>
            </a:graphic>
            <wp14:sizeRelH relativeFrom="page">
              <wp14:pctWidth>0</wp14:pctWidth>
            </wp14:sizeRelH>
            <wp14:sizeRelV relativeFrom="page">
              <wp14:pctHeight>0</wp14:pctHeight>
            </wp14:sizeRelV>
          </wp:anchor>
        </w:drawing>
      </w:r>
      <w:r w:rsidR="00721DE4" w:rsidRPr="00721DE4">
        <w:rPr>
          <w:rFonts w:asciiTheme="minorHAnsi" w:hAnsiTheme="minorHAnsi"/>
          <w:b w:val="0"/>
          <w:bCs w:val="0"/>
          <w:i/>
          <w:noProof/>
          <w:color w:val="auto"/>
          <w:sz w:val="24"/>
          <w:szCs w:val="24"/>
        </w:rPr>
        <w:t xml:space="preserve">Tabela </w:t>
      </w:r>
      <w:r w:rsidR="00721DE4" w:rsidRPr="00721DE4">
        <w:rPr>
          <w:rFonts w:asciiTheme="minorHAnsi" w:hAnsiTheme="minorHAnsi"/>
          <w:b w:val="0"/>
          <w:bCs w:val="0"/>
          <w:i/>
          <w:noProof/>
          <w:color w:val="auto"/>
          <w:sz w:val="24"/>
          <w:szCs w:val="24"/>
        </w:rPr>
        <w:fldChar w:fldCharType="begin"/>
      </w:r>
      <w:r w:rsidR="00721DE4" w:rsidRPr="00721DE4">
        <w:rPr>
          <w:rFonts w:asciiTheme="minorHAnsi" w:hAnsiTheme="minorHAnsi"/>
          <w:b w:val="0"/>
          <w:bCs w:val="0"/>
          <w:i/>
          <w:noProof/>
          <w:color w:val="auto"/>
          <w:sz w:val="24"/>
          <w:szCs w:val="24"/>
        </w:rPr>
        <w:instrText xml:space="preserve"> SEQ Tabela \* ARABIC </w:instrText>
      </w:r>
      <w:r w:rsidR="00721DE4" w:rsidRPr="00721DE4">
        <w:rPr>
          <w:rFonts w:asciiTheme="minorHAnsi" w:hAnsiTheme="minorHAnsi"/>
          <w:b w:val="0"/>
          <w:bCs w:val="0"/>
          <w:i/>
          <w:noProof/>
          <w:color w:val="auto"/>
          <w:sz w:val="24"/>
          <w:szCs w:val="24"/>
        </w:rPr>
        <w:fldChar w:fldCharType="separate"/>
      </w:r>
      <w:r w:rsidR="00C342E2">
        <w:rPr>
          <w:rFonts w:asciiTheme="minorHAnsi" w:hAnsiTheme="minorHAnsi"/>
          <w:b w:val="0"/>
          <w:bCs w:val="0"/>
          <w:i/>
          <w:noProof/>
          <w:color w:val="auto"/>
          <w:sz w:val="24"/>
          <w:szCs w:val="24"/>
        </w:rPr>
        <w:t>12</w:t>
      </w:r>
      <w:r w:rsidR="00721DE4" w:rsidRPr="00721DE4">
        <w:rPr>
          <w:rFonts w:asciiTheme="minorHAnsi" w:hAnsiTheme="minorHAnsi"/>
          <w:b w:val="0"/>
          <w:bCs w:val="0"/>
          <w:i/>
          <w:noProof/>
          <w:color w:val="auto"/>
          <w:sz w:val="24"/>
          <w:szCs w:val="24"/>
        </w:rPr>
        <w:fldChar w:fldCharType="end"/>
      </w:r>
      <w:r w:rsidR="00721DE4" w:rsidRPr="00721DE4">
        <w:rPr>
          <w:rFonts w:asciiTheme="minorHAnsi" w:hAnsiTheme="minorHAnsi"/>
          <w:b w:val="0"/>
          <w:bCs w:val="0"/>
          <w:i/>
          <w:noProof/>
          <w:color w:val="auto"/>
          <w:sz w:val="24"/>
          <w:szCs w:val="24"/>
        </w:rPr>
        <w:t>: Huamarrja e huaj në terma bruto (TM. I 2019-TM. I 2020)</w:t>
      </w:r>
      <w:bookmarkEnd w:id="87"/>
      <w:r w:rsidR="00721DE4" w:rsidRPr="00721DE4">
        <w:rPr>
          <w:rFonts w:asciiTheme="minorHAnsi" w:hAnsiTheme="minorHAnsi"/>
          <w:b w:val="0"/>
          <w:bCs w:val="0"/>
          <w:i/>
          <w:noProof/>
          <w:color w:val="auto"/>
          <w:sz w:val="24"/>
          <w:szCs w:val="24"/>
        </w:rPr>
        <w:t xml:space="preserve">  </w:t>
      </w:r>
    </w:p>
    <w:p w:rsidR="00EB0002" w:rsidRPr="00EB0002" w:rsidRDefault="00CD06A3" w:rsidP="00EB0002">
      <w:pPr>
        <w:tabs>
          <w:tab w:val="left" w:pos="360"/>
        </w:tabs>
        <w:spacing w:after="240" w:line="276" w:lineRule="auto"/>
        <w:jc w:val="both"/>
        <w:rPr>
          <w:rFonts w:asciiTheme="minorHAnsi" w:hAnsiTheme="minorHAnsi"/>
          <w:i/>
          <w:sz w:val="20"/>
          <w:lang w:val="sq-AL"/>
        </w:rPr>
      </w:pPr>
      <w:r>
        <w:rPr>
          <w:rFonts w:asciiTheme="minorHAnsi" w:hAnsiTheme="minorHAnsi"/>
          <w:i/>
          <w:sz w:val="20"/>
          <w:lang w:val="sq-AL"/>
        </w:rPr>
        <w:tab/>
      </w:r>
      <w:r w:rsidR="00EB0002" w:rsidRPr="00EB0002">
        <w:rPr>
          <w:rFonts w:asciiTheme="minorHAnsi" w:hAnsiTheme="minorHAnsi"/>
          <w:i/>
          <w:sz w:val="20"/>
          <w:lang w:val="sq-AL"/>
        </w:rPr>
        <w:t>Burimi: Ministria e Financave dhe Ekonomisë (2020)</w:t>
      </w:r>
    </w:p>
    <w:p w:rsidR="00EB0002" w:rsidRPr="006E68A7" w:rsidRDefault="00EB0002" w:rsidP="00796E6A">
      <w:pPr>
        <w:tabs>
          <w:tab w:val="left" w:pos="360"/>
        </w:tabs>
        <w:spacing w:line="276" w:lineRule="auto"/>
        <w:jc w:val="both"/>
        <w:rPr>
          <w:rFonts w:asciiTheme="minorHAnsi" w:hAnsiTheme="minorHAnsi"/>
          <w:i/>
          <w:u w:val="single"/>
          <w:lang w:val="sq-AL"/>
        </w:rPr>
      </w:pPr>
      <w:bookmarkStart w:id="88" w:name="_Toc485372198"/>
      <w:r w:rsidRPr="006E68A7">
        <w:rPr>
          <w:rFonts w:asciiTheme="minorHAnsi" w:hAnsiTheme="minorHAnsi"/>
          <w:i/>
          <w:u w:val="single"/>
          <w:lang w:val="sq-AL"/>
        </w:rPr>
        <w:t xml:space="preserve">Kostot </w:t>
      </w:r>
      <w:bookmarkEnd w:id="88"/>
    </w:p>
    <w:p w:rsidR="00EB0002" w:rsidRPr="00EB3166" w:rsidRDefault="00EB0002" w:rsidP="00796E6A">
      <w:pPr>
        <w:tabs>
          <w:tab w:val="left" w:pos="360"/>
        </w:tabs>
        <w:spacing w:line="276" w:lineRule="auto"/>
        <w:jc w:val="both"/>
        <w:rPr>
          <w:rFonts w:asciiTheme="minorHAnsi" w:hAnsiTheme="minorHAnsi"/>
          <w:lang w:val="sq-AL"/>
        </w:rPr>
      </w:pPr>
      <w:r w:rsidRPr="00EB0002">
        <w:rPr>
          <w:rFonts w:asciiTheme="minorHAnsi" w:hAnsiTheme="minorHAnsi"/>
          <w:lang w:val="sq-AL"/>
        </w:rPr>
        <w:t xml:space="preserve">Krahasuar me tremujorin e parë të vitit 2019, shpenzimet për interesa vlerësohen rreth 462 milion Lekë më të ulëta, kryesisht si rezultat i rikompozimit të portofolit të borxhit me instrumenta me </w:t>
      </w:r>
      <w:r w:rsidRPr="00EB3166">
        <w:rPr>
          <w:rFonts w:asciiTheme="minorHAnsi" w:hAnsiTheme="minorHAnsi"/>
          <w:lang w:val="sq-AL"/>
        </w:rPr>
        <w:t>normë interesi më të ulët.</w:t>
      </w:r>
    </w:p>
    <w:p w:rsidR="00796E6A" w:rsidRPr="00796E6A" w:rsidRDefault="00796E6A" w:rsidP="006E68A7">
      <w:pPr>
        <w:tabs>
          <w:tab w:val="left" w:pos="360"/>
        </w:tabs>
        <w:spacing w:line="276" w:lineRule="auto"/>
        <w:jc w:val="both"/>
        <w:rPr>
          <w:rFonts w:asciiTheme="minorHAnsi" w:hAnsiTheme="minorHAnsi"/>
          <w:i/>
          <w:noProof/>
          <w:sz w:val="8"/>
        </w:rPr>
      </w:pPr>
      <w:bookmarkStart w:id="89" w:name="_Toc44404480"/>
    </w:p>
    <w:p w:rsidR="006E68A7" w:rsidRPr="00796E6A" w:rsidRDefault="006E68A7" w:rsidP="006E68A7">
      <w:pPr>
        <w:tabs>
          <w:tab w:val="left" w:pos="360"/>
        </w:tabs>
        <w:spacing w:line="276" w:lineRule="auto"/>
        <w:jc w:val="both"/>
        <w:rPr>
          <w:rFonts w:asciiTheme="minorHAnsi" w:hAnsiTheme="minorHAnsi"/>
          <w:i/>
          <w:noProof/>
          <w:sz w:val="22"/>
        </w:rPr>
      </w:pPr>
      <w:r w:rsidRPr="00796E6A">
        <w:rPr>
          <w:rFonts w:asciiTheme="minorHAnsi" w:hAnsiTheme="minorHAnsi"/>
          <w:i/>
          <w:noProof/>
          <w:sz w:val="22"/>
        </w:rPr>
        <w:t xml:space="preserve">Grafiku </w:t>
      </w:r>
      <w:r w:rsidRPr="00796E6A">
        <w:rPr>
          <w:rFonts w:asciiTheme="minorHAnsi" w:hAnsiTheme="minorHAnsi"/>
          <w:i/>
          <w:noProof/>
          <w:sz w:val="22"/>
        </w:rPr>
        <w:fldChar w:fldCharType="begin"/>
      </w:r>
      <w:r w:rsidRPr="00796E6A">
        <w:rPr>
          <w:rFonts w:asciiTheme="minorHAnsi" w:hAnsiTheme="minorHAnsi"/>
          <w:i/>
          <w:noProof/>
          <w:sz w:val="22"/>
        </w:rPr>
        <w:instrText xml:space="preserve"> SEQ Grafiku \* ARABIC </w:instrText>
      </w:r>
      <w:r w:rsidRPr="00796E6A">
        <w:rPr>
          <w:rFonts w:asciiTheme="minorHAnsi" w:hAnsiTheme="minorHAnsi"/>
          <w:i/>
          <w:noProof/>
          <w:sz w:val="22"/>
        </w:rPr>
        <w:fldChar w:fldCharType="separate"/>
      </w:r>
      <w:r w:rsidR="00C342E2">
        <w:rPr>
          <w:rFonts w:asciiTheme="minorHAnsi" w:hAnsiTheme="minorHAnsi"/>
          <w:i/>
          <w:noProof/>
          <w:sz w:val="22"/>
        </w:rPr>
        <w:t>40</w:t>
      </w:r>
      <w:r w:rsidRPr="00796E6A">
        <w:rPr>
          <w:rFonts w:asciiTheme="minorHAnsi" w:hAnsiTheme="minorHAnsi"/>
          <w:i/>
          <w:noProof/>
          <w:sz w:val="22"/>
        </w:rPr>
        <w:fldChar w:fldCharType="end"/>
      </w:r>
      <w:r w:rsidRPr="00796E6A">
        <w:rPr>
          <w:rFonts w:asciiTheme="minorHAnsi" w:hAnsiTheme="minorHAnsi"/>
          <w:i/>
          <w:noProof/>
          <w:sz w:val="22"/>
        </w:rPr>
        <w:t>: Interesat e borxhit shtetëror në vlerë absolute dhe relative, ndaj PBB dhe të ardhurave tatimore (TM. I 2016-TM. I 2020)</w:t>
      </w:r>
      <w:bookmarkEnd w:id="89"/>
      <w:r w:rsidRPr="00796E6A">
        <w:rPr>
          <w:rFonts w:asciiTheme="minorHAnsi" w:hAnsiTheme="minorHAnsi"/>
          <w:i/>
          <w:noProof/>
          <w:sz w:val="22"/>
        </w:rPr>
        <w:t xml:space="preserve">   </w:t>
      </w:r>
    </w:p>
    <w:p w:rsidR="00EB0002" w:rsidRPr="00EB0002" w:rsidRDefault="00EB0002" w:rsidP="00CD06A3">
      <w:pPr>
        <w:tabs>
          <w:tab w:val="left" w:pos="360"/>
        </w:tabs>
        <w:spacing w:line="276" w:lineRule="auto"/>
        <w:jc w:val="center"/>
        <w:rPr>
          <w:rFonts w:asciiTheme="minorHAnsi" w:hAnsiTheme="minorHAnsi"/>
          <w:lang w:val="sq-AL"/>
        </w:rPr>
      </w:pPr>
      <w:r w:rsidRPr="00EB0002">
        <w:rPr>
          <w:rFonts w:asciiTheme="minorHAnsi" w:hAnsiTheme="minorHAnsi"/>
          <w:noProof/>
        </w:rPr>
        <w:drawing>
          <wp:inline distT="0" distB="0" distL="0" distR="0" wp14:anchorId="610D0DB2" wp14:editId="4CD34C8A">
            <wp:extent cx="5953125" cy="1828800"/>
            <wp:effectExtent l="0" t="0" r="9525" b="0"/>
            <wp:docPr id="39" name="Chart 39"/>
            <wp:cNvGraphicFramePr/>
            <a:graphic xmlns:a="http://schemas.openxmlformats.org/drawingml/2006/main">
              <a:graphicData uri="http://schemas.openxmlformats.org/drawingml/2006/chart">
                <c:chart xmlns:c="http://schemas.openxmlformats.org/drawingml/2006/chart" xmlns:r="http://schemas.openxmlformats.org/officeDocument/2006/relationships" r:id="rId60"/>
              </a:graphicData>
            </a:graphic>
          </wp:inline>
        </w:drawing>
      </w:r>
    </w:p>
    <w:p w:rsidR="00EB0002" w:rsidRPr="00CD06A3" w:rsidRDefault="00CD06A3" w:rsidP="00EB0002">
      <w:pPr>
        <w:tabs>
          <w:tab w:val="left" w:pos="360"/>
        </w:tabs>
        <w:spacing w:after="240" w:line="276" w:lineRule="auto"/>
        <w:jc w:val="both"/>
        <w:rPr>
          <w:rFonts w:asciiTheme="minorHAnsi" w:hAnsiTheme="minorHAnsi"/>
          <w:i/>
          <w:sz w:val="20"/>
          <w:lang w:val="sq-AL"/>
        </w:rPr>
      </w:pPr>
      <w:r>
        <w:rPr>
          <w:rFonts w:asciiTheme="minorHAnsi" w:hAnsiTheme="minorHAnsi"/>
          <w:i/>
          <w:sz w:val="20"/>
          <w:lang w:val="sq-AL"/>
        </w:rPr>
        <w:tab/>
      </w:r>
      <w:r w:rsidR="00EB0002" w:rsidRPr="00CD06A3">
        <w:rPr>
          <w:rFonts w:asciiTheme="minorHAnsi" w:hAnsiTheme="minorHAnsi"/>
          <w:i/>
          <w:sz w:val="20"/>
          <w:lang w:val="sq-AL"/>
        </w:rPr>
        <w:t>Burimi: Ministria e Financave dhe Ekonomisë (2020)</w:t>
      </w:r>
    </w:p>
    <w:p w:rsidR="00EB3166" w:rsidRDefault="00EB0002" w:rsidP="00796E6A">
      <w:pPr>
        <w:tabs>
          <w:tab w:val="left" w:pos="360"/>
        </w:tabs>
        <w:spacing w:line="276" w:lineRule="auto"/>
        <w:jc w:val="both"/>
        <w:rPr>
          <w:rFonts w:asciiTheme="minorHAnsi" w:hAnsiTheme="minorHAnsi"/>
          <w:lang w:val="sq-AL"/>
        </w:rPr>
      </w:pPr>
      <w:bookmarkStart w:id="90" w:name="_Toc497222543"/>
      <w:r w:rsidRPr="00EB0002">
        <w:rPr>
          <w:rFonts w:asciiTheme="minorHAnsi" w:hAnsiTheme="minorHAnsi"/>
          <w:lang w:val="sq-AL"/>
        </w:rPr>
        <w:t>Nga ana tjetër, megjithëse vazhdon të rritet pesha e borxhit afatgjatë, kosto mesatare e borxhit të brendshëm shtetëror është ulur nga 3.84% në fundin e vitit 2019 në 3.79% në mars 2020, duke reflektuar një përmirësim në raportin ndërmjet kostos dhe risqeve.</w:t>
      </w:r>
    </w:p>
    <w:p w:rsidR="00796E6A" w:rsidRPr="00796E6A" w:rsidRDefault="00796E6A" w:rsidP="00796E6A">
      <w:pPr>
        <w:tabs>
          <w:tab w:val="left" w:pos="360"/>
        </w:tabs>
        <w:spacing w:line="276" w:lineRule="auto"/>
        <w:jc w:val="both"/>
        <w:rPr>
          <w:rFonts w:asciiTheme="minorHAnsi" w:hAnsiTheme="minorHAnsi"/>
          <w:i/>
          <w:noProof/>
          <w:sz w:val="8"/>
          <w:szCs w:val="22"/>
        </w:rPr>
      </w:pPr>
      <w:bookmarkStart w:id="91" w:name="_Toc44404481"/>
    </w:p>
    <w:p w:rsidR="006E68A7" w:rsidRPr="00796E6A" w:rsidRDefault="006E68A7" w:rsidP="00796E6A">
      <w:pPr>
        <w:tabs>
          <w:tab w:val="left" w:pos="360"/>
        </w:tabs>
        <w:spacing w:line="276" w:lineRule="auto"/>
        <w:jc w:val="both"/>
        <w:rPr>
          <w:rFonts w:asciiTheme="minorHAnsi" w:hAnsiTheme="minorHAnsi"/>
          <w:i/>
          <w:noProof/>
          <w:sz w:val="22"/>
          <w:szCs w:val="22"/>
        </w:rPr>
      </w:pPr>
      <w:r w:rsidRPr="00796E6A">
        <w:rPr>
          <w:rFonts w:asciiTheme="minorHAnsi" w:hAnsiTheme="minorHAnsi"/>
          <w:i/>
          <w:noProof/>
          <w:sz w:val="22"/>
          <w:szCs w:val="22"/>
        </w:rPr>
        <w:t xml:space="preserve">Grafiku </w:t>
      </w:r>
      <w:r w:rsidRPr="00796E6A">
        <w:rPr>
          <w:rFonts w:asciiTheme="minorHAnsi" w:hAnsiTheme="minorHAnsi"/>
          <w:i/>
          <w:noProof/>
          <w:sz w:val="22"/>
          <w:szCs w:val="22"/>
        </w:rPr>
        <w:fldChar w:fldCharType="begin"/>
      </w:r>
      <w:r w:rsidRPr="00796E6A">
        <w:rPr>
          <w:rFonts w:asciiTheme="minorHAnsi" w:hAnsiTheme="minorHAnsi"/>
          <w:i/>
          <w:noProof/>
          <w:sz w:val="22"/>
          <w:szCs w:val="22"/>
        </w:rPr>
        <w:instrText xml:space="preserve"> SEQ Grafiku \* ARABIC </w:instrText>
      </w:r>
      <w:r w:rsidRPr="00796E6A">
        <w:rPr>
          <w:rFonts w:asciiTheme="minorHAnsi" w:hAnsiTheme="minorHAnsi"/>
          <w:i/>
          <w:noProof/>
          <w:sz w:val="22"/>
          <w:szCs w:val="22"/>
        </w:rPr>
        <w:fldChar w:fldCharType="separate"/>
      </w:r>
      <w:r w:rsidR="00C342E2">
        <w:rPr>
          <w:rFonts w:asciiTheme="minorHAnsi" w:hAnsiTheme="minorHAnsi"/>
          <w:i/>
          <w:noProof/>
          <w:sz w:val="22"/>
          <w:szCs w:val="22"/>
        </w:rPr>
        <w:t>41</w:t>
      </w:r>
      <w:r w:rsidRPr="00796E6A">
        <w:rPr>
          <w:rFonts w:asciiTheme="minorHAnsi" w:hAnsiTheme="minorHAnsi"/>
          <w:i/>
          <w:noProof/>
          <w:sz w:val="22"/>
          <w:szCs w:val="22"/>
        </w:rPr>
        <w:fldChar w:fldCharType="end"/>
      </w:r>
      <w:r w:rsidRPr="00796E6A">
        <w:rPr>
          <w:rFonts w:asciiTheme="minorHAnsi" w:hAnsiTheme="minorHAnsi"/>
          <w:i/>
          <w:noProof/>
          <w:sz w:val="22"/>
          <w:szCs w:val="22"/>
        </w:rPr>
        <w:t>: Jetëgjatësia&amp;kosto mesatare e portofolit të borxhit të brendshëm shtetëror (2016-Mars 2020)</w:t>
      </w:r>
      <w:bookmarkEnd w:id="91"/>
    </w:p>
    <w:p w:rsidR="00EB0002" w:rsidRPr="00EB0002" w:rsidRDefault="00EB0002" w:rsidP="00CD06A3">
      <w:pPr>
        <w:tabs>
          <w:tab w:val="left" w:pos="360"/>
        </w:tabs>
        <w:spacing w:line="276" w:lineRule="auto"/>
        <w:jc w:val="center"/>
        <w:rPr>
          <w:rFonts w:asciiTheme="minorHAnsi" w:hAnsiTheme="minorHAnsi"/>
          <w:i/>
          <w:lang w:val="sq-AL"/>
        </w:rPr>
      </w:pPr>
      <w:r w:rsidRPr="00EB0002">
        <w:rPr>
          <w:rFonts w:asciiTheme="minorHAnsi" w:hAnsiTheme="minorHAnsi"/>
          <w:noProof/>
        </w:rPr>
        <w:drawing>
          <wp:inline distT="0" distB="0" distL="0" distR="0" wp14:anchorId="612C3308" wp14:editId="77AE9F22">
            <wp:extent cx="5943600" cy="1645920"/>
            <wp:effectExtent l="0" t="0" r="0" b="11430"/>
            <wp:docPr id="19" name="Chart 19"/>
            <wp:cNvGraphicFramePr/>
            <a:graphic xmlns:a="http://schemas.openxmlformats.org/drawingml/2006/main">
              <a:graphicData uri="http://schemas.openxmlformats.org/drawingml/2006/chart">
                <c:chart xmlns:c="http://schemas.openxmlformats.org/drawingml/2006/chart" xmlns:r="http://schemas.openxmlformats.org/officeDocument/2006/relationships" r:id="rId61"/>
              </a:graphicData>
            </a:graphic>
          </wp:inline>
        </w:drawing>
      </w:r>
    </w:p>
    <w:p w:rsidR="00EB0002" w:rsidRPr="00CD06A3" w:rsidRDefault="00CD06A3" w:rsidP="00EB0002">
      <w:pPr>
        <w:tabs>
          <w:tab w:val="left" w:pos="360"/>
        </w:tabs>
        <w:spacing w:after="240" w:line="276" w:lineRule="auto"/>
        <w:jc w:val="both"/>
        <w:rPr>
          <w:rFonts w:asciiTheme="minorHAnsi" w:hAnsiTheme="minorHAnsi"/>
          <w:i/>
          <w:sz w:val="20"/>
          <w:lang w:val="sq-AL"/>
        </w:rPr>
      </w:pPr>
      <w:r>
        <w:rPr>
          <w:rFonts w:asciiTheme="minorHAnsi" w:hAnsiTheme="minorHAnsi"/>
          <w:i/>
          <w:sz w:val="20"/>
          <w:lang w:val="sq-AL"/>
        </w:rPr>
        <w:tab/>
      </w:r>
      <w:r w:rsidR="00EB0002" w:rsidRPr="00CD06A3">
        <w:rPr>
          <w:rFonts w:asciiTheme="minorHAnsi" w:hAnsiTheme="minorHAnsi"/>
          <w:i/>
          <w:sz w:val="20"/>
          <w:lang w:val="sq-AL"/>
        </w:rPr>
        <w:t>Burimi: Ministria e Financave dhe Ekonomisë (2020)</w:t>
      </w:r>
    </w:p>
    <w:p w:rsidR="00EB3166" w:rsidRPr="006E68A7" w:rsidRDefault="00EB0002" w:rsidP="00EB0002">
      <w:pPr>
        <w:tabs>
          <w:tab w:val="left" w:pos="360"/>
        </w:tabs>
        <w:spacing w:after="240" w:line="276" w:lineRule="auto"/>
        <w:jc w:val="both"/>
        <w:rPr>
          <w:rFonts w:asciiTheme="minorHAnsi" w:hAnsiTheme="minorHAnsi"/>
          <w:i/>
          <w:u w:val="single"/>
          <w:lang w:val="sq-AL"/>
        </w:rPr>
      </w:pPr>
      <w:r w:rsidRPr="006E68A7">
        <w:rPr>
          <w:rFonts w:asciiTheme="minorHAnsi" w:hAnsiTheme="minorHAnsi"/>
          <w:i/>
          <w:u w:val="single"/>
          <w:lang w:val="sq-AL"/>
        </w:rPr>
        <w:lastRenderedPageBreak/>
        <w:t>Risqet</w:t>
      </w:r>
      <w:bookmarkEnd w:id="90"/>
    </w:p>
    <w:p w:rsidR="00EB0002" w:rsidRPr="0064168E" w:rsidRDefault="00EB0002" w:rsidP="00CD06A3">
      <w:pPr>
        <w:tabs>
          <w:tab w:val="left" w:pos="360"/>
        </w:tabs>
        <w:spacing w:line="276" w:lineRule="auto"/>
        <w:jc w:val="both"/>
        <w:rPr>
          <w:rFonts w:asciiTheme="minorHAnsi" w:hAnsiTheme="minorHAnsi"/>
          <w:i/>
          <w:lang w:val="sq-AL"/>
        </w:rPr>
      </w:pPr>
      <w:r w:rsidRPr="00EB0002">
        <w:rPr>
          <w:rFonts w:asciiTheme="minorHAnsi" w:hAnsiTheme="minorHAnsi"/>
          <w:lang w:val="sq-AL"/>
        </w:rPr>
        <w:t xml:space="preserve">Gjatë periudhës janar-mars 2020, megjithëse në mënyrë të moderuar, menaxhimi i risqeve të portofolit të borxhit shtetëror ka evoluar në drejtim të objektivave strategjikë afatmesëm. Në këtë drejtim, ndikim pozitiv kanë pasur kryesisht ulja e peshës së titujve afatshkurtër dhe atyre me norma interesi të ndryshueshme në portofolin e borxhit të brendshëm. Pesha e titujve afatshkurtër dhe atyre me norma interesi të ndryshueshme janë ulur përkatësisht me 0.02 pp dhe 0.57 pp. Risku i rifinancimit ka vijuar të reduktohet, pasi jetëgjatësia e borxhit të brendshëm është rritur me 13 ditë duke prekur nivelin e 800 ditëve në fund të muajit mars 2020, krahasuar me 787 ditë në fund të muajit dhjetor 2019. Risku i normave të interesit gjithashtu është reduktuar, pasi pesha e instrumenteve që rivlerësojnë normën e interesit në harkun kohor të një viti është ulur nga 50.87% në dhjetor 2019 në 50.75% në mars 2020. </w:t>
      </w:r>
    </w:p>
    <w:p w:rsidR="006E68A7" w:rsidRDefault="006E68A7" w:rsidP="006E68A7">
      <w:pPr>
        <w:keepNext/>
        <w:tabs>
          <w:tab w:val="left" w:pos="360"/>
        </w:tabs>
      </w:pPr>
    </w:p>
    <w:p w:rsidR="00CD06A3" w:rsidRPr="006E68A7" w:rsidRDefault="006E68A7" w:rsidP="006E68A7">
      <w:pPr>
        <w:pStyle w:val="Caption"/>
        <w:rPr>
          <w:rFonts w:asciiTheme="minorHAnsi" w:hAnsiTheme="minorHAnsi"/>
          <w:b w:val="0"/>
          <w:bCs w:val="0"/>
          <w:i/>
          <w:noProof/>
          <w:color w:val="auto"/>
          <w:sz w:val="24"/>
          <w:szCs w:val="24"/>
        </w:rPr>
      </w:pPr>
      <w:bookmarkStart w:id="92" w:name="_Toc44404414"/>
      <w:r w:rsidRPr="00EB0002">
        <w:rPr>
          <w:rFonts w:asciiTheme="minorHAnsi" w:hAnsiTheme="minorHAnsi"/>
          <w:noProof/>
        </w:rPr>
        <w:drawing>
          <wp:anchor distT="0" distB="0" distL="114300" distR="114300" simplePos="0" relativeHeight="251728896" behindDoc="1" locked="0" layoutInCell="1" allowOverlap="1" wp14:anchorId="011BC468" wp14:editId="214A7039">
            <wp:simplePos x="0" y="0"/>
            <wp:positionH relativeFrom="column">
              <wp:posOffset>129540</wp:posOffset>
            </wp:positionH>
            <wp:positionV relativeFrom="paragraph">
              <wp:posOffset>207645</wp:posOffset>
            </wp:positionV>
            <wp:extent cx="5953125" cy="739140"/>
            <wp:effectExtent l="0" t="0" r="9525" b="3810"/>
            <wp:wrapTight wrapText="bothSides">
              <wp:wrapPolygon edited="0">
                <wp:start x="0" y="0"/>
                <wp:lineTo x="0" y="21155"/>
                <wp:lineTo x="21565" y="21155"/>
                <wp:lineTo x="21565" y="0"/>
                <wp:lineTo x="0" y="0"/>
              </wp:wrapPolygon>
            </wp:wrapTight>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5953125" cy="739140"/>
                    </a:xfrm>
                    <a:prstGeom prst="rect">
                      <a:avLst/>
                    </a:prstGeom>
                    <a:noFill/>
                    <a:ln>
                      <a:noFill/>
                    </a:ln>
                  </pic:spPr>
                </pic:pic>
              </a:graphicData>
            </a:graphic>
            <wp14:sizeRelH relativeFrom="page">
              <wp14:pctWidth>0</wp14:pctWidth>
            </wp14:sizeRelH>
            <wp14:sizeRelV relativeFrom="page">
              <wp14:pctHeight>0</wp14:pctHeight>
            </wp14:sizeRelV>
          </wp:anchor>
        </w:drawing>
      </w:r>
      <w:r w:rsidRPr="006E68A7">
        <w:rPr>
          <w:rFonts w:asciiTheme="minorHAnsi" w:hAnsiTheme="minorHAnsi"/>
          <w:b w:val="0"/>
          <w:bCs w:val="0"/>
          <w:i/>
          <w:noProof/>
          <w:color w:val="auto"/>
          <w:sz w:val="24"/>
          <w:szCs w:val="24"/>
        </w:rPr>
        <w:t xml:space="preserve">Tabela </w:t>
      </w:r>
      <w:r w:rsidRPr="006E68A7">
        <w:rPr>
          <w:rFonts w:asciiTheme="minorHAnsi" w:hAnsiTheme="minorHAnsi"/>
          <w:b w:val="0"/>
          <w:bCs w:val="0"/>
          <w:i/>
          <w:noProof/>
          <w:color w:val="auto"/>
          <w:sz w:val="24"/>
          <w:szCs w:val="24"/>
        </w:rPr>
        <w:fldChar w:fldCharType="begin"/>
      </w:r>
      <w:r w:rsidRPr="006E68A7">
        <w:rPr>
          <w:rFonts w:asciiTheme="minorHAnsi" w:hAnsiTheme="minorHAnsi"/>
          <w:b w:val="0"/>
          <w:bCs w:val="0"/>
          <w:i/>
          <w:noProof/>
          <w:color w:val="auto"/>
          <w:sz w:val="24"/>
          <w:szCs w:val="24"/>
        </w:rPr>
        <w:instrText xml:space="preserve"> SEQ Tabela \* ARABIC </w:instrText>
      </w:r>
      <w:r w:rsidRPr="006E68A7">
        <w:rPr>
          <w:rFonts w:asciiTheme="minorHAnsi" w:hAnsiTheme="minorHAnsi"/>
          <w:b w:val="0"/>
          <w:bCs w:val="0"/>
          <w:i/>
          <w:noProof/>
          <w:color w:val="auto"/>
          <w:sz w:val="24"/>
          <w:szCs w:val="24"/>
        </w:rPr>
        <w:fldChar w:fldCharType="separate"/>
      </w:r>
      <w:r w:rsidR="00C342E2">
        <w:rPr>
          <w:rFonts w:asciiTheme="minorHAnsi" w:hAnsiTheme="minorHAnsi"/>
          <w:b w:val="0"/>
          <w:bCs w:val="0"/>
          <w:i/>
          <w:noProof/>
          <w:color w:val="auto"/>
          <w:sz w:val="24"/>
          <w:szCs w:val="24"/>
        </w:rPr>
        <w:t>13</w:t>
      </w:r>
      <w:r w:rsidRPr="006E68A7">
        <w:rPr>
          <w:rFonts w:asciiTheme="minorHAnsi" w:hAnsiTheme="minorHAnsi"/>
          <w:b w:val="0"/>
          <w:bCs w:val="0"/>
          <w:i/>
          <w:noProof/>
          <w:color w:val="auto"/>
          <w:sz w:val="24"/>
          <w:szCs w:val="24"/>
        </w:rPr>
        <w:fldChar w:fldCharType="end"/>
      </w:r>
      <w:r w:rsidRPr="006E68A7">
        <w:rPr>
          <w:rFonts w:asciiTheme="minorHAnsi" w:hAnsiTheme="minorHAnsi"/>
          <w:b w:val="0"/>
          <w:bCs w:val="0"/>
          <w:i/>
          <w:noProof/>
          <w:color w:val="auto"/>
          <w:sz w:val="24"/>
          <w:szCs w:val="24"/>
        </w:rPr>
        <w:t>: Treguesit e riskut të borxhit të brendshëm shtetëror (2018–Maj 2020)</w:t>
      </w:r>
      <w:bookmarkEnd w:id="92"/>
      <w:r w:rsidR="00EB0002" w:rsidRPr="00EB0002">
        <w:rPr>
          <w:rFonts w:asciiTheme="minorHAnsi" w:hAnsiTheme="minorHAnsi"/>
          <w:b w:val="0"/>
          <w:lang w:val="sq-AL"/>
        </w:rPr>
        <w:t xml:space="preserve"> </w:t>
      </w:r>
    </w:p>
    <w:p w:rsidR="00EB0002" w:rsidRPr="00CD06A3" w:rsidRDefault="00CD06A3" w:rsidP="00CD06A3">
      <w:pPr>
        <w:tabs>
          <w:tab w:val="left" w:pos="360"/>
        </w:tabs>
        <w:spacing w:line="276" w:lineRule="auto"/>
        <w:rPr>
          <w:rFonts w:asciiTheme="minorHAnsi" w:hAnsiTheme="minorHAnsi"/>
          <w:i/>
          <w:sz w:val="20"/>
          <w:lang w:val="sq-AL"/>
        </w:rPr>
      </w:pPr>
      <w:r>
        <w:rPr>
          <w:rFonts w:asciiTheme="minorHAnsi" w:hAnsiTheme="minorHAnsi"/>
          <w:i/>
          <w:sz w:val="20"/>
          <w:lang w:val="sq-AL"/>
        </w:rPr>
        <w:tab/>
      </w:r>
      <w:r w:rsidR="00EB0002" w:rsidRPr="00CD06A3">
        <w:rPr>
          <w:rFonts w:asciiTheme="minorHAnsi" w:hAnsiTheme="minorHAnsi"/>
          <w:i/>
          <w:sz w:val="20"/>
          <w:lang w:val="sq-AL"/>
        </w:rPr>
        <w:t>Burimi: Ministria e Financave dhe Ekonomisë (2020)</w:t>
      </w:r>
    </w:p>
    <w:p w:rsidR="005260A8" w:rsidRPr="005260A8" w:rsidRDefault="005260A8" w:rsidP="0064168E">
      <w:pPr>
        <w:tabs>
          <w:tab w:val="left" w:pos="360"/>
        </w:tabs>
        <w:spacing w:line="276" w:lineRule="auto"/>
        <w:jc w:val="both"/>
        <w:rPr>
          <w:rFonts w:asciiTheme="minorHAnsi" w:hAnsiTheme="minorHAnsi"/>
          <w:i/>
          <w:sz w:val="8"/>
          <w:szCs w:val="8"/>
          <w:lang w:val="sq-AL"/>
        </w:rPr>
      </w:pPr>
    </w:p>
    <w:p w:rsidR="00EB0002" w:rsidRPr="006E68A7" w:rsidRDefault="00EB0002" w:rsidP="0064168E">
      <w:pPr>
        <w:tabs>
          <w:tab w:val="left" w:pos="360"/>
        </w:tabs>
        <w:spacing w:line="276" w:lineRule="auto"/>
        <w:jc w:val="both"/>
        <w:rPr>
          <w:rFonts w:asciiTheme="minorHAnsi" w:hAnsiTheme="minorHAnsi"/>
          <w:i/>
          <w:u w:val="single"/>
          <w:lang w:val="sq-AL"/>
        </w:rPr>
      </w:pPr>
      <w:r w:rsidRPr="006E68A7">
        <w:rPr>
          <w:rFonts w:asciiTheme="minorHAnsi" w:hAnsiTheme="minorHAnsi"/>
          <w:i/>
          <w:u w:val="single"/>
          <w:lang w:val="sq-AL"/>
        </w:rPr>
        <w:t>Zhvillimet e Tregut Primar të Titujve Shtetërorë</w:t>
      </w:r>
    </w:p>
    <w:p w:rsidR="00EB0002" w:rsidRPr="00EB0002" w:rsidRDefault="00EB0002" w:rsidP="00EB0002">
      <w:pPr>
        <w:tabs>
          <w:tab w:val="left" w:pos="360"/>
        </w:tabs>
        <w:spacing w:after="240" w:line="276" w:lineRule="auto"/>
        <w:jc w:val="both"/>
        <w:rPr>
          <w:rFonts w:asciiTheme="minorHAnsi" w:hAnsiTheme="minorHAnsi"/>
          <w:lang w:val="sq-AL"/>
        </w:rPr>
      </w:pPr>
      <w:bookmarkStart w:id="93" w:name="_Toc491861001"/>
      <w:bookmarkStart w:id="94" w:name="_Toc491954314"/>
      <w:bookmarkStart w:id="95" w:name="_Toc497222545"/>
      <w:r w:rsidRPr="00EB0002">
        <w:rPr>
          <w:rFonts w:asciiTheme="minorHAnsi" w:hAnsiTheme="minorHAnsi"/>
          <w:lang w:val="sq-AL"/>
        </w:rPr>
        <w:t>Tregu primar i titujve shtetërorë gjatë periudhës janar-mars të vitit 2020 përgjithësisht është karakterizuar nga zhvillime pozitive, ndër të cilat mund të përmenden: i) kërkesa e kënaqshme e tregut në raport me nevojat e qeverisë për huamarrje; ii) vijimi me projektin pilot për emetimin e obligacionit 5-vjeçar dhe 3-vjeçar referencë.</w:t>
      </w:r>
    </w:p>
    <w:p w:rsidR="00EB0002" w:rsidRPr="006E68A7" w:rsidRDefault="00EB0002" w:rsidP="0064168E">
      <w:pPr>
        <w:tabs>
          <w:tab w:val="left" w:pos="360"/>
        </w:tabs>
        <w:spacing w:line="276" w:lineRule="auto"/>
        <w:jc w:val="both"/>
        <w:rPr>
          <w:rFonts w:asciiTheme="minorHAnsi" w:hAnsiTheme="minorHAnsi"/>
          <w:i/>
          <w:u w:val="single"/>
          <w:lang w:val="sq-AL"/>
        </w:rPr>
      </w:pPr>
      <w:r w:rsidRPr="006E68A7">
        <w:rPr>
          <w:rFonts w:asciiTheme="minorHAnsi" w:hAnsiTheme="minorHAnsi"/>
          <w:i/>
          <w:u w:val="single"/>
          <w:lang w:val="sq-AL"/>
        </w:rPr>
        <w:t>Ecuria e ankandeve dhe kërkesa për titujt shtetërorë</w:t>
      </w:r>
      <w:bookmarkEnd w:id="93"/>
      <w:bookmarkEnd w:id="94"/>
      <w:bookmarkEnd w:id="95"/>
    </w:p>
    <w:p w:rsidR="00EB0002" w:rsidRDefault="00EB0002" w:rsidP="00796E6A">
      <w:pPr>
        <w:tabs>
          <w:tab w:val="left" w:pos="360"/>
        </w:tabs>
        <w:spacing w:line="276" w:lineRule="auto"/>
        <w:jc w:val="both"/>
        <w:rPr>
          <w:rFonts w:asciiTheme="minorHAnsi" w:hAnsiTheme="minorHAnsi"/>
          <w:lang w:val="sq-AL"/>
        </w:rPr>
      </w:pPr>
      <w:r w:rsidRPr="00EB0002">
        <w:rPr>
          <w:rFonts w:asciiTheme="minorHAnsi" w:hAnsiTheme="minorHAnsi"/>
          <w:lang w:val="sq-AL"/>
        </w:rPr>
        <w:t>Gjatë periudhës janar-mars 2020 kërkesa për tituj shtetërorë ka rezultuar në vlerën 104.6 miliard Lekë, nga të cilat 69.7 miliard Lekë për bono thesari dhe 34.9 miliard Lekë për obligacione. Kërkesa gjatë këtij tremujori ka qenë relativisht më e lartë se oferta e qeverisë për tituj shtetërorë, megjithatë duke filluar nga muaji shkurt është verejtur një reduktim i kërkesës për tituj shtetërorë, ndikuar kryesisht nga pasiguria e krijuar në tregje nga pandemia COVID-19.</w:t>
      </w:r>
    </w:p>
    <w:p w:rsidR="00796E6A" w:rsidRPr="00796E6A" w:rsidRDefault="00796E6A" w:rsidP="00796E6A">
      <w:pPr>
        <w:tabs>
          <w:tab w:val="left" w:pos="360"/>
        </w:tabs>
        <w:spacing w:line="276" w:lineRule="auto"/>
        <w:jc w:val="both"/>
        <w:rPr>
          <w:rFonts w:asciiTheme="minorHAnsi" w:hAnsiTheme="minorHAnsi"/>
          <w:sz w:val="8"/>
          <w:szCs w:val="8"/>
          <w:lang w:val="sq-AL"/>
        </w:rPr>
      </w:pPr>
    </w:p>
    <w:p w:rsidR="006E68A7" w:rsidRPr="006E68A7" w:rsidRDefault="006E68A7" w:rsidP="006E68A7">
      <w:pPr>
        <w:pStyle w:val="Caption"/>
        <w:keepNext/>
        <w:rPr>
          <w:rFonts w:asciiTheme="minorHAnsi" w:hAnsiTheme="minorHAnsi"/>
          <w:b w:val="0"/>
          <w:bCs w:val="0"/>
          <w:i/>
          <w:noProof/>
          <w:color w:val="auto"/>
          <w:sz w:val="24"/>
          <w:szCs w:val="24"/>
        </w:rPr>
      </w:pPr>
      <w:bookmarkStart w:id="96" w:name="_Toc44404482"/>
      <w:r w:rsidRPr="006E68A7">
        <w:rPr>
          <w:rFonts w:asciiTheme="minorHAnsi" w:hAnsiTheme="minorHAnsi"/>
          <w:b w:val="0"/>
          <w:bCs w:val="0"/>
          <w:i/>
          <w:noProof/>
          <w:color w:val="auto"/>
          <w:sz w:val="24"/>
          <w:szCs w:val="24"/>
        </w:rPr>
        <w:t xml:space="preserve">Grafiku </w:t>
      </w:r>
      <w:r w:rsidRPr="006E68A7">
        <w:rPr>
          <w:rFonts w:asciiTheme="minorHAnsi" w:hAnsiTheme="minorHAnsi"/>
          <w:b w:val="0"/>
          <w:bCs w:val="0"/>
          <w:i/>
          <w:noProof/>
          <w:color w:val="auto"/>
          <w:sz w:val="24"/>
          <w:szCs w:val="24"/>
        </w:rPr>
        <w:fldChar w:fldCharType="begin"/>
      </w:r>
      <w:r w:rsidRPr="006E68A7">
        <w:rPr>
          <w:rFonts w:asciiTheme="minorHAnsi" w:hAnsiTheme="minorHAnsi"/>
          <w:b w:val="0"/>
          <w:bCs w:val="0"/>
          <w:i/>
          <w:noProof/>
          <w:color w:val="auto"/>
          <w:sz w:val="24"/>
          <w:szCs w:val="24"/>
        </w:rPr>
        <w:instrText xml:space="preserve"> SEQ Grafiku \* ARABIC </w:instrText>
      </w:r>
      <w:r w:rsidRPr="006E68A7">
        <w:rPr>
          <w:rFonts w:asciiTheme="minorHAnsi" w:hAnsiTheme="minorHAnsi"/>
          <w:b w:val="0"/>
          <w:bCs w:val="0"/>
          <w:i/>
          <w:noProof/>
          <w:color w:val="auto"/>
          <w:sz w:val="24"/>
          <w:szCs w:val="24"/>
        </w:rPr>
        <w:fldChar w:fldCharType="separate"/>
      </w:r>
      <w:r w:rsidR="00C342E2">
        <w:rPr>
          <w:rFonts w:asciiTheme="minorHAnsi" w:hAnsiTheme="minorHAnsi"/>
          <w:b w:val="0"/>
          <w:bCs w:val="0"/>
          <w:i/>
          <w:noProof/>
          <w:color w:val="auto"/>
          <w:sz w:val="24"/>
          <w:szCs w:val="24"/>
        </w:rPr>
        <w:t>42</w:t>
      </w:r>
      <w:r w:rsidRPr="006E68A7">
        <w:rPr>
          <w:rFonts w:asciiTheme="minorHAnsi" w:hAnsiTheme="minorHAnsi"/>
          <w:b w:val="0"/>
          <w:bCs w:val="0"/>
          <w:i/>
          <w:noProof/>
          <w:color w:val="auto"/>
          <w:sz w:val="24"/>
          <w:szCs w:val="24"/>
        </w:rPr>
        <w:fldChar w:fldCharType="end"/>
      </w:r>
      <w:r w:rsidRPr="006E68A7">
        <w:rPr>
          <w:rFonts w:asciiTheme="minorHAnsi" w:hAnsiTheme="minorHAnsi"/>
          <w:b w:val="0"/>
          <w:bCs w:val="0"/>
          <w:i/>
          <w:noProof/>
          <w:color w:val="auto"/>
          <w:sz w:val="24"/>
          <w:szCs w:val="24"/>
        </w:rPr>
        <w:t>: Raporti i mbulimit të ankandeve të titujve shtetërorë (Janar–Mars 2020)</w:t>
      </w:r>
      <w:bookmarkEnd w:id="96"/>
    </w:p>
    <w:p w:rsidR="00EB0002" w:rsidRPr="00EB0002" w:rsidRDefault="00EB0002" w:rsidP="00CD06A3">
      <w:pPr>
        <w:tabs>
          <w:tab w:val="left" w:pos="360"/>
        </w:tabs>
        <w:spacing w:line="276" w:lineRule="auto"/>
        <w:jc w:val="center"/>
        <w:rPr>
          <w:rFonts w:asciiTheme="minorHAnsi" w:hAnsiTheme="minorHAnsi"/>
          <w:lang w:val="sq-AL"/>
        </w:rPr>
      </w:pPr>
      <w:r w:rsidRPr="00EB0002">
        <w:rPr>
          <w:rFonts w:asciiTheme="minorHAnsi" w:hAnsiTheme="minorHAnsi"/>
          <w:noProof/>
        </w:rPr>
        <w:drawing>
          <wp:inline distT="0" distB="0" distL="0" distR="0" wp14:anchorId="3FBFF527" wp14:editId="422CB238">
            <wp:extent cx="5953125" cy="929640"/>
            <wp:effectExtent l="0" t="0" r="9525" b="3810"/>
            <wp:docPr id="315" name="Chart 315"/>
            <wp:cNvGraphicFramePr/>
            <a:graphic xmlns:a="http://schemas.openxmlformats.org/drawingml/2006/main">
              <a:graphicData uri="http://schemas.openxmlformats.org/drawingml/2006/chart">
                <c:chart xmlns:c="http://schemas.openxmlformats.org/drawingml/2006/chart" xmlns:r="http://schemas.openxmlformats.org/officeDocument/2006/relationships" r:id="rId63"/>
              </a:graphicData>
            </a:graphic>
          </wp:inline>
        </w:drawing>
      </w:r>
    </w:p>
    <w:p w:rsidR="00EB0002" w:rsidRPr="00CD06A3" w:rsidRDefault="001E18DB" w:rsidP="00796E6A">
      <w:pPr>
        <w:tabs>
          <w:tab w:val="left" w:pos="360"/>
        </w:tabs>
        <w:spacing w:line="276" w:lineRule="auto"/>
        <w:jc w:val="both"/>
        <w:rPr>
          <w:rFonts w:asciiTheme="minorHAnsi" w:hAnsiTheme="minorHAnsi"/>
          <w:i/>
          <w:sz w:val="20"/>
          <w:lang w:val="sq-AL"/>
        </w:rPr>
      </w:pPr>
      <w:r>
        <w:rPr>
          <w:rFonts w:asciiTheme="minorHAnsi" w:hAnsiTheme="minorHAnsi"/>
          <w:i/>
          <w:sz w:val="20"/>
          <w:lang w:val="sq-AL"/>
        </w:rPr>
        <w:tab/>
      </w:r>
      <w:r w:rsidR="00EB0002" w:rsidRPr="00CD06A3">
        <w:rPr>
          <w:rFonts w:asciiTheme="minorHAnsi" w:hAnsiTheme="minorHAnsi"/>
          <w:i/>
          <w:sz w:val="20"/>
          <w:lang w:val="sq-AL"/>
        </w:rPr>
        <w:t>Burimi: Ministria e Financave dhe Ekonomisë (2020)</w:t>
      </w:r>
    </w:p>
    <w:p w:rsidR="00796E6A" w:rsidRPr="00796E6A" w:rsidRDefault="00796E6A" w:rsidP="00796E6A">
      <w:pPr>
        <w:tabs>
          <w:tab w:val="left" w:pos="360"/>
        </w:tabs>
        <w:spacing w:line="276" w:lineRule="auto"/>
        <w:jc w:val="both"/>
        <w:rPr>
          <w:rFonts w:asciiTheme="minorHAnsi" w:hAnsiTheme="minorHAnsi"/>
          <w:sz w:val="8"/>
          <w:lang w:val="sq-AL"/>
        </w:rPr>
      </w:pPr>
    </w:p>
    <w:p w:rsidR="00EB0002" w:rsidRPr="00EB0002" w:rsidRDefault="00EB0002" w:rsidP="00EB0002">
      <w:pPr>
        <w:tabs>
          <w:tab w:val="left" w:pos="360"/>
        </w:tabs>
        <w:spacing w:after="240" w:line="276" w:lineRule="auto"/>
        <w:jc w:val="both"/>
        <w:rPr>
          <w:rFonts w:asciiTheme="minorHAnsi" w:hAnsiTheme="minorHAnsi"/>
          <w:lang w:val="sq-AL"/>
        </w:rPr>
      </w:pPr>
      <w:r w:rsidRPr="00EB0002">
        <w:rPr>
          <w:rFonts w:asciiTheme="minorHAnsi" w:hAnsiTheme="minorHAnsi"/>
          <w:lang w:val="sq-AL"/>
        </w:rPr>
        <w:t>Nga pikëpamja e investitorëve, baza e investitorëve, vijon të jetë e përqëndruar në mbi 60% tek sektori bankar duke e bërë portofolin e borxhit të brendshëm të ndjeshëm ndaj risqeve sistemike që mund të paraqesë ky sektor. Struktura e tregut primar të titujve ka vijuar të konsolidohet nëpërmjet strategjisë e cila synon emetimin e titujve referencë, si shtysë për zhvillimin e tregut sekondar në të ardhmen.</w:t>
      </w:r>
      <w:r w:rsidR="001E18DB">
        <w:rPr>
          <w:rFonts w:asciiTheme="minorHAnsi" w:hAnsiTheme="minorHAnsi"/>
          <w:lang w:val="sq-AL"/>
        </w:rPr>
        <w:t xml:space="preserve"> </w:t>
      </w:r>
      <w:r w:rsidRPr="00EB0002">
        <w:rPr>
          <w:rFonts w:asciiTheme="minorHAnsi" w:hAnsiTheme="minorHAnsi"/>
          <w:lang w:val="sq-AL"/>
        </w:rPr>
        <w:t>Në këtë drejtim, gjatë tremujorit të parë është vijuar me emetimin e obligacioneve 3 dhe 5 vjeçare referencë.</w:t>
      </w:r>
    </w:p>
    <w:p w:rsidR="00EB0002" w:rsidRPr="006E68A7" w:rsidRDefault="00EB0002" w:rsidP="00EB0002">
      <w:pPr>
        <w:tabs>
          <w:tab w:val="left" w:pos="360"/>
        </w:tabs>
        <w:spacing w:after="240" w:line="276" w:lineRule="auto"/>
        <w:jc w:val="both"/>
        <w:rPr>
          <w:rFonts w:asciiTheme="minorHAnsi" w:hAnsiTheme="minorHAnsi"/>
          <w:i/>
          <w:u w:val="single"/>
          <w:lang w:val="sq-AL"/>
        </w:rPr>
      </w:pPr>
      <w:r w:rsidRPr="006E68A7">
        <w:rPr>
          <w:rFonts w:asciiTheme="minorHAnsi" w:hAnsiTheme="minorHAnsi"/>
          <w:i/>
          <w:u w:val="single"/>
          <w:lang w:val="sq-AL"/>
        </w:rPr>
        <w:lastRenderedPageBreak/>
        <w:t>Ecuria e normave të interesit</w:t>
      </w:r>
    </w:p>
    <w:p w:rsidR="00EB0002" w:rsidRDefault="00EB0002" w:rsidP="00796E6A">
      <w:pPr>
        <w:tabs>
          <w:tab w:val="left" w:pos="360"/>
        </w:tabs>
        <w:spacing w:line="276" w:lineRule="auto"/>
        <w:jc w:val="both"/>
        <w:rPr>
          <w:rFonts w:asciiTheme="minorHAnsi" w:hAnsiTheme="minorHAnsi"/>
          <w:lang w:val="sq-AL"/>
        </w:rPr>
      </w:pPr>
      <w:r w:rsidRPr="00EB0002">
        <w:rPr>
          <w:rFonts w:asciiTheme="minorHAnsi" w:hAnsiTheme="minorHAnsi"/>
          <w:lang w:val="sq-AL"/>
        </w:rPr>
        <w:t>Gjatë tremujorit të parë 2020 normat e interesit në tregun e titujve shtetërorë kanë shfaqur një tendencë rritëse pothuajse në të gjitha maturitetet e titujve shtetërorë. Rritja e normave të interesit përgjatë vitit 2020 ka qënë brenda pritshmërive, por e përshpejtuar gjatë tremujorit të parë kryesisht nga pasiguria e tregjeve financiare për shkak të pandemisë COVID-19.</w:t>
      </w:r>
    </w:p>
    <w:p w:rsidR="00796E6A" w:rsidRPr="00796E6A" w:rsidRDefault="00796E6A" w:rsidP="00796E6A">
      <w:pPr>
        <w:tabs>
          <w:tab w:val="left" w:pos="360"/>
        </w:tabs>
        <w:spacing w:line="276" w:lineRule="auto"/>
        <w:jc w:val="both"/>
        <w:rPr>
          <w:rFonts w:asciiTheme="minorHAnsi" w:hAnsiTheme="minorHAnsi"/>
          <w:sz w:val="8"/>
          <w:lang w:val="sq-AL"/>
        </w:rPr>
      </w:pPr>
    </w:p>
    <w:p w:rsidR="006E68A7" w:rsidRDefault="006E68A7" w:rsidP="006E68A7">
      <w:pPr>
        <w:pStyle w:val="Caption"/>
        <w:keepNext/>
      </w:pPr>
      <w:bookmarkStart w:id="97" w:name="_Toc44404483"/>
      <w:r w:rsidRPr="006E68A7">
        <w:rPr>
          <w:rFonts w:asciiTheme="minorHAnsi" w:hAnsiTheme="minorHAnsi"/>
          <w:b w:val="0"/>
          <w:bCs w:val="0"/>
          <w:i/>
          <w:noProof/>
          <w:color w:val="auto"/>
          <w:sz w:val="24"/>
          <w:szCs w:val="24"/>
        </w:rPr>
        <w:t xml:space="preserve">Grafiku </w:t>
      </w:r>
      <w:r w:rsidRPr="006E68A7">
        <w:rPr>
          <w:rFonts w:asciiTheme="minorHAnsi" w:hAnsiTheme="minorHAnsi"/>
          <w:b w:val="0"/>
          <w:bCs w:val="0"/>
          <w:i/>
          <w:noProof/>
          <w:color w:val="auto"/>
          <w:sz w:val="24"/>
          <w:szCs w:val="24"/>
        </w:rPr>
        <w:fldChar w:fldCharType="begin"/>
      </w:r>
      <w:r w:rsidRPr="006E68A7">
        <w:rPr>
          <w:rFonts w:asciiTheme="minorHAnsi" w:hAnsiTheme="minorHAnsi"/>
          <w:b w:val="0"/>
          <w:bCs w:val="0"/>
          <w:i/>
          <w:noProof/>
          <w:color w:val="auto"/>
          <w:sz w:val="24"/>
          <w:szCs w:val="24"/>
        </w:rPr>
        <w:instrText xml:space="preserve"> SEQ Grafiku \* ARABIC </w:instrText>
      </w:r>
      <w:r w:rsidRPr="006E68A7">
        <w:rPr>
          <w:rFonts w:asciiTheme="minorHAnsi" w:hAnsiTheme="minorHAnsi"/>
          <w:b w:val="0"/>
          <w:bCs w:val="0"/>
          <w:i/>
          <w:noProof/>
          <w:color w:val="auto"/>
          <w:sz w:val="24"/>
          <w:szCs w:val="24"/>
        </w:rPr>
        <w:fldChar w:fldCharType="separate"/>
      </w:r>
      <w:r w:rsidR="00C342E2">
        <w:rPr>
          <w:rFonts w:asciiTheme="minorHAnsi" w:hAnsiTheme="minorHAnsi"/>
          <w:b w:val="0"/>
          <w:bCs w:val="0"/>
          <w:i/>
          <w:noProof/>
          <w:color w:val="auto"/>
          <w:sz w:val="24"/>
          <w:szCs w:val="24"/>
        </w:rPr>
        <w:t>43</w:t>
      </w:r>
      <w:r w:rsidRPr="006E68A7">
        <w:rPr>
          <w:rFonts w:asciiTheme="minorHAnsi" w:hAnsiTheme="minorHAnsi"/>
          <w:b w:val="0"/>
          <w:bCs w:val="0"/>
          <w:i/>
          <w:noProof/>
          <w:color w:val="auto"/>
          <w:sz w:val="24"/>
          <w:szCs w:val="24"/>
        </w:rPr>
        <w:fldChar w:fldCharType="end"/>
      </w:r>
      <w:r w:rsidRPr="006E68A7">
        <w:rPr>
          <w:rFonts w:asciiTheme="minorHAnsi" w:hAnsiTheme="minorHAnsi"/>
          <w:b w:val="0"/>
          <w:bCs w:val="0"/>
          <w:i/>
          <w:noProof/>
          <w:color w:val="auto"/>
          <w:sz w:val="24"/>
          <w:szCs w:val="24"/>
        </w:rPr>
        <w:t>: Norma mesatare e ponderuar e titujve shtetërorë</w:t>
      </w:r>
      <w:r w:rsidRPr="006E68A7">
        <w:rPr>
          <w:rFonts w:asciiTheme="minorHAnsi" w:hAnsiTheme="minorHAnsi"/>
          <w:b w:val="0"/>
          <w:bCs w:val="0"/>
          <w:i/>
          <w:noProof/>
          <w:color w:val="auto"/>
          <w:sz w:val="24"/>
          <w:szCs w:val="24"/>
        </w:rPr>
        <w:footnoteReference w:id="3"/>
      </w:r>
      <w:r w:rsidRPr="006E68A7">
        <w:rPr>
          <w:rFonts w:asciiTheme="minorHAnsi" w:hAnsiTheme="minorHAnsi"/>
          <w:b w:val="0"/>
          <w:bCs w:val="0"/>
          <w:i/>
          <w:noProof/>
          <w:color w:val="auto"/>
          <w:sz w:val="24"/>
          <w:szCs w:val="24"/>
        </w:rPr>
        <w:t xml:space="preserve"> (2018-Mars 2020)</w:t>
      </w:r>
      <w:bookmarkEnd w:id="97"/>
    </w:p>
    <w:p w:rsidR="00EB0002" w:rsidRPr="00EB0002" w:rsidRDefault="00EB0002" w:rsidP="001E18DB">
      <w:pPr>
        <w:tabs>
          <w:tab w:val="left" w:pos="360"/>
        </w:tabs>
        <w:spacing w:line="276" w:lineRule="auto"/>
        <w:jc w:val="center"/>
        <w:rPr>
          <w:rFonts w:asciiTheme="minorHAnsi" w:hAnsiTheme="minorHAnsi"/>
          <w:lang w:val="sq-AL"/>
        </w:rPr>
      </w:pPr>
      <w:r w:rsidRPr="00EB0002">
        <w:rPr>
          <w:rFonts w:asciiTheme="minorHAnsi" w:hAnsiTheme="minorHAnsi"/>
          <w:noProof/>
        </w:rPr>
        <w:drawing>
          <wp:inline distT="0" distB="0" distL="0" distR="0" wp14:anchorId="47BDF6CB" wp14:editId="5DB1AB87">
            <wp:extent cx="5915025" cy="1524000"/>
            <wp:effectExtent l="0" t="0" r="9525" b="0"/>
            <wp:docPr id="316" name="Chart 316"/>
            <wp:cNvGraphicFramePr/>
            <a:graphic xmlns:a="http://schemas.openxmlformats.org/drawingml/2006/main">
              <a:graphicData uri="http://schemas.openxmlformats.org/drawingml/2006/chart">
                <c:chart xmlns:c="http://schemas.openxmlformats.org/drawingml/2006/chart" xmlns:r="http://schemas.openxmlformats.org/officeDocument/2006/relationships" r:id="rId64"/>
              </a:graphicData>
            </a:graphic>
          </wp:inline>
        </w:drawing>
      </w:r>
    </w:p>
    <w:p w:rsidR="00125DA8" w:rsidRPr="0065598A" w:rsidRDefault="00EB0002" w:rsidP="00176D77">
      <w:pPr>
        <w:tabs>
          <w:tab w:val="left" w:pos="360"/>
        </w:tabs>
        <w:spacing w:after="240" w:line="276" w:lineRule="auto"/>
        <w:jc w:val="both"/>
        <w:rPr>
          <w:rFonts w:asciiTheme="minorHAnsi" w:hAnsiTheme="minorHAnsi"/>
          <w:i/>
          <w:sz w:val="20"/>
          <w:lang w:val="sq-AL"/>
        </w:rPr>
      </w:pPr>
      <w:r w:rsidRPr="001E18DB">
        <w:rPr>
          <w:rFonts w:asciiTheme="minorHAnsi" w:hAnsiTheme="minorHAnsi"/>
          <w:i/>
          <w:sz w:val="20"/>
          <w:lang w:val="sq-AL"/>
        </w:rPr>
        <w:t>Burimi: Ministria e Financave dhe Ekonomisë (2020)</w:t>
      </w:r>
    </w:p>
    <w:p w:rsidR="00CB7741" w:rsidRPr="0065598A" w:rsidRDefault="00765663" w:rsidP="002334F6">
      <w:pPr>
        <w:pStyle w:val="Heading2"/>
      </w:pPr>
      <w:bookmarkStart w:id="98" w:name="_Toc44403616"/>
      <w:r w:rsidRPr="0065598A">
        <w:t>I</w:t>
      </w:r>
      <w:r w:rsidR="00CB7741" w:rsidRPr="0065598A">
        <w:t>V.3</w:t>
      </w:r>
      <w:r w:rsidR="00CB7741" w:rsidRPr="0065598A">
        <w:tab/>
        <w:t xml:space="preserve">Pritshmëritë </w:t>
      </w:r>
      <w:r w:rsidR="0085454B" w:rsidRPr="0065598A">
        <w:t xml:space="preserve">e Borxhit </w:t>
      </w:r>
      <w:r w:rsidR="00CB7741" w:rsidRPr="0065598A">
        <w:t>për vitin 20</w:t>
      </w:r>
      <w:r w:rsidR="001E18DB">
        <w:t>20</w:t>
      </w:r>
      <w:bookmarkEnd w:id="98"/>
    </w:p>
    <w:p w:rsidR="00125DA8" w:rsidRPr="00125DA8" w:rsidRDefault="00125DA8" w:rsidP="00125DA8">
      <w:pPr>
        <w:tabs>
          <w:tab w:val="left" w:pos="2730"/>
        </w:tabs>
        <w:spacing w:line="276" w:lineRule="auto"/>
        <w:jc w:val="both"/>
        <w:rPr>
          <w:rFonts w:asciiTheme="minorHAnsi" w:hAnsiTheme="minorHAnsi"/>
          <w:sz w:val="8"/>
          <w:szCs w:val="8"/>
          <w:lang w:val="sq-AL"/>
        </w:rPr>
      </w:pPr>
      <w:bookmarkStart w:id="99" w:name="_Toc10033283"/>
      <w:bookmarkStart w:id="100" w:name="_Toc10721420"/>
      <w:bookmarkStart w:id="101" w:name="_Toc11134240"/>
      <w:bookmarkStart w:id="102" w:name="_Toc10033286"/>
      <w:bookmarkStart w:id="103" w:name="_Toc10721423"/>
      <w:bookmarkStart w:id="104" w:name="_Toc11134243"/>
    </w:p>
    <w:p w:rsidR="00D43A95" w:rsidRPr="0064168E" w:rsidRDefault="00125DA8" w:rsidP="0064168E">
      <w:pPr>
        <w:tabs>
          <w:tab w:val="left" w:pos="2730"/>
        </w:tabs>
        <w:spacing w:line="276" w:lineRule="auto"/>
        <w:jc w:val="both"/>
        <w:rPr>
          <w:rFonts w:asciiTheme="minorHAnsi" w:hAnsiTheme="minorHAnsi"/>
          <w:lang w:val="sq-AL"/>
        </w:rPr>
      </w:pPr>
      <w:r w:rsidRPr="00125DA8">
        <w:rPr>
          <w:rFonts w:asciiTheme="minorHAnsi" w:hAnsiTheme="minorHAnsi"/>
          <w:lang w:val="sq-AL"/>
        </w:rPr>
        <w:t xml:space="preserve">Nisur nga nevojat buxhetore në rritje, të krijuara nga masat e qeverisë në kuadër të menaxhimit të </w:t>
      </w:r>
      <w:r>
        <w:rPr>
          <w:rFonts w:asciiTheme="minorHAnsi" w:hAnsiTheme="minorHAnsi"/>
          <w:lang w:val="sq-AL"/>
        </w:rPr>
        <w:t>P</w:t>
      </w:r>
      <w:r w:rsidRPr="00125DA8">
        <w:rPr>
          <w:rFonts w:asciiTheme="minorHAnsi" w:hAnsiTheme="minorHAnsi"/>
          <w:lang w:val="sq-AL"/>
        </w:rPr>
        <w:t>a</w:t>
      </w:r>
      <w:r>
        <w:rPr>
          <w:rFonts w:asciiTheme="minorHAnsi" w:hAnsiTheme="minorHAnsi"/>
          <w:lang w:val="sq-AL"/>
        </w:rPr>
        <w:t>n</w:t>
      </w:r>
      <w:r w:rsidRPr="00125DA8">
        <w:rPr>
          <w:rFonts w:asciiTheme="minorHAnsi" w:hAnsiTheme="minorHAnsi"/>
          <w:lang w:val="sq-AL"/>
        </w:rPr>
        <w:t xml:space="preserve">demisë COVID-19, parashikimi me rënie i të ardhurave në buxhet, si edhe parashikimi në rënie i PBB-së, niveli i borxhit publik në raport me PBB parashikohet me </w:t>
      </w:r>
      <w:r w:rsidR="00AE7BD8">
        <w:rPr>
          <w:rFonts w:asciiTheme="minorHAnsi" w:hAnsiTheme="minorHAnsi"/>
          <w:lang w:val="sq-AL"/>
        </w:rPr>
        <w:t>r</w:t>
      </w:r>
      <w:r w:rsidRPr="00125DA8">
        <w:rPr>
          <w:rFonts w:asciiTheme="minorHAnsi" w:hAnsiTheme="minorHAnsi"/>
          <w:lang w:val="sq-AL"/>
        </w:rPr>
        <w:t>ritje për fundin e vitit 2020. Gjatë periudhës së mbetur të vitit 20</w:t>
      </w:r>
      <w:r w:rsidR="00AE7BD8">
        <w:rPr>
          <w:rFonts w:asciiTheme="minorHAnsi" w:hAnsiTheme="minorHAnsi"/>
          <w:lang w:val="sq-AL"/>
        </w:rPr>
        <w:t>20</w:t>
      </w:r>
      <w:r w:rsidRPr="00125DA8">
        <w:rPr>
          <w:rFonts w:asciiTheme="minorHAnsi" w:hAnsiTheme="minorHAnsi"/>
          <w:lang w:val="sq-AL"/>
        </w:rPr>
        <w:t xml:space="preserve">, menaxhimi i borxhit do të ketë në fokus përmirësimin e mëtejshëm të strukturës së borxhit </w:t>
      </w:r>
      <w:r w:rsidRPr="00125DA8">
        <w:rPr>
          <w:rFonts w:asciiTheme="minorHAnsi" w:hAnsiTheme="minorHAnsi"/>
          <w:i/>
          <w:lang w:val="sq-AL"/>
        </w:rPr>
        <w:t>(kryesisht strukturën e portofolit të borxhit të brendshëm)</w:t>
      </w:r>
      <w:r w:rsidRPr="00125DA8">
        <w:rPr>
          <w:rFonts w:asciiTheme="minorHAnsi" w:hAnsiTheme="minorHAnsi"/>
          <w:lang w:val="sq-AL"/>
        </w:rPr>
        <w:t xml:space="preserve"> në drejtim të uljes së ekspozimit ndaj risqeve, megjithëse nevojat në rritje për huamarrje e vështirësojnë procesin e realizimit të këtij objektivi.</w:t>
      </w:r>
      <w:r w:rsidR="00796E6A">
        <w:rPr>
          <w:rFonts w:asciiTheme="minorHAnsi" w:hAnsiTheme="minorHAnsi"/>
          <w:lang w:val="sq-AL"/>
        </w:rPr>
        <w:t xml:space="preserve"> </w:t>
      </w:r>
      <w:r w:rsidRPr="00125DA8">
        <w:rPr>
          <w:rFonts w:asciiTheme="minorHAnsi" w:hAnsiTheme="minorHAnsi"/>
          <w:lang w:val="sq-AL"/>
        </w:rPr>
        <w:t>Në tregun e brendshëm, nëpërmjet titujve afatshkurtër do të synohet kryesisht rifinancimi i titujve ekzistues, si dhe menaxhimi aktiv i nevojave për likuiditet. Ndërkohë, nëpërmjet titujve afatgjatë do të synohet të mbulohet financimi i deficitit.</w:t>
      </w:r>
      <w:r w:rsidR="00796E6A">
        <w:rPr>
          <w:rFonts w:asciiTheme="minorHAnsi" w:hAnsiTheme="minorHAnsi"/>
          <w:lang w:val="sq-AL"/>
        </w:rPr>
        <w:t xml:space="preserve"> </w:t>
      </w:r>
      <w:r w:rsidRPr="00125DA8">
        <w:rPr>
          <w:rFonts w:asciiTheme="minorHAnsi" w:hAnsiTheme="minorHAnsi"/>
          <w:lang w:val="sq-AL"/>
        </w:rPr>
        <w:t>Financimi i huaj do të shërbejë si plotësues i burimeve të brendshme dhe përveç të tjerash edhe si optimizues i kostove të borxhit. Huamarrja e huaj pritet të realizohet kryesisht nëpërmjet instrumentit të Eurobond-it, si edhe nëpërmjet huave në formën e mbështetjes buxhetore, të cilat do të financojnë nevojat për financim në rritje të shkaktuara nga pandemia COVID-19 dhe reformat e ndermarra nga qeveria.</w:t>
      </w:r>
    </w:p>
    <w:p w:rsidR="00562780" w:rsidRPr="00D43A95" w:rsidRDefault="00562780" w:rsidP="00D43A95">
      <w:pPr>
        <w:pStyle w:val="Heading1"/>
        <w:numPr>
          <w:ilvl w:val="0"/>
          <w:numId w:val="1"/>
        </w:numPr>
        <w:spacing w:line="276" w:lineRule="auto"/>
        <w:ind w:left="720"/>
        <w:jc w:val="both"/>
        <w:rPr>
          <w:sz w:val="32"/>
          <w:u w:val="none"/>
        </w:rPr>
      </w:pPr>
      <w:bookmarkStart w:id="105" w:name="_Toc44403617"/>
      <w:r w:rsidRPr="00371249">
        <w:rPr>
          <w:sz w:val="32"/>
          <w:u w:val="none"/>
        </w:rPr>
        <w:t>RREZI</w:t>
      </w:r>
      <w:r w:rsidRPr="00D43A95">
        <w:rPr>
          <w:sz w:val="32"/>
          <w:u w:val="none"/>
        </w:rPr>
        <w:t>QET FISKALE DHE DETYRIMET KONTIGJENTE</w:t>
      </w:r>
      <w:bookmarkEnd w:id="99"/>
      <w:bookmarkEnd w:id="100"/>
      <w:bookmarkEnd w:id="105"/>
      <w:r w:rsidRPr="00D43A95">
        <w:rPr>
          <w:sz w:val="32"/>
          <w:u w:val="none"/>
        </w:rPr>
        <w:t xml:space="preserve"> </w:t>
      </w:r>
      <w:bookmarkEnd w:id="101"/>
    </w:p>
    <w:p w:rsidR="00B4575B" w:rsidRPr="0065598A" w:rsidRDefault="00562780" w:rsidP="00562780">
      <w:pPr>
        <w:spacing w:before="240" w:line="276" w:lineRule="auto"/>
        <w:jc w:val="both"/>
        <w:rPr>
          <w:rFonts w:asciiTheme="minorHAnsi" w:hAnsiTheme="minorHAnsi"/>
          <w:lang w:val="sq-AL"/>
        </w:rPr>
      </w:pPr>
      <w:r w:rsidRPr="0065598A">
        <w:rPr>
          <w:rFonts w:asciiTheme="minorHAnsi" w:hAnsiTheme="minorHAnsi"/>
          <w:lang w:val="sq-AL"/>
        </w:rPr>
        <w:t xml:space="preserve">Me qëllim ndjekjen e performancës të zbatimit të buxhetit të shtetit, Ministria e Financave dhe Ekonomisë me mbështetjen e FMN dhe BB që prej vitit 2017 ka iniciiuar monitorimin e risqeve që shoqërojnë zbatimin e tij. Ky proces ka për qëllim që, në bazë të analizave të thelluara, të rekomandojë zbutjen dhe/apo parandalimin në kohë të rreziqeve fiskale, pasuar nga një vendimarrje koherente. </w:t>
      </w:r>
    </w:p>
    <w:p w:rsidR="00562780" w:rsidRPr="0065598A" w:rsidRDefault="00562780" w:rsidP="00562780">
      <w:pPr>
        <w:spacing w:before="240" w:line="276" w:lineRule="auto"/>
        <w:jc w:val="both"/>
        <w:rPr>
          <w:rFonts w:asciiTheme="minorHAnsi" w:hAnsiTheme="minorHAnsi"/>
          <w:lang w:val="sq-AL"/>
        </w:rPr>
      </w:pPr>
      <w:r w:rsidRPr="0065598A">
        <w:rPr>
          <w:rFonts w:asciiTheme="minorHAnsi" w:hAnsiTheme="minorHAnsi"/>
          <w:lang w:val="sq-AL"/>
        </w:rPr>
        <w:lastRenderedPageBreak/>
        <w:t xml:space="preserve">Risqet fiskale janë faktorë që mund të shkaktojnë devijim nga parashikimet fiskale dhe buxhetore gjatë ciklit të buxhetit, si rrjedhojë e disa ngjarjeve të paparashikuara. Ato mund të lindin si pasojë e supozimeve dhe zhvillimeve makroekonomike, vendimeve </w:t>
      </w:r>
      <w:r w:rsidRPr="0065598A">
        <w:rPr>
          <w:rFonts w:asciiTheme="minorHAnsi" w:hAnsiTheme="minorHAnsi"/>
          <w:i/>
          <w:lang w:val="sq-AL"/>
        </w:rPr>
        <w:t>ad-hoc</w:t>
      </w:r>
      <w:r w:rsidRPr="0065598A">
        <w:rPr>
          <w:rFonts w:asciiTheme="minorHAnsi" w:hAnsiTheme="minorHAnsi"/>
          <w:lang w:val="sq-AL"/>
        </w:rPr>
        <w:t xml:space="preserve"> mbi politikën fiskale dhe/ose materializimin e</w:t>
      </w:r>
      <w:r w:rsidR="00EC407D">
        <w:rPr>
          <w:rFonts w:asciiTheme="minorHAnsi" w:hAnsiTheme="minorHAnsi"/>
          <w:lang w:val="sq-AL"/>
        </w:rPr>
        <w:t xml:space="preserve"> detyrimeve konti</w:t>
      </w:r>
      <w:r w:rsidRPr="0065598A">
        <w:rPr>
          <w:rFonts w:asciiTheme="minorHAnsi" w:hAnsiTheme="minorHAnsi"/>
          <w:lang w:val="sq-AL"/>
        </w:rPr>
        <w:t xml:space="preserve">gjente. Vlerësimi i probabilitetit dhe ndikimit të risqeve fiskale kryhet në bazë të analizave të thelluara dhe parashikimeve në kuadër të Buxhetit Afatmesëm. Përkatësisht vlerësohen </w:t>
      </w:r>
      <w:r w:rsidRPr="0065598A">
        <w:rPr>
          <w:rFonts w:asciiTheme="minorHAnsi" w:hAnsiTheme="minorHAnsi"/>
          <w:u w:val="single"/>
          <w:lang w:val="sq-AL"/>
        </w:rPr>
        <w:t>dy kategori risqesh</w:t>
      </w:r>
      <w:r w:rsidRPr="0065598A">
        <w:rPr>
          <w:rFonts w:asciiTheme="minorHAnsi" w:hAnsiTheme="minorHAnsi"/>
          <w:lang w:val="sq-AL"/>
        </w:rPr>
        <w:t>:</w:t>
      </w:r>
    </w:p>
    <w:p w:rsidR="00562780" w:rsidRPr="00EC407D" w:rsidRDefault="00562780" w:rsidP="00562780">
      <w:pPr>
        <w:pStyle w:val="ListParagraph"/>
        <w:spacing w:line="276" w:lineRule="auto"/>
        <w:ind w:left="540"/>
        <w:jc w:val="both"/>
        <w:rPr>
          <w:rFonts w:asciiTheme="minorHAnsi" w:hAnsiTheme="minorHAnsi"/>
          <w:i/>
          <w:sz w:val="8"/>
          <w:szCs w:val="8"/>
          <w:lang w:val="sq-AL"/>
        </w:rPr>
      </w:pPr>
    </w:p>
    <w:p w:rsidR="00EC407D" w:rsidRPr="00DF440E" w:rsidRDefault="00EC407D" w:rsidP="00503465">
      <w:pPr>
        <w:pStyle w:val="ListParagraph"/>
        <w:numPr>
          <w:ilvl w:val="1"/>
          <w:numId w:val="7"/>
        </w:numPr>
        <w:spacing w:line="276" w:lineRule="auto"/>
        <w:ind w:left="540"/>
        <w:jc w:val="both"/>
        <w:rPr>
          <w:rFonts w:asciiTheme="minorHAnsi" w:hAnsiTheme="minorHAnsi"/>
          <w:i/>
          <w:u w:val="single"/>
          <w:lang w:val="sq-AL"/>
        </w:rPr>
      </w:pPr>
      <w:r>
        <w:rPr>
          <w:rFonts w:asciiTheme="minorHAnsi" w:hAnsiTheme="minorHAnsi"/>
          <w:i/>
          <w:u w:val="single"/>
          <w:lang w:val="sq-AL"/>
        </w:rPr>
        <w:t>“</w:t>
      </w:r>
      <w:r w:rsidRPr="00DF440E">
        <w:rPr>
          <w:rFonts w:asciiTheme="minorHAnsi" w:hAnsiTheme="minorHAnsi"/>
          <w:i/>
          <w:u w:val="single"/>
          <w:lang w:val="sq-AL"/>
        </w:rPr>
        <w:t>Eksplicite”</w:t>
      </w:r>
      <w:r w:rsidRPr="00DF440E">
        <w:rPr>
          <w:rFonts w:asciiTheme="minorHAnsi" w:hAnsiTheme="minorHAnsi"/>
          <w:i/>
          <w:lang w:val="sq-AL"/>
        </w:rPr>
        <w:t>, Detyrime të njohura nga qeveria dhe të bazuara në legjislacionin në fuqi apo kontrata të ndryshme të cilat mund të lidhen me supozimet dhe zhvillimet makroekonomike, të ardhurat e qeverisë, shpenzimet e përgjithshme të qeverisë, shpenzimet dhe menaxhimin e borxhit, etj.</w:t>
      </w:r>
    </w:p>
    <w:p w:rsidR="00EC407D" w:rsidRPr="00D43A95" w:rsidRDefault="00EC407D" w:rsidP="00503465">
      <w:pPr>
        <w:pStyle w:val="ListParagraph"/>
        <w:numPr>
          <w:ilvl w:val="1"/>
          <w:numId w:val="7"/>
        </w:numPr>
        <w:spacing w:line="276" w:lineRule="auto"/>
        <w:ind w:left="540"/>
        <w:jc w:val="both"/>
        <w:rPr>
          <w:rFonts w:asciiTheme="minorHAnsi" w:hAnsiTheme="minorHAnsi"/>
          <w:i/>
          <w:u w:val="single"/>
          <w:lang w:val="sq-AL"/>
        </w:rPr>
      </w:pPr>
      <w:r w:rsidRPr="00DF440E">
        <w:rPr>
          <w:rFonts w:asciiTheme="minorHAnsi" w:hAnsiTheme="minorHAnsi"/>
          <w:i/>
          <w:u w:val="single"/>
          <w:lang w:val="sq-AL"/>
        </w:rPr>
        <w:t>“Implicite”</w:t>
      </w:r>
      <w:r w:rsidRPr="00DF440E">
        <w:rPr>
          <w:rFonts w:asciiTheme="minorHAnsi" w:hAnsiTheme="minorHAnsi"/>
          <w:i/>
          <w:lang w:val="sq-AL"/>
        </w:rPr>
        <w:t>, kontingjente, Detyrime (indirekte) që mund të lindin si pasojë e presionit politik apo presionit të grupeve të ndryshme të interesit si detyrimet e lidhura me PPP-të, ato të vetëqeverisjes vendore, ndërmarrjet publike me kapital shtetëror, risqe të tjera si vendime gjyqësore, fatkeqësi natyrore dhe sektori financiar apo risqet afatgjata.</w:t>
      </w:r>
    </w:p>
    <w:p w:rsidR="005260A8" w:rsidRPr="00796E6A" w:rsidRDefault="005260A8" w:rsidP="005260A8">
      <w:pPr>
        <w:pStyle w:val="Caption"/>
        <w:spacing w:after="0"/>
        <w:rPr>
          <w:rFonts w:asciiTheme="minorHAnsi" w:hAnsiTheme="minorHAnsi"/>
          <w:b w:val="0"/>
          <w:bCs w:val="0"/>
          <w:i/>
          <w:color w:val="auto"/>
          <w:sz w:val="8"/>
          <w:szCs w:val="8"/>
          <w:lang w:val="sq-AL"/>
        </w:rPr>
      </w:pPr>
    </w:p>
    <w:p w:rsidR="00D23F5E" w:rsidRPr="0065598A" w:rsidRDefault="007434A1" w:rsidP="005260A8">
      <w:pPr>
        <w:pStyle w:val="Caption"/>
        <w:spacing w:after="0"/>
        <w:rPr>
          <w:rFonts w:asciiTheme="minorHAnsi" w:hAnsiTheme="minorHAnsi"/>
          <w:b w:val="0"/>
          <w:bCs w:val="0"/>
          <w:i/>
          <w:color w:val="auto"/>
          <w:sz w:val="24"/>
          <w:szCs w:val="24"/>
          <w:lang w:val="sq-AL"/>
        </w:rPr>
      </w:pPr>
      <w:bookmarkStart w:id="106" w:name="_Toc44404415"/>
      <w:r w:rsidRPr="0065598A">
        <w:rPr>
          <w:rFonts w:asciiTheme="minorHAnsi" w:hAnsiTheme="minorHAnsi"/>
          <w:b w:val="0"/>
          <w:bCs w:val="0"/>
          <w:i/>
          <w:color w:val="auto"/>
          <w:sz w:val="24"/>
          <w:szCs w:val="24"/>
          <w:lang w:val="sq-AL"/>
        </w:rPr>
        <w:t xml:space="preserve">Tabela </w:t>
      </w:r>
      <w:r w:rsidRPr="0065598A">
        <w:rPr>
          <w:rFonts w:asciiTheme="minorHAnsi" w:hAnsiTheme="minorHAnsi"/>
          <w:b w:val="0"/>
          <w:bCs w:val="0"/>
          <w:i/>
          <w:color w:val="auto"/>
          <w:sz w:val="24"/>
          <w:szCs w:val="24"/>
          <w:lang w:val="sq-AL"/>
        </w:rPr>
        <w:fldChar w:fldCharType="begin"/>
      </w:r>
      <w:r w:rsidRPr="0065598A">
        <w:rPr>
          <w:rFonts w:asciiTheme="minorHAnsi" w:hAnsiTheme="minorHAnsi"/>
          <w:b w:val="0"/>
          <w:bCs w:val="0"/>
          <w:i/>
          <w:color w:val="auto"/>
          <w:sz w:val="24"/>
          <w:szCs w:val="24"/>
          <w:lang w:val="sq-AL"/>
        </w:rPr>
        <w:instrText xml:space="preserve"> SEQ Tabela \* ARABIC </w:instrText>
      </w:r>
      <w:r w:rsidRPr="0065598A">
        <w:rPr>
          <w:rFonts w:asciiTheme="minorHAnsi" w:hAnsiTheme="minorHAnsi"/>
          <w:b w:val="0"/>
          <w:bCs w:val="0"/>
          <w:i/>
          <w:color w:val="auto"/>
          <w:sz w:val="24"/>
          <w:szCs w:val="24"/>
          <w:lang w:val="sq-AL"/>
        </w:rPr>
        <w:fldChar w:fldCharType="separate"/>
      </w:r>
      <w:r w:rsidR="00C342E2">
        <w:rPr>
          <w:rFonts w:asciiTheme="minorHAnsi" w:hAnsiTheme="minorHAnsi"/>
          <w:b w:val="0"/>
          <w:bCs w:val="0"/>
          <w:i/>
          <w:noProof/>
          <w:color w:val="auto"/>
          <w:sz w:val="24"/>
          <w:szCs w:val="24"/>
          <w:lang w:val="sq-AL"/>
        </w:rPr>
        <w:t>14</w:t>
      </w:r>
      <w:r w:rsidRPr="0065598A">
        <w:rPr>
          <w:rFonts w:asciiTheme="minorHAnsi" w:hAnsiTheme="minorHAnsi"/>
          <w:b w:val="0"/>
          <w:bCs w:val="0"/>
          <w:i/>
          <w:color w:val="auto"/>
          <w:sz w:val="24"/>
          <w:szCs w:val="24"/>
          <w:lang w:val="sq-AL"/>
        </w:rPr>
        <w:fldChar w:fldCharType="end"/>
      </w:r>
      <w:r w:rsidR="00D23F5E" w:rsidRPr="0065598A">
        <w:rPr>
          <w:rFonts w:asciiTheme="minorHAnsi" w:hAnsiTheme="minorHAnsi"/>
          <w:b w:val="0"/>
          <w:bCs w:val="0"/>
          <w:i/>
          <w:color w:val="auto"/>
          <w:sz w:val="24"/>
          <w:szCs w:val="24"/>
          <w:lang w:val="sq-AL"/>
        </w:rPr>
        <w:t xml:space="preserve"> Matrica e riskut</w:t>
      </w:r>
      <w:bookmarkEnd w:id="106"/>
    </w:p>
    <w:tbl>
      <w:tblPr>
        <w:tblStyle w:val="GridTable4-Accent11"/>
        <w:tblW w:w="5054" w:type="pct"/>
        <w:jc w:val="center"/>
        <w:tblLook w:val="04A0" w:firstRow="1" w:lastRow="0" w:firstColumn="1" w:lastColumn="0" w:noHBand="0" w:noVBand="1"/>
      </w:tblPr>
      <w:tblGrid>
        <w:gridCol w:w="2645"/>
        <w:gridCol w:w="7307"/>
      </w:tblGrid>
      <w:tr w:rsidR="00EC407D" w:rsidRPr="00EC407D" w:rsidTr="0064168E">
        <w:trPr>
          <w:cnfStyle w:val="100000000000" w:firstRow="1" w:lastRow="0" w:firstColumn="0" w:lastColumn="0" w:oddVBand="0" w:evenVBand="0" w:oddHBand="0" w:evenHBand="0" w:firstRowFirstColumn="0" w:firstRowLastColumn="0" w:lastRowFirstColumn="0" w:lastRowLastColumn="0"/>
          <w:trHeight w:val="340"/>
          <w:jc w:val="center"/>
        </w:trPr>
        <w:tc>
          <w:tcPr>
            <w:cnfStyle w:val="001000000000" w:firstRow="0" w:lastRow="0" w:firstColumn="1" w:lastColumn="0" w:oddVBand="0" w:evenVBand="0" w:oddHBand="0" w:evenHBand="0" w:firstRowFirstColumn="0" w:firstRowLastColumn="0" w:lastRowFirstColumn="0" w:lastRowLastColumn="0"/>
            <w:tcW w:w="1329" w:type="pct"/>
            <w:hideMark/>
          </w:tcPr>
          <w:p w:rsidR="00EC407D" w:rsidRPr="00EC407D" w:rsidRDefault="00EC407D" w:rsidP="00EC407D">
            <w:pPr>
              <w:jc w:val="center"/>
              <w:rPr>
                <w:rFonts w:cs="Times New Roman"/>
                <w:b w:val="0"/>
                <w:bCs w:val="0"/>
                <w:kern w:val="24"/>
                <w:sz w:val="20"/>
                <w:lang w:val="sq-AL" w:eastAsia="nb-NO"/>
              </w:rPr>
            </w:pPr>
          </w:p>
          <w:p w:rsidR="00EC407D" w:rsidRPr="00EC407D" w:rsidRDefault="00EC407D" w:rsidP="00EC407D">
            <w:pPr>
              <w:jc w:val="center"/>
              <w:rPr>
                <w:rFonts w:cs="Times New Roman"/>
                <w:sz w:val="20"/>
                <w:lang w:val="sq-AL" w:eastAsia="nb-NO"/>
              </w:rPr>
            </w:pPr>
            <w:r w:rsidRPr="00EC407D">
              <w:rPr>
                <w:rFonts w:cs="Times New Roman"/>
                <w:kern w:val="24"/>
                <w:sz w:val="20"/>
                <w:lang w:val="sq-AL" w:eastAsia="nb-NO"/>
              </w:rPr>
              <w:t>Lloji i rrezikut</w:t>
            </w:r>
          </w:p>
        </w:tc>
        <w:tc>
          <w:tcPr>
            <w:tcW w:w="3671" w:type="pct"/>
            <w:hideMark/>
          </w:tcPr>
          <w:p w:rsidR="00EC407D" w:rsidRPr="00EC407D" w:rsidRDefault="00EC407D" w:rsidP="00EC407D">
            <w:pPr>
              <w:jc w:val="center"/>
              <w:cnfStyle w:val="100000000000" w:firstRow="1" w:lastRow="0" w:firstColumn="0" w:lastColumn="0" w:oddVBand="0" w:evenVBand="0" w:oddHBand="0" w:evenHBand="0" w:firstRowFirstColumn="0" w:firstRowLastColumn="0" w:lastRowFirstColumn="0" w:lastRowLastColumn="0"/>
              <w:rPr>
                <w:rFonts w:cs="Times New Roman"/>
                <w:b w:val="0"/>
                <w:bCs w:val="0"/>
                <w:kern w:val="24"/>
                <w:sz w:val="20"/>
                <w:lang w:val="sq-AL" w:eastAsia="nb-NO"/>
              </w:rPr>
            </w:pPr>
          </w:p>
          <w:p w:rsidR="00EC407D" w:rsidRPr="00EC407D" w:rsidRDefault="00EC407D" w:rsidP="00EC407D">
            <w:pPr>
              <w:jc w:val="center"/>
              <w:cnfStyle w:val="100000000000" w:firstRow="1" w:lastRow="0" w:firstColumn="0" w:lastColumn="0" w:oddVBand="0" w:evenVBand="0" w:oddHBand="0" w:evenHBand="0" w:firstRowFirstColumn="0" w:firstRowLastColumn="0" w:lastRowFirstColumn="0" w:lastRowLastColumn="0"/>
              <w:rPr>
                <w:rFonts w:cs="Times New Roman"/>
                <w:sz w:val="20"/>
                <w:lang w:val="sq-AL" w:eastAsia="nb-NO"/>
              </w:rPr>
            </w:pPr>
            <w:r w:rsidRPr="00EC407D">
              <w:rPr>
                <w:rFonts w:cs="Times New Roman"/>
                <w:kern w:val="24"/>
                <w:sz w:val="20"/>
                <w:lang w:val="sq-AL" w:eastAsia="nb-NO"/>
              </w:rPr>
              <w:t>Skenarët e mundshëm</w:t>
            </w:r>
          </w:p>
        </w:tc>
      </w:tr>
      <w:tr w:rsidR="00EC407D" w:rsidRPr="00EC407D" w:rsidTr="0064168E">
        <w:trPr>
          <w:cnfStyle w:val="000000100000" w:firstRow="0" w:lastRow="0" w:firstColumn="0" w:lastColumn="0" w:oddVBand="0" w:evenVBand="0" w:oddHBand="1" w:evenHBand="0" w:firstRowFirstColumn="0" w:firstRowLastColumn="0" w:lastRowFirstColumn="0" w:lastRowLastColumn="0"/>
          <w:trHeight w:val="377"/>
          <w:jc w:val="center"/>
        </w:trPr>
        <w:tc>
          <w:tcPr>
            <w:cnfStyle w:val="001000000000" w:firstRow="0" w:lastRow="0" w:firstColumn="1" w:lastColumn="0" w:oddVBand="0" w:evenVBand="0" w:oddHBand="0" w:evenHBand="0" w:firstRowFirstColumn="0" w:firstRowLastColumn="0" w:lastRowFirstColumn="0" w:lastRowLastColumn="0"/>
            <w:tcW w:w="5000" w:type="pct"/>
            <w:gridSpan w:val="2"/>
            <w:hideMark/>
          </w:tcPr>
          <w:p w:rsidR="00EC407D" w:rsidRPr="00EC407D" w:rsidRDefault="00EC407D" w:rsidP="00EC407D">
            <w:pPr>
              <w:jc w:val="center"/>
              <w:rPr>
                <w:rFonts w:cs="Times New Roman"/>
                <w:b w:val="0"/>
                <w:bCs w:val="0"/>
                <w:color w:val="C00000"/>
                <w:kern w:val="24"/>
                <w:sz w:val="20"/>
                <w:lang w:val="sq-AL" w:eastAsia="nb-NO"/>
              </w:rPr>
            </w:pPr>
            <w:r w:rsidRPr="00EC407D">
              <w:rPr>
                <w:rFonts w:cs="Times New Roman"/>
                <w:color w:val="C00000"/>
                <w:kern w:val="24"/>
                <w:sz w:val="20"/>
                <w:lang w:val="sq-AL" w:eastAsia="nb-NO"/>
              </w:rPr>
              <w:t xml:space="preserve">Risqet dhe detyrimet </w:t>
            </w:r>
            <w:r w:rsidRPr="00EC407D">
              <w:rPr>
                <w:rFonts w:cs="Times New Roman"/>
                <w:color w:val="C00000"/>
                <w:kern w:val="24"/>
                <w:sz w:val="20"/>
                <w:u w:val="single"/>
                <w:lang w:val="sq-AL" w:eastAsia="nb-NO"/>
              </w:rPr>
              <w:t>eksplicite</w:t>
            </w:r>
          </w:p>
        </w:tc>
      </w:tr>
      <w:tr w:rsidR="00EC407D" w:rsidRPr="00EC407D" w:rsidTr="0064168E">
        <w:trPr>
          <w:trHeight w:val="612"/>
          <w:jc w:val="center"/>
        </w:trPr>
        <w:tc>
          <w:tcPr>
            <w:cnfStyle w:val="001000000000" w:firstRow="0" w:lastRow="0" w:firstColumn="1" w:lastColumn="0" w:oddVBand="0" w:evenVBand="0" w:oddHBand="0" w:evenHBand="0" w:firstRowFirstColumn="0" w:firstRowLastColumn="0" w:lastRowFirstColumn="0" w:lastRowLastColumn="0"/>
            <w:tcW w:w="1329" w:type="pct"/>
            <w:hideMark/>
          </w:tcPr>
          <w:p w:rsidR="00EC407D" w:rsidRPr="00EC407D" w:rsidRDefault="00EC407D" w:rsidP="00EC407D">
            <w:pPr>
              <w:jc w:val="center"/>
              <w:rPr>
                <w:rFonts w:cs="Times New Roman"/>
                <w:b w:val="0"/>
                <w:bCs w:val="0"/>
                <w:color w:val="000000"/>
                <w:kern w:val="24"/>
                <w:sz w:val="20"/>
                <w:lang w:val="sq-AL" w:eastAsia="nb-NO"/>
              </w:rPr>
            </w:pPr>
          </w:p>
          <w:p w:rsidR="00EC407D" w:rsidRPr="00EC407D" w:rsidRDefault="00EC407D" w:rsidP="00EC407D">
            <w:pPr>
              <w:jc w:val="center"/>
              <w:rPr>
                <w:rFonts w:cs="Times New Roman"/>
                <w:sz w:val="20"/>
                <w:lang w:val="sq-AL" w:eastAsia="nb-NO"/>
              </w:rPr>
            </w:pPr>
            <w:r w:rsidRPr="00EC407D">
              <w:rPr>
                <w:rFonts w:cs="Times New Roman"/>
                <w:color w:val="000000"/>
                <w:kern w:val="24"/>
                <w:sz w:val="20"/>
                <w:lang w:val="sq-AL" w:eastAsia="nb-NO"/>
              </w:rPr>
              <w:t>Goditje Makroekonomike</w:t>
            </w:r>
          </w:p>
        </w:tc>
        <w:tc>
          <w:tcPr>
            <w:tcW w:w="3671" w:type="pct"/>
            <w:hideMark/>
          </w:tcPr>
          <w:p w:rsidR="00EC407D" w:rsidRPr="00EC407D" w:rsidRDefault="00EC407D" w:rsidP="00EC407D">
            <w:pPr>
              <w:jc w:val="center"/>
              <w:cnfStyle w:val="000000000000" w:firstRow="0" w:lastRow="0" w:firstColumn="0" w:lastColumn="0" w:oddVBand="0" w:evenVBand="0" w:oddHBand="0" w:evenHBand="0" w:firstRowFirstColumn="0" w:firstRowLastColumn="0" w:lastRowFirstColumn="0" w:lastRowLastColumn="0"/>
              <w:rPr>
                <w:rFonts w:cs="Times New Roman"/>
                <w:color w:val="000000"/>
                <w:kern w:val="24"/>
                <w:sz w:val="20"/>
                <w:lang w:val="sq-AL" w:eastAsia="nb-NO"/>
              </w:rPr>
            </w:pPr>
          </w:p>
          <w:p w:rsidR="00EC407D" w:rsidRPr="00EC407D" w:rsidRDefault="00EC407D" w:rsidP="00EC407D">
            <w:pPr>
              <w:jc w:val="center"/>
              <w:cnfStyle w:val="000000000000" w:firstRow="0" w:lastRow="0" w:firstColumn="0" w:lastColumn="0" w:oddVBand="0" w:evenVBand="0" w:oddHBand="0" w:evenHBand="0" w:firstRowFirstColumn="0" w:firstRowLastColumn="0" w:lastRowFirstColumn="0" w:lastRowLastColumn="0"/>
              <w:rPr>
                <w:rFonts w:cs="Times New Roman"/>
                <w:color w:val="000000"/>
                <w:kern w:val="24"/>
                <w:sz w:val="20"/>
                <w:lang w:val="sq-AL" w:eastAsia="nb-NO"/>
              </w:rPr>
            </w:pPr>
            <w:r w:rsidRPr="00EC407D">
              <w:rPr>
                <w:rFonts w:cs="Times New Roman"/>
                <w:color w:val="000000"/>
                <w:kern w:val="24"/>
                <w:sz w:val="20"/>
                <w:lang w:val="sq-AL" w:eastAsia="nb-NO"/>
              </w:rPr>
              <w:t>Zhvillime  makroekonomike të paparashikuara, që mund të ndryshojnë perspektivën e rritjes ekonomike dhe pozicionin fiskal</w:t>
            </w:r>
          </w:p>
        </w:tc>
      </w:tr>
      <w:tr w:rsidR="00EC407D" w:rsidRPr="00EC407D" w:rsidTr="0064168E">
        <w:trPr>
          <w:cnfStyle w:val="000000100000" w:firstRow="0" w:lastRow="0" w:firstColumn="0" w:lastColumn="0" w:oddVBand="0" w:evenVBand="0" w:oddHBand="1" w:evenHBand="0" w:firstRowFirstColumn="0" w:firstRowLastColumn="0" w:lastRowFirstColumn="0" w:lastRowLastColumn="0"/>
          <w:trHeight w:val="71"/>
          <w:jc w:val="center"/>
        </w:trPr>
        <w:tc>
          <w:tcPr>
            <w:cnfStyle w:val="001000000000" w:firstRow="0" w:lastRow="0" w:firstColumn="1" w:lastColumn="0" w:oddVBand="0" w:evenVBand="0" w:oddHBand="0" w:evenHBand="0" w:firstRowFirstColumn="0" w:firstRowLastColumn="0" w:lastRowFirstColumn="0" w:lastRowLastColumn="0"/>
            <w:tcW w:w="1329" w:type="pct"/>
            <w:hideMark/>
          </w:tcPr>
          <w:p w:rsidR="00EC407D" w:rsidRPr="00EC407D" w:rsidRDefault="00EC407D" w:rsidP="00EC407D">
            <w:pPr>
              <w:jc w:val="center"/>
              <w:rPr>
                <w:rFonts w:cs="Times New Roman"/>
                <w:b w:val="0"/>
                <w:bCs w:val="0"/>
                <w:color w:val="000000"/>
                <w:kern w:val="24"/>
                <w:sz w:val="20"/>
                <w:lang w:val="sq-AL" w:eastAsia="nb-NO"/>
              </w:rPr>
            </w:pPr>
          </w:p>
          <w:p w:rsidR="00EC407D" w:rsidRPr="00EC407D" w:rsidRDefault="00EC407D" w:rsidP="00EC407D">
            <w:pPr>
              <w:jc w:val="center"/>
              <w:rPr>
                <w:rFonts w:cs="Times New Roman"/>
                <w:sz w:val="20"/>
                <w:lang w:val="sq-AL" w:eastAsia="nb-NO"/>
              </w:rPr>
            </w:pPr>
            <w:r w:rsidRPr="00EC407D">
              <w:rPr>
                <w:rFonts w:cs="Times New Roman"/>
                <w:color w:val="000000"/>
                <w:kern w:val="24"/>
                <w:sz w:val="20"/>
                <w:lang w:val="sq-AL" w:eastAsia="nb-NO"/>
              </w:rPr>
              <w:t>Parashikimi i të ardhurave</w:t>
            </w:r>
          </w:p>
        </w:tc>
        <w:tc>
          <w:tcPr>
            <w:tcW w:w="3671" w:type="pct"/>
            <w:hideMark/>
          </w:tcPr>
          <w:p w:rsidR="00EC407D" w:rsidRPr="00EC407D" w:rsidRDefault="00EC407D" w:rsidP="00EC407D">
            <w:pPr>
              <w:jc w:val="center"/>
              <w:cnfStyle w:val="000000100000" w:firstRow="0" w:lastRow="0" w:firstColumn="0" w:lastColumn="0" w:oddVBand="0" w:evenVBand="0" w:oddHBand="1" w:evenHBand="0" w:firstRowFirstColumn="0" w:firstRowLastColumn="0" w:lastRowFirstColumn="0" w:lastRowLastColumn="0"/>
              <w:rPr>
                <w:rFonts w:cs="Times New Roman"/>
                <w:color w:val="000000"/>
                <w:kern w:val="24"/>
                <w:sz w:val="20"/>
                <w:lang w:val="sq-AL" w:eastAsia="nb-NO"/>
              </w:rPr>
            </w:pPr>
          </w:p>
          <w:p w:rsidR="00EC407D" w:rsidRPr="00EC407D" w:rsidRDefault="00EC407D" w:rsidP="00EC407D">
            <w:pPr>
              <w:jc w:val="center"/>
              <w:cnfStyle w:val="000000100000" w:firstRow="0" w:lastRow="0" w:firstColumn="0" w:lastColumn="0" w:oddVBand="0" w:evenVBand="0" w:oddHBand="1" w:evenHBand="0" w:firstRowFirstColumn="0" w:firstRowLastColumn="0" w:lastRowFirstColumn="0" w:lastRowLastColumn="0"/>
              <w:rPr>
                <w:rFonts w:cs="Times New Roman"/>
                <w:color w:val="000000"/>
                <w:kern w:val="24"/>
                <w:sz w:val="20"/>
                <w:lang w:val="sq-AL" w:eastAsia="nb-NO"/>
              </w:rPr>
            </w:pPr>
            <w:r w:rsidRPr="00EC407D">
              <w:rPr>
                <w:rFonts w:cs="Times New Roman"/>
                <w:color w:val="000000"/>
                <w:kern w:val="24"/>
                <w:sz w:val="20"/>
                <w:lang w:val="sq-AL" w:eastAsia="nb-NO"/>
              </w:rPr>
              <w:t>Mosrealizimi i të ardhurave, që mund të sjellë përkeqësimin e bilancit fiskal</w:t>
            </w:r>
          </w:p>
        </w:tc>
      </w:tr>
      <w:tr w:rsidR="00EC407D" w:rsidRPr="00EC407D" w:rsidTr="0064168E">
        <w:trPr>
          <w:trHeight w:val="71"/>
          <w:jc w:val="center"/>
        </w:trPr>
        <w:tc>
          <w:tcPr>
            <w:cnfStyle w:val="001000000000" w:firstRow="0" w:lastRow="0" w:firstColumn="1" w:lastColumn="0" w:oddVBand="0" w:evenVBand="0" w:oddHBand="0" w:evenHBand="0" w:firstRowFirstColumn="0" w:firstRowLastColumn="0" w:lastRowFirstColumn="0" w:lastRowLastColumn="0"/>
            <w:tcW w:w="1329" w:type="pct"/>
            <w:hideMark/>
          </w:tcPr>
          <w:p w:rsidR="00EC407D" w:rsidRPr="00EC407D" w:rsidRDefault="00EC407D" w:rsidP="00EC407D">
            <w:pPr>
              <w:jc w:val="center"/>
              <w:rPr>
                <w:rFonts w:cs="Times New Roman"/>
                <w:b w:val="0"/>
                <w:bCs w:val="0"/>
                <w:color w:val="000000"/>
                <w:kern w:val="24"/>
                <w:sz w:val="20"/>
                <w:lang w:val="sq-AL" w:eastAsia="nb-NO"/>
              </w:rPr>
            </w:pPr>
          </w:p>
          <w:p w:rsidR="00EC407D" w:rsidRPr="00EC407D" w:rsidRDefault="00EC407D" w:rsidP="00EC407D">
            <w:pPr>
              <w:jc w:val="center"/>
              <w:rPr>
                <w:rFonts w:cs="Times New Roman"/>
                <w:sz w:val="20"/>
                <w:lang w:val="sq-AL" w:eastAsia="nb-NO"/>
              </w:rPr>
            </w:pPr>
            <w:r w:rsidRPr="00EC407D">
              <w:rPr>
                <w:rFonts w:cs="Times New Roman"/>
                <w:color w:val="000000"/>
                <w:kern w:val="24"/>
                <w:sz w:val="20"/>
                <w:lang w:val="sq-AL" w:eastAsia="nb-NO"/>
              </w:rPr>
              <w:t>Shpenzime të paplanifikuara</w:t>
            </w:r>
          </w:p>
        </w:tc>
        <w:tc>
          <w:tcPr>
            <w:tcW w:w="3671" w:type="pct"/>
            <w:hideMark/>
          </w:tcPr>
          <w:p w:rsidR="00EC407D" w:rsidRPr="00EC407D" w:rsidRDefault="00EC407D" w:rsidP="00EC407D">
            <w:pPr>
              <w:jc w:val="center"/>
              <w:cnfStyle w:val="000000000000" w:firstRow="0" w:lastRow="0" w:firstColumn="0" w:lastColumn="0" w:oddVBand="0" w:evenVBand="0" w:oddHBand="0" w:evenHBand="0" w:firstRowFirstColumn="0" w:firstRowLastColumn="0" w:lastRowFirstColumn="0" w:lastRowLastColumn="0"/>
              <w:rPr>
                <w:rFonts w:cs="Times New Roman"/>
                <w:color w:val="000000"/>
                <w:kern w:val="24"/>
                <w:sz w:val="20"/>
                <w:lang w:val="sq-AL" w:eastAsia="nb-NO"/>
              </w:rPr>
            </w:pPr>
          </w:p>
          <w:p w:rsidR="00EC407D" w:rsidRPr="00EC407D" w:rsidRDefault="00EC407D" w:rsidP="00EC407D">
            <w:pPr>
              <w:jc w:val="center"/>
              <w:cnfStyle w:val="000000000000" w:firstRow="0" w:lastRow="0" w:firstColumn="0" w:lastColumn="0" w:oddVBand="0" w:evenVBand="0" w:oddHBand="0" w:evenHBand="0" w:firstRowFirstColumn="0" w:firstRowLastColumn="0" w:lastRowFirstColumn="0" w:lastRowLastColumn="0"/>
              <w:rPr>
                <w:rFonts w:cs="Times New Roman"/>
                <w:color w:val="000000"/>
                <w:kern w:val="24"/>
                <w:sz w:val="20"/>
                <w:lang w:val="sq-AL" w:eastAsia="nb-NO"/>
              </w:rPr>
            </w:pPr>
            <w:r w:rsidRPr="00EC407D">
              <w:rPr>
                <w:rFonts w:cs="Times New Roman"/>
                <w:color w:val="000000"/>
                <w:kern w:val="24"/>
                <w:sz w:val="20"/>
                <w:lang w:val="sq-AL" w:eastAsia="nb-NO"/>
              </w:rPr>
              <w:t>Detyrime ligjore ose presione politike, që mund të sjellin rishpërndarje të shpenzimeve</w:t>
            </w:r>
          </w:p>
        </w:tc>
      </w:tr>
      <w:tr w:rsidR="00EC407D" w:rsidRPr="00EC407D" w:rsidTr="0064168E">
        <w:trPr>
          <w:cnfStyle w:val="000000100000" w:firstRow="0" w:lastRow="0" w:firstColumn="0" w:lastColumn="0" w:oddVBand="0" w:evenVBand="0" w:oddHBand="1" w:evenHBand="0" w:firstRowFirstColumn="0" w:firstRowLastColumn="0" w:lastRowFirstColumn="0" w:lastRowLastColumn="0"/>
          <w:trHeight w:val="71"/>
          <w:jc w:val="center"/>
        </w:trPr>
        <w:tc>
          <w:tcPr>
            <w:cnfStyle w:val="001000000000" w:firstRow="0" w:lastRow="0" w:firstColumn="1" w:lastColumn="0" w:oddVBand="0" w:evenVBand="0" w:oddHBand="0" w:evenHBand="0" w:firstRowFirstColumn="0" w:firstRowLastColumn="0" w:lastRowFirstColumn="0" w:lastRowLastColumn="0"/>
            <w:tcW w:w="1329" w:type="pct"/>
            <w:hideMark/>
          </w:tcPr>
          <w:p w:rsidR="00EC407D" w:rsidRPr="00EC407D" w:rsidRDefault="00EC407D" w:rsidP="00EC407D">
            <w:pPr>
              <w:jc w:val="center"/>
              <w:rPr>
                <w:rFonts w:cs="Times New Roman"/>
                <w:b w:val="0"/>
                <w:bCs w:val="0"/>
                <w:color w:val="000000"/>
                <w:kern w:val="24"/>
                <w:sz w:val="20"/>
                <w:lang w:val="sq-AL" w:eastAsia="nb-NO"/>
              </w:rPr>
            </w:pPr>
          </w:p>
          <w:p w:rsidR="00EC407D" w:rsidRPr="00EC407D" w:rsidRDefault="00EC407D" w:rsidP="00EC407D">
            <w:pPr>
              <w:jc w:val="center"/>
              <w:rPr>
                <w:rFonts w:cs="Times New Roman"/>
                <w:sz w:val="20"/>
                <w:lang w:val="sq-AL" w:eastAsia="nb-NO"/>
              </w:rPr>
            </w:pPr>
            <w:r w:rsidRPr="00EC407D">
              <w:rPr>
                <w:rFonts w:cs="Times New Roman"/>
                <w:color w:val="000000"/>
                <w:kern w:val="24"/>
                <w:sz w:val="20"/>
                <w:lang w:val="sq-AL" w:eastAsia="nb-NO"/>
              </w:rPr>
              <w:t>Borxhi publik</w:t>
            </w:r>
          </w:p>
        </w:tc>
        <w:tc>
          <w:tcPr>
            <w:tcW w:w="3671" w:type="pct"/>
            <w:hideMark/>
          </w:tcPr>
          <w:p w:rsidR="00EC407D" w:rsidRPr="00EC407D" w:rsidRDefault="00EC407D" w:rsidP="00EC407D">
            <w:pPr>
              <w:jc w:val="center"/>
              <w:cnfStyle w:val="000000100000" w:firstRow="0" w:lastRow="0" w:firstColumn="0" w:lastColumn="0" w:oddVBand="0" w:evenVBand="0" w:oddHBand="1" w:evenHBand="0" w:firstRowFirstColumn="0" w:firstRowLastColumn="0" w:lastRowFirstColumn="0" w:lastRowLastColumn="0"/>
              <w:rPr>
                <w:rFonts w:cs="Times New Roman"/>
                <w:color w:val="000000"/>
                <w:kern w:val="24"/>
                <w:sz w:val="20"/>
                <w:lang w:val="sq-AL" w:eastAsia="nb-NO"/>
              </w:rPr>
            </w:pPr>
          </w:p>
          <w:p w:rsidR="00EC407D" w:rsidRPr="00EC407D" w:rsidRDefault="00EC407D" w:rsidP="00EC407D">
            <w:pPr>
              <w:jc w:val="center"/>
              <w:cnfStyle w:val="000000100000" w:firstRow="0" w:lastRow="0" w:firstColumn="0" w:lastColumn="0" w:oddVBand="0" w:evenVBand="0" w:oddHBand="1" w:evenHBand="0" w:firstRowFirstColumn="0" w:firstRowLastColumn="0" w:lastRowFirstColumn="0" w:lastRowLastColumn="0"/>
              <w:rPr>
                <w:rFonts w:cs="Times New Roman"/>
                <w:color w:val="000000"/>
                <w:kern w:val="24"/>
                <w:sz w:val="20"/>
                <w:lang w:val="sq-AL" w:eastAsia="nb-NO"/>
              </w:rPr>
            </w:pPr>
            <w:r w:rsidRPr="00EC407D">
              <w:rPr>
                <w:rFonts w:cs="Times New Roman"/>
                <w:color w:val="000000"/>
                <w:kern w:val="24"/>
                <w:sz w:val="20"/>
                <w:lang w:val="sq-AL" w:eastAsia="nb-NO"/>
              </w:rPr>
              <w:t>Zhvillime të papritura të tregut, ndryshime në normën e interesit ose në kursin e këmbimit, që mund të rrisin nivelin e borxhit publik</w:t>
            </w:r>
          </w:p>
        </w:tc>
      </w:tr>
      <w:tr w:rsidR="00EC407D" w:rsidRPr="00EC407D" w:rsidTr="0064168E">
        <w:trPr>
          <w:trHeight w:val="39"/>
          <w:jc w:val="center"/>
        </w:trPr>
        <w:tc>
          <w:tcPr>
            <w:cnfStyle w:val="001000000000" w:firstRow="0" w:lastRow="0" w:firstColumn="1" w:lastColumn="0" w:oddVBand="0" w:evenVBand="0" w:oddHBand="0" w:evenHBand="0" w:firstRowFirstColumn="0" w:firstRowLastColumn="0" w:lastRowFirstColumn="0" w:lastRowLastColumn="0"/>
            <w:tcW w:w="5000" w:type="pct"/>
            <w:gridSpan w:val="2"/>
          </w:tcPr>
          <w:p w:rsidR="00EC407D" w:rsidRPr="00EC407D" w:rsidRDefault="00EC407D" w:rsidP="00EC407D">
            <w:pPr>
              <w:jc w:val="center"/>
              <w:rPr>
                <w:rFonts w:cs="Times New Roman"/>
                <w:b w:val="0"/>
                <w:color w:val="C00000"/>
                <w:kern w:val="24"/>
                <w:sz w:val="20"/>
                <w:lang w:val="sq-AL" w:eastAsia="nb-NO"/>
              </w:rPr>
            </w:pPr>
          </w:p>
          <w:p w:rsidR="00EC407D" w:rsidRPr="00EC407D" w:rsidRDefault="00EC407D" w:rsidP="00EC407D">
            <w:pPr>
              <w:jc w:val="center"/>
              <w:rPr>
                <w:rFonts w:cs="Times New Roman"/>
                <w:b w:val="0"/>
                <w:color w:val="C00000"/>
                <w:kern w:val="24"/>
                <w:sz w:val="20"/>
                <w:u w:val="single"/>
                <w:lang w:val="sq-AL" w:eastAsia="nb-NO"/>
              </w:rPr>
            </w:pPr>
            <w:r w:rsidRPr="00EC407D">
              <w:rPr>
                <w:rFonts w:cs="Times New Roman"/>
                <w:color w:val="C00000"/>
                <w:kern w:val="24"/>
                <w:sz w:val="20"/>
                <w:lang w:val="sq-AL" w:eastAsia="nb-NO"/>
              </w:rPr>
              <w:t xml:space="preserve">Risqet </w:t>
            </w:r>
            <w:r w:rsidRPr="00EC407D">
              <w:rPr>
                <w:rFonts w:cs="Times New Roman"/>
                <w:color w:val="C00000"/>
                <w:kern w:val="24"/>
                <w:sz w:val="20"/>
                <w:u w:val="single"/>
                <w:lang w:val="sq-AL" w:eastAsia="nb-NO"/>
              </w:rPr>
              <w:t>implicite</w:t>
            </w:r>
            <w:r w:rsidRPr="00EC407D">
              <w:rPr>
                <w:rFonts w:cs="Times New Roman"/>
                <w:color w:val="C00000"/>
                <w:kern w:val="24"/>
                <w:sz w:val="20"/>
                <w:lang w:val="sq-AL" w:eastAsia="nb-NO"/>
              </w:rPr>
              <w:t xml:space="preserve"> dhe detyrimet </w:t>
            </w:r>
            <w:r w:rsidRPr="00EC407D">
              <w:rPr>
                <w:rFonts w:cs="Times New Roman"/>
                <w:color w:val="C00000"/>
                <w:kern w:val="24"/>
                <w:sz w:val="20"/>
                <w:u w:val="single"/>
                <w:lang w:val="sq-AL" w:eastAsia="nb-NO"/>
              </w:rPr>
              <w:t>kontigjente</w:t>
            </w:r>
          </w:p>
          <w:p w:rsidR="00EC407D" w:rsidRPr="00EC407D" w:rsidRDefault="00EC407D" w:rsidP="00EC407D">
            <w:pPr>
              <w:jc w:val="center"/>
              <w:rPr>
                <w:rFonts w:cs="Times New Roman"/>
                <w:b w:val="0"/>
                <w:color w:val="C00000"/>
                <w:kern w:val="24"/>
                <w:sz w:val="20"/>
                <w:lang w:val="sq-AL" w:eastAsia="nb-NO"/>
              </w:rPr>
            </w:pPr>
          </w:p>
        </w:tc>
      </w:tr>
      <w:tr w:rsidR="00EC407D" w:rsidRPr="00EC407D" w:rsidTr="0064168E">
        <w:trPr>
          <w:cnfStyle w:val="000000100000" w:firstRow="0" w:lastRow="0" w:firstColumn="0" w:lastColumn="0" w:oddVBand="0" w:evenVBand="0" w:oddHBand="1" w:evenHBand="0" w:firstRowFirstColumn="0" w:firstRowLastColumn="0" w:lastRowFirstColumn="0" w:lastRowLastColumn="0"/>
          <w:trHeight w:val="70"/>
          <w:jc w:val="center"/>
        </w:trPr>
        <w:tc>
          <w:tcPr>
            <w:cnfStyle w:val="001000000000" w:firstRow="0" w:lastRow="0" w:firstColumn="1" w:lastColumn="0" w:oddVBand="0" w:evenVBand="0" w:oddHBand="0" w:evenHBand="0" w:firstRowFirstColumn="0" w:firstRowLastColumn="0" w:lastRowFirstColumn="0" w:lastRowLastColumn="0"/>
            <w:tcW w:w="1329" w:type="pct"/>
            <w:hideMark/>
          </w:tcPr>
          <w:p w:rsidR="00EC407D" w:rsidRPr="00EC407D" w:rsidRDefault="00EC407D" w:rsidP="00EC407D">
            <w:pPr>
              <w:jc w:val="center"/>
              <w:rPr>
                <w:rFonts w:cs="Times New Roman"/>
                <w:b w:val="0"/>
                <w:bCs w:val="0"/>
                <w:color w:val="000000"/>
                <w:kern w:val="24"/>
                <w:sz w:val="20"/>
                <w:lang w:val="sq-AL" w:eastAsia="nb-NO"/>
              </w:rPr>
            </w:pPr>
          </w:p>
          <w:p w:rsidR="00EC407D" w:rsidRPr="00EC407D" w:rsidRDefault="00EC407D" w:rsidP="00EC407D">
            <w:pPr>
              <w:jc w:val="center"/>
              <w:rPr>
                <w:rFonts w:cs="Times New Roman"/>
                <w:sz w:val="20"/>
                <w:lang w:val="sq-AL" w:eastAsia="nb-NO"/>
              </w:rPr>
            </w:pPr>
            <w:r w:rsidRPr="00EC407D">
              <w:rPr>
                <w:rFonts w:cs="Times New Roman"/>
                <w:color w:val="000000"/>
                <w:kern w:val="24"/>
                <w:sz w:val="20"/>
                <w:lang w:val="sq-AL" w:eastAsia="nb-NO"/>
              </w:rPr>
              <w:t>Pagesat për PPP</w:t>
            </w:r>
          </w:p>
        </w:tc>
        <w:tc>
          <w:tcPr>
            <w:tcW w:w="3671" w:type="pct"/>
            <w:hideMark/>
          </w:tcPr>
          <w:p w:rsidR="00EC407D" w:rsidRPr="00EC407D" w:rsidRDefault="00EC407D" w:rsidP="00EC407D">
            <w:pPr>
              <w:jc w:val="center"/>
              <w:cnfStyle w:val="000000100000" w:firstRow="0" w:lastRow="0" w:firstColumn="0" w:lastColumn="0" w:oddVBand="0" w:evenVBand="0" w:oddHBand="1" w:evenHBand="0" w:firstRowFirstColumn="0" w:firstRowLastColumn="0" w:lastRowFirstColumn="0" w:lastRowLastColumn="0"/>
              <w:rPr>
                <w:rFonts w:cs="Times New Roman"/>
                <w:color w:val="000000"/>
                <w:kern w:val="24"/>
                <w:sz w:val="20"/>
                <w:lang w:val="sq-AL" w:eastAsia="nb-NO"/>
              </w:rPr>
            </w:pPr>
          </w:p>
          <w:p w:rsidR="00EC407D" w:rsidRPr="00EC407D" w:rsidRDefault="00EC407D" w:rsidP="00EC407D">
            <w:pPr>
              <w:jc w:val="center"/>
              <w:cnfStyle w:val="000000100000" w:firstRow="0" w:lastRow="0" w:firstColumn="0" w:lastColumn="0" w:oddVBand="0" w:evenVBand="0" w:oddHBand="1" w:evenHBand="0" w:firstRowFirstColumn="0" w:firstRowLastColumn="0" w:lastRowFirstColumn="0" w:lastRowLastColumn="0"/>
              <w:rPr>
                <w:rFonts w:cs="Times New Roman"/>
                <w:color w:val="000000"/>
                <w:kern w:val="24"/>
                <w:sz w:val="20"/>
                <w:lang w:val="sq-AL" w:eastAsia="nb-NO"/>
              </w:rPr>
            </w:pPr>
            <w:r w:rsidRPr="00EC407D">
              <w:rPr>
                <w:rFonts w:cs="Times New Roman"/>
                <w:color w:val="000000"/>
                <w:kern w:val="24"/>
                <w:sz w:val="20"/>
                <w:lang w:val="sq-AL" w:eastAsia="nb-NO"/>
              </w:rPr>
              <w:t>Pagesat vjetore për PPP-të, mund të tejkalojnë nivelin e lejuar ligjor prej 5% të të ardhurave tatimore faktike të vitit paraardhës</w:t>
            </w:r>
          </w:p>
        </w:tc>
      </w:tr>
      <w:tr w:rsidR="00EC407D" w:rsidRPr="00EC407D" w:rsidTr="0064168E">
        <w:trPr>
          <w:trHeight w:val="46"/>
          <w:jc w:val="center"/>
        </w:trPr>
        <w:tc>
          <w:tcPr>
            <w:cnfStyle w:val="001000000000" w:firstRow="0" w:lastRow="0" w:firstColumn="1" w:lastColumn="0" w:oddVBand="0" w:evenVBand="0" w:oddHBand="0" w:evenHBand="0" w:firstRowFirstColumn="0" w:firstRowLastColumn="0" w:lastRowFirstColumn="0" w:lastRowLastColumn="0"/>
            <w:tcW w:w="1329" w:type="pct"/>
            <w:hideMark/>
          </w:tcPr>
          <w:p w:rsidR="00EC407D" w:rsidRPr="00EC407D" w:rsidRDefault="00EC407D" w:rsidP="00EC407D">
            <w:pPr>
              <w:jc w:val="center"/>
              <w:rPr>
                <w:rFonts w:cs="Times New Roman"/>
                <w:sz w:val="20"/>
                <w:lang w:val="sq-AL" w:eastAsia="nb-NO"/>
              </w:rPr>
            </w:pPr>
            <w:r w:rsidRPr="00EC407D">
              <w:rPr>
                <w:rFonts w:cs="Times New Roman"/>
                <w:color w:val="000000"/>
                <w:kern w:val="24"/>
                <w:sz w:val="20"/>
                <w:lang w:val="sq-AL" w:eastAsia="nb-NO"/>
              </w:rPr>
              <w:t>Vështirësia financiare e Ndërmarrjeve Shtetërore (NSH)</w:t>
            </w:r>
          </w:p>
        </w:tc>
        <w:tc>
          <w:tcPr>
            <w:tcW w:w="3671" w:type="pct"/>
            <w:hideMark/>
          </w:tcPr>
          <w:p w:rsidR="00EC407D" w:rsidRPr="00EC407D" w:rsidRDefault="00EC407D" w:rsidP="00EC407D">
            <w:pPr>
              <w:jc w:val="center"/>
              <w:cnfStyle w:val="000000000000" w:firstRow="0" w:lastRow="0" w:firstColumn="0" w:lastColumn="0" w:oddVBand="0" w:evenVBand="0" w:oddHBand="0" w:evenHBand="0" w:firstRowFirstColumn="0" w:firstRowLastColumn="0" w:lastRowFirstColumn="0" w:lastRowLastColumn="0"/>
              <w:rPr>
                <w:rFonts w:cs="Times New Roman"/>
                <w:color w:val="000000"/>
                <w:kern w:val="24"/>
                <w:sz w:val="20"/>
                <w:lang w:val="sq-AL" w:eastAsia="nb-NO"/>
              </w:rPr>
            </w:pPr>
          </w:p>
          <w:p w:rsidR="00EC407D" w:rsidRPr="00EC407D" w:rsidRDefault="00EC407D" w:rsidP="00EC407D">
            <w:pPr>
              <w:jc w:val="center"/>
              <w:cnfStyle w:val="000000000000" w:firstRow="0" w:lastRow="0" w:firstColumn="0" w:lastColumn="0" w:oddVBand="0" w:evenVBand="0" w:oddHBand="0" w:evenHBand="0" w:firstRowFirstColumn="0" w:firstRowLastColumn="0" w:lastRowFirstColumn="0" w:lastRowLastColumn="0"/>
              <w:rPr>
                <w:rFonts w:cs="Times New Roman"/>
                <w:color w:val="000000"/>
                <w:kern w:val="24"/>
                <w:sz w:val="20"/>
                <w:lang w:val="sq-AL" w:eastAsia="nb-NO"/>
              </w:rPr>
            </w:pPr>
            <w:r w:rsidRPr="00EC407D">
              <w:rPr>
                <w:rFonts w:cs="Times New Roman"/>
                <w:color w:val="000000"/>
                <w:kern w:val="24"/>
                <w:sz w:val="20"/>
                <w:lang w:val="sq-AL" w:eastAsia="nb-NO"/>
              </w:rPr>
              <w:t>Qeverisë mund t’i duhet të ndërhyjë për të mbështur financiarisht NSH-të</w:t>
            </w:r>
          </w:p>
        </w:tc>
      </w:tr>
      <w:tr w:rsidR="00EC407D" w:rsidRPr="00EC407D" w:rsidTr="0064168E">
        <w:trPr>
          <w:cnfStyle w:val="000000100000" w:firstRow="0" w:lastRow="0" w:firstColumn="0" w:lastColumn="0" w:oddVBand="0" w:evenVBand="0" w:oddHBand="1" w:evenHBand="0" w:firstRowFirstColumn="0" w:firstRowLastColumn="0" w:lastRowFirstColumn="0" w:lastRowLastColumn="0"/>
          <w:trHeight w:val="72"/>
          <w:jc w:val="center"/>
        </w:trPr>
        <w:tc>
          <w:tcPr>
            <w:cnfStyle w:val="001000000000" w:firstRow="0" w:lastRow="0" w:firstColumn="1" w:lastColumn="0" w:oddVBand="0" w:evenVBand="0" w:oddHBand="0" w:evenHBand="0" w:firstRowFirstColumn="0" w:firstRowLastColumn="0" w:lastRowFirstColumn="0" w:lastRowLastColumn="0"/>
            <w:tcW w:w="1329" w:type="pct"/>
            <w:hideMark/>
          </w:tcPr>
          <w:p w:rsidR="00EC407D" w:rsidRPr="00EC407D" w:rsidRDefault="00EC407D" w:rsidP="00EC407D">
            <w:pPr>
              <w:jc w:val="center"/>
              <w:rPr>
                <w:rFonts w:cs="Times New Roman"/>
                <w:b w:val="0"/>
                <w:bCs w:val="0"/>
                <w:color w:val="000000"/>
                <w:kern w:val="24"/>
                <w:sz w:val="20"/>
                <w:lang w:val="sq-AL" w:eastAsia="nb-NO"/>
              </w:rPr>
            </w:pPr>
          </w:p>
          <w:p w:rsidR="00EC407D" w:rsidRPr="00EC407D" w:rsidRDefault="00EC407D" w:rsidP="00EC407D">
            <w:pPr>
              <w:jc w:val="center"/>
              <w:rPr>
                <w:rFonts w:cs="Times New Roman"/>
                <w:sz w:val="20"/>
                <w:lang w:val="sq-AL" w:eastAsia="nb-NO"/>
              </w:rPr>
            </w:pPr>
            <w:r w:rsidRPr="00EC407D">
              <w:rPr>
                <w:rFonts w:cs="Times New Roman"/>
                <w:color w:val="000000"/>
                <w:kern w:val="24"/>
                <w:sz w:val="20"/>
                <w:lang w:val="sq-AL" w:eastAsia="nb-NO"/>
              </w:rPr>
              <w:t>Risqe të tjera</w:t>
            </w:r>
          </w:p>
        </w:tc>
        <w:tc>
          <w:tcPr>
            <w:tcW w:w="3671" w:type="pct"/>
            <w:hideMark/>
          </w:tcPr>
          <w:p w:rsidR="00EC407D" w:rsidRPr="00EC407D" w:rsidRDefault="00EC407D" w:rsidP="00EC407D">
            <w:pPr>
              <w:jc w:val="center"/>
              <w:cnfStyle w:val="000000100000" w:firstRow="0" w:lastRow="0" w:firstColumn="0" w:lastColumn="0" w:oddVBand="0" w:evenVBand="0" w:oddHBand="1" w:evenHBand="0" w:firstRowFirstColumn="0" w:firstRowLastColumn="0" w:lastRowFirstColumn="0" w:lastRowLastColumn="0"/>
              <w:rPr>
                <w:rFonts w:cs="Times New Roman"/>
                <w:color w:val="000000"/>
                <w:kern w:val="24"/>
                <w:sz w:val="12"/>
                <w:lang w:val="sq-AL" w:eastAsia="nb-NO"/>
              </w:rPr>
            </w:pPr>
          </w:p>
          <w:p w:rsidR="00EC407D" w:rsidRPr="00EC407D" w:rsidRDefault="00EC407D" w:rsidP="00EC407D">
            <w:pPr>
              <w:jc w:val="center"/>
              <w:cnfStyle w:val="000000100000" w:firstRow="0" w:lastRow="0" w:firstColumn="0" w:lastColumn="0" w:oddVBand="0" w:evenVBand="0" w:oddHBand="1" w:evenHBand="0" w:firstRowFirstColumn="0" w:firstRowLastColumn="0" w:lastRowFirstColumn="0" w:lastRowLastColumn="0"/>
              <w:rPr>
                <w:rFonts w:cs="Times New Roman"/>
                <w:color w:val="000000"/>
                <w:kern w:val="24"/>
                <w:sz w:val="20"/>
                <w:lang w:val="sq-AL" w:eastAsia="nb-NO"/>
              </w:rPr>
            </w:pPr>
            <w:r w:rsidRPr="00EC407D">
              <w:rPr>
                <w:rFonts w:cs="Times New Roman"/>
                <w:color w:val="000000"/>
                <w:kern w:val="24"/>
                <w:sz w:val="20"/>
                <w:lang w:val="sq-AL" w:eastAsia="nb-NO"/>
              </w:rPr>
              <w:t>Vendime gjyqësore, arbitrazhe ndërkombëtare, fatkeqësi natyrore, etj, që mund të sjellin kosto buxhetore shtesë në buxhetin e shtetit</w:t>
            </w:r>
          </w:p>
        </w:tc>
      </w:tr>
    </w:tbl>
    <w:p w:rsidR="00562780" w:rsidRPr="0064168E" w:rsidRDefault="00C23C7E" w:rsidP="00562780">
      <w:pPr>
        <w:spacing w:line="276" w:lineRule="auto"/>
        <w:rPr>
          <w:rFonts w:asciiTheme="minorHAnsi" w:eastAsia="SimSun" w:hAnsiTheme="minorHAnsi"/>
          <w:i/>
          <w:sz w:val="20"/>
          <w:szCs w:val="20"/>
          <w:lang w:val="sq-AL"/>
        </w:rPr>
      </w:pPr>
      <w:r w:rsidRPr="0064168E">
        <w:rPr>
          <w:rFonts w:asciiTheme="minorHAnsi" w:eastAsia="SimSun" w:hAnsiTheme="minorHAnsi"/>
          <w:i/>
          <w:sz w:val="20"/>
          <w:szCs w:val="20"/>
          <w:lang w:val="sq-AL"/>
        </w:rPr>
        <w:t>Burimi: Ministria e Financave dhe Ekonomisë (2020)</w:t>
      </w:r>
    </w:p>
    <w:p w:rsidR="00796E6A" w:rsidRPr="00796E6A" w:rsidRDefault="00796E6A" w:rsidP="00EC407D">
      <w:pPr>
        <w:spacing w:after="200" w:line="276" w:lineRule="auto"/>
        <w:contextualSpacing/>
        <w:jc w:val="both"/>
        <w:rPr>
          <w:rFonts w:asciiTheme="minorHAnsi" w:eastAsia="MS Mincho" w:hAnsiTheme="minorHAnsi"/>
          <w:sz w:val="16"/>
          <w:lang w:val="sq-AL"/>
        </w:rPr>
      </w:pPr>
    </w:p>
    <w:p w:rsidR="00EC407D" w:rsidRPr="00C31398" w:rsidRDefault="00EC407D" w:rsidP="00EC407D">
      <w:pPr>
        <w:spacing w:after="200" w:line="276" w:lineRule="auto"/>
        <w:contextualSpacing/>
        <w:jc w:val="both"/>
        <w:rPr>
          <w:rFonts w:asciiTheme="minorHAnsi" w:eastAsia="MS Mincho" w:hAnsiTheme="minorHAnsi"/>
          <w:bCs/>
          <w:i/>
          <w:lang w:val="sq-AL"/>
        </w:rPr>
      </w:pPr>
      <w:r w:rsidRPr="004E355C">
        <w:rPr>
          <w:rFonts w:asciiTheme="minorHAnsi" w:eastAsia="MS Mincho" w:hAnsiTheme="minorHAnsi"/>
          <w:lang w:val="sq-AL"/>
        </w:rPr>
        <w:t>Në zbatim të përcaktimeve të U</w:t>
      </w:r>
      <w:r w:rsidRPr="004E355C">
        <w:rPr>
          <w:rFonts w:asciiTheme="minorHAnsi" w:eastAsia="Calibri" w:hAnsiTheme="minorHAnsi"/>
          <w:lang w:val="sq-AL"/>
        </w:rPr>
        <w:t xml:space="preserve">dhëzimit Plotësues të Ministrit të Financave dhe Ekonomisë </w:t>
      </w:r>
      <w:r w:rsidRPr="004E355C">
        <w:rPr>
          <w:rFonts w:asciiTheme="minorHAnsi" w:eastAsia="MS Mincho" w:hAnsiTheme="minorHAnsi"/>
          <w:bCs/>
          <w:lang w:val="sq-AL" w:eastAsia="sq-AL"/>
        </w:rPr>
        <w:t>nr.</w:t>
      </w:r>
      <w:r>
        <w:rPr>
          <w:rFonts w:asciiTheme="minorHAnsi" w:eastAsia="MS Mincho" w:hAnsiTheme="minorHAnsi"/>
          <w:bCs/>
          <w:lang w:val="sq-AL" w:eastAsia="sq-AL"/>
        </w:rPr>
        <w:t>2</w:t>
      </w:r>
      <w:r w:rsidRPr="004E355C">
        <w:rPr>
          <w:rFonts w:asciiTheme="minorHAnsi" w:eastAsia="MS Mincho" w:hAnsiTheme="minorHAnsi"/>
          <w:bCs/>
          <w:lang w:val="sq-AL" w:eastAsia="sq-AL"/>
        </w:rPr>
        <w:t xml:space="preserve"> datë </w:t>
      </w:r>
      <w:r>
        <w:rPr>
          <w:rFonts w:asciiTheme="minorHAnsi" w:eastAsia="MS Mincho" w:hAnsiTheme="minorHAnsi"/>
          <w:bCs/>
          <w:lang w:val="sq-AL" w:eastAsia="sq-AL"/>
        </w:rPr>
        <w:t>20</w:t>
      </w:r>
      <w:r w:rsidRPr="004E355C">
        <w:rPr>
          <w:rFonts w:asciiTheme="minorHAnsi" w:eastAsia="MS Mincho" w:hAnsiTheme="minorHAnsi"/>
          <w:bCs/>
          <w:lang w:val="sq-AL" w:eastAsia="sq-AL"/>
        </w:rPr>
        <w:t>.01.20</w:t>
      </w:r>
      <w:r>
        <w:rPr>
          <w:rFonts w:asciiTheme="minorHAnsi" w:eastAsia="MS Mincho" w:hAnsiTheme="minorHAnsi"/>
          <w:bCs/>
          <w:lang w:val="sq-AL" w:eastAsia="sq-AL"/>
        </w:rPr>
        <w:t>20</w:t>
      </w:r>
      <w:r w:rsidRPr="004E355C">
        <w:rPr>
          <w:rFonts w:asciiTheme="minorHAnsi" w:eastAsia="MS Mincho" w:hAnsiTheme="minorHAnsi"/>
          <w:bCs/>
          <w:lang w:val="sq-AL" w:eastAsia="sq-AL"/>
        </w:rPr>
        <w:t xml:space="preserve"> “</w:t>
      </w:r>
      <w:r w:rsidRPr="004E355C">
        <w:rPr>
          <w:rFonts w:asciiTheme="minorHAnsi" w:eastAsia="MS Mincho" w:hAnsiTheme="minorHAnsi"/>
          <w:bCs/>
          <w:i/>
          <w:lang w:val="sq-AL" w:eastAsia="sq-AL"/>
        </w:rPr>
        <w:t>Për zbatimin e Buxhetit të vitit 20</w:t>
      </w:r>
      <w:r>
        <w:rPr>
          <w:rFonts w:asciiTheme="minorHAnsi" w:eastAsia="MS Mincho" w:hAnsiTheme="minorHAnsi"/>
          <w:bCs/>
          <w:i/>
          <w:lang w:val="sq-AL" w:eastAsia="sq-AL"/>
        </w:rPr>
        <w:t>20</w:t>
      </w:r>
      <w:r w:rsidRPr="004E355C">
        <w:rPr>
          <w:rFonts w:asciiTheme="minorHAnsi" w:eastAsia="MS Mincho" w:hAnsiTheme="minorHAnsi"/>
          <w:bCs/>
          <w:lang w:val="sq-AL" w:eastAsia="sq-AL"/>
        </w:rPr>
        <w:t xml:space="preserve">”, </w:t>
      </w:r>
      <w:r>
        <w:rPr>
          <w:rFonts w:asciiTheme="minorHAnsi" w:eastAsia="MS Mincho" w:hAnsiTheme="minorHAnsi"/>
          <w:bCs/>
          <w:lang w:val="sq-AL" w:eastAsia="sq-AL"/>
        </w:rPr>
        <w:t xml:space="preserve">ka vijuar </w:t>
      </w:r>
      <w:r w:rsidRPr="004E355C">
        <w:rPr>
          <w:rFonts w:asciiTheme="minorHAnsi" w:eastAsia="MS Mincho" w:hAnsiTheme="minorHAnsi"/>
          <w:lang w:val="sq-AL"/>
        </w:rPr>
        <w:t>m</w:t>
      </w:r>
      <w:r w:rsidRPr="004E355C">
        <w:rPr>
          <w:rFonts w:asciiTheme="minorHAnsi" w:eastAsia="Calibri" w:hAnsiTheme="minorHAnsi"/>
          <w:lang w:val="sq-AL"/>
        </w:rPr>
        <w:t>onitorimi i risqeve kryesore fiskale/buxhetore</w:t>
      </w:r>
      <w:r w:rsidRPr="004E355C">
        <w:rPr>
          <w:rFonts w:asciiTheme="minorHAnsi" w:eastAsia="MS Mincho" w:hAnsiTheme="minorHAnsi"/>
          <w:lang w:val="sq-AL"/>
        </w:rPr>
        <w:t xml:space="preserve"> </w:t>
      </w:r>
      <w:r w:rsidRPr="00C31398">
        <w:rPr>
          <w:rFonts w:asciiTheme="minorHAnsi" w:eastAsia="MS Mincho" w:hAnsiTheme="minorHAnsi"/>
          <w:lang w:val="sq-AL"/>
        </w:rPr>
        <w:t>nëpërmjet strukturës së Monitorimit të Risqeve Buxhetore</w:t>
      </w:r>
      <w:r>
        <w:rPr>
          <w:rFonts w:asciiTheme="minorHAnsi" w:eastAsia="MS Mincho" w:hAnsiTheme="minorHAnsi"/>
          <w:lang w:val="sq-AL"/>
        </w:rPr>
        <w:t xml:space="preserve">. </w:t>
      </w:r>
      <w:r w:rsidRPr="00C31398">
        <w:rPr>
          <w:rFonts w:asciiTheme="minorHAnsi" w:eastAsia="MS Mincho" w:hAnsiTheme="minorHAnsi"/>
          <w:lang w:val="sq-AL"/>
        </w:rPr>
        <w:t>Kryesisht, raportimi në adresë të MFE u kanalizua përme</w:t>
      </w:r>
      <w:r>
        <w:rPr>
          <w:rFonts w:asciiTheme="minorHAnsi" w:eastAsia="MS Mincho" w:hAnsiTheme="minorHAnsi"/>
          <w:lang w:val="sq-AL"/>
        </w:rPr>
        <w:t xml:space="preserve">s skeduleve kohore strikte dhe </w:t>
      </w:r>
      <w:r w:rsidRPr="00C31398">
        <w:rPr>
          <w:rFonts w:asciiTheme="minorHAnsi" w:eastAsia="MS Mincho" w:hAnsiTheme="minorHAnsi"/>
          <w:lang w:val="sq-AL"/>
        </w:rPr>
        <w:t>formateve standarde të miratuara, një proces tashmë i institucionalizuar për monitorimin e risqeve, krahas intensifikimit të punës në drejtim të rritjes së cilësisë së përpunimit, raportimit dhe publikimit të informacionit të grumbulluar, me synim final:</w:t>
      </w:r>
      <w:r w:rsidRPr="00C31398">
        <w:rPr>
          <w:rFonts w:asciiTheme="minorHAnsi" w:eastAsia="MS Mincho" w:hAnsiTheme="minorHAnsi"/>
          <w:bCs/>
          <w:i/>
          <w:lang w:val="sq-AL"/>
        </w:rPr>
        <w:t xml:space="preserve">  </w:t>
      </w:r>
    </w:p>
    <w:p w:rsidR="00EC407D" w:rsidRPr="004E355C" w:rsidRDefault="00EC407D" w:rsidP="00503465">
      <w:pPr>
        <w:numPr>
          <w:ilvl w:val="0"/>
          <w:numId w:val="8"/>
        </w:numPr>
        <w:spacing w:before="120" w:line="276" w:lineRule="auto"/>
        <w:ind w:left="450" w:hanging="270"/>
        <w:jc w:val="both"/>
        <w:rPr>
          <w:rFonts w:asciiTheme="minorHAnsi" w:eastAsia="MS Mincho" w:hAnsiTheme="minorHAnsi"/>
          <w:i/>
          <w:lang w:val="sq-AL"/>
        </w:rPr>
      </w:pPr>
      <w:r w:rsidRPr="004E355C">
        <w:rPr>
          <w:rFonts w:asciiTheme="minorHAnsi" w:eastAsia="MS Mincho" w:hAnsiTheme="minorHAnsi"/>
          <w:i/>
          <w:lang w:val="sq-AL"/>
        </w:rPr>
        <w:lastRenderedPageBreak/>
        <w:t xml:space="preserve">Monitorimin dhe raportimin periodik </w:t>
      </w:r>
      <w:r w:rsidRPr="00C31398">
        <w:rPr>
          <w:rFonts w:asciiTheme="minorHAnsi" w:eastAsia="MS Mincho" w:hAnsiTheme="minorHAnsi"/>
          <w:i/>
          <w:u w:val="single"/>
          <w:lang w:val="sq-AL"/>
        </w:rPr>
        <w:t>mbi bazë tremujore</w:t>
      </w:r>
      <w:r w:rsidRPr="004E355C">
        <w:rPr>
          <w:rFonts w:asciiTheme="minorHAnsi" w:eastAsia="MS Mincho" w:hAnsiTheme="minorHAnsi"/>
          <w:i/>
          <w:lang w:val="sq-AL"/>
        </w:rPr>
        <w:t xml:space="preserve">, të performancës financiare të tre ndërmarrjeve shtetërore të sektorit të energjisë; </w:t>
      </w:r>
    </w:p>
    <w:p w:rsidR="00EC407D" w:rsidRPr="004E355C" w:rsidRDefault="00EC407D" w:rsidP="00503465">
      <w:pPr>
        <w:numPr>
          <w:ilvl w:val="0"/>
          <w:numId w:val="8"/>
        </w:numPr>
        <w:spacing w:before="120" w:line="276" w:lineRule="auto"/>
        <w:ind w:left="450" w:hanging="270"/>
        <w:jc w:val="both"/>
        <w:rPr>
          <w:rFonts w:asciiTheme="minorHAnsi" w:eastAsia="MS Mincho" w:hAnsiTheme="minorHAnsi"/>
          <w:i/>
          <w:lang w:val="sq-AL"/>
        </w:rPr>
      </w:pPr>
      <w:r w:rsidRPr="004E355C">
        <w:rPr>
          <w:rFonts w:asciiTheme="minorHAnsi" w:eastAsia="MS Mincho" w:hAnsiTheme="minorHAnsi"/>
          <w:i/>
          <w:lang w:val="sq-AL"/>
        </w:rPr>
        <w:t xml:space="preserve">Monitorimin dhe raportimin periodik </w:t>
      </w:r>
      <w:r w:rsidRPr="004E355C">
        <w:rPr>
          <w:rFonts w:asciiTheme="minorHAnsi" w:eastAsia="MS Mincho" w:hAnsiTheme="minorHAnsi"/>
          <w:i/>
          <w:u w:val="single"/>
          <w:lang w:val="sq-AL"/>
        </w:rPr>
        <w:t>mbi bazë tremujore</w:t>
      </w:r>
      <w:r w:rsidRPr="004E355C">
        <w:rPr>
          <w:rFonts w:asciiTheme="minorHAnsi" w:eastAsia="MS Mincho" w:hAnsiTheme="minorHAnsi"/>
          <w:i/>
          <w:lang w:val="sq-AL"/>
        </w:rPr>
        <w:t>, të stokut të akumuluar të detyrimeve të prapambetura të qeverisjes qendrore dhe skedulin e parashikuar të shlyerjes;</w:t>
      </w:r>
    </w:p>
    <w:p w:rsidR="00EC407D" w:rsidRPr="004E355C" w:rsidRDefault="00EC407D" w:rsidP="00503465">
      <w:pPr>
        <w:numPr>
          <w:ilvl w:val="0"/>
          <w:numId w:val="8"/>
        </w:numPr>
        <w:spacing w:before="120" w:line="276" w:lineRule="auto"/>
        <w:ind w:left="450" w:hanging="270"/>
        <w:jc w:val="both"/>
        <w:rPr>
          <w:rFonts w:asciiTheme="minorHAnsi" w:eastAsia="MS Mincho" w:hAnsiTheme="minorHAnsi"/>
          <w:i/>
          <w:lang w:val="sq-AL"/>
        </w:rPr>
      </w:pPr>
      <w:r w:rsidRPr="004E355C">
        <w:rPr>
          <w:rFonts w:asciiTheme="minorHAnsi" w:eastAsia="MS Mincho" w:hAnsiTheme="minorHAnsi"/>
          <w:i/>
          <w:lang w:val="sq-AL"/>
        </w:rPr>
        <w:t xml:space="preserve">Monitorimin dhe raportimin periodik </w:t>
      </w:r>
      <w:r w:rsidRPr="00C31398">
        <w:rPr>
          <w:rFonts w:asciiTheme="minorHAnsi" w:eastAsia="MS Mincho" w:hAnsiTheme="minorHAnsi"/>
          <w:i/>
          <w:u w:val="single"/>
          <w:lang w:val="sq-AL"/>
        </w:rPr>
        <w:t>mbi bazë mujore</w:t>
      </w:r>
      <w:r w:rsidRPr="004E355C">
        <w:rPr>
          <w:rFonts w:asciiTheme="minorHAnsi" w:eastAsia="MS Mincho" w:hAnsiTheme="minorHAnsi"/>
          <w:i/>
          <w:lang w:val="sq-AL"/>
        </w:rPr>
        <w:t>, të performancës së kontratave konçesionare/PPP, me mbështetje buxhetore.</w:t>
      </w:r>
    </w:p>
    <w:p w:rsidR="00EC407D" w:rsidRPr="004E355C" w:rsidRDefault="00EC407D" w:rsidP="00EC407D">
      <w:pPr>
        <w:spacing w:before="120" w:after="120" w:line="276" w:lineRule="auto"/>
        <w:ind w:left="450" w:right="49"/>
        <w:contextualSpacing/>
        <w:jc w:val="both"/>
        <w:rPr>
          <w:rFonts w:asciiTheme="minorHAnsi" w:eastAsia="MS Mincho" w:hAnsiTheme="minorHAnsi"/>
          <w:bCs/>
          <w:i/>
          <w:sz w:val="8"/>
          <w:szCs w:val="8"/>
          <w:lang w:val="sq-AL" w:eastAsia="sq-AL"/>
        </w:rPr>
      </w:pPr>
    </w:p>
    <w:p w:rsidR="00EC407D" w:rsidRPr="004E355C" w:rsidRDefault="00EC407D" w:rsidP="00EC407D">
      <w:pPr>
        <w:spacing w:before="120" w:after="120" w:line="276" w:lineRule="auto"/>
        <w:ind w:right="49"/>
        <w:contextualSpacing/>
        <w:jc w:val="both"/>
        <w:rPr>
          <w:rFonts w:asciiTheme="minorHAnsi" w:eastAsia="MS Mincho" w:hAnsiTheme="minorHAnsi"/>
          <w:bCs/>
          <w:lang w:val="sq-AL" w:eastAsia="sq-AL"/>
        </w:rPr>
      </w:pPr>
      <w:r w:rsidRPr="004E355C">
        <w:rPr>
          <w:rFonts w:asciiTheme="minorHAnsi" w:eastAsia="MS Mincho" w:hAnsiTheme="minorHAnsi"/>
          <w:bCs/>
          <w:lang w:val="sq-AL" w:eastAsia="sq-AL"/>
        </w:rPr>
        <w:t>Mëposhtë jepet një tablo e vlerësimeve mbi disa nga tipologjitë e risqeve fiskale, si rezultat i monitorimit nga njësitë përgjegjëse në MFE, për periudhën Janar-Maj 20</w:t>
      </w:r>
      <w:r>
        <w:rPr>
          <w:rFonts w:asciiTheme="minorHAnsi" w:eastAsia="MS Mincho" w:hAnsiTheme="minorHAnsi"/>
          <w:bCs/>
          <w:lang w:val="sq-AL" w:eastAsia="sq-AL"/>
        </w:rPr>
        <w:t>20</w:t>
      </w:r>
      <w:r w:rsidRPr="004E355C">
        <w:rPr>
          <w:rFonts w:asciiTheme="minorHAnsi" w:eastAsia="MS Mincho" w:hAnsiTheme="minorHAnsi"/>
          <w:bCs/>
          <w:lang w:val="sq-AL" w:eastAsia="sq-AL"/>
        </w:rPr>
        <w:t>:</w:t>
      </w:r>
    </w:p>
    <w:p w:rsidR="00562780" w:rsidRPr="0065598A" w:rsidRDefault="00562780" w:rsidP="00562780">
      <w:pPr>
        <w:spacing w:line="276" w:lineRule="auto"/>
        <w:ind w:right="525"/>
        <w:contextualSpacing/>
        <w:jc w:val="both"/>
        <w:rPr>
          <w:rFonts w:asciiTheme="minorHAnsi" w:eastAsia="MS Mincho" w:hAnsiTheme="minorHAnsi"/>
          <w:bCs/>
          <w:lang w:val="sq-AL" w:eastAsia="sq-AL"/>
        </w:rPr>
      </w:pPr>
    </w:p>
    <w:p w:rsidR="00562780" w:rsidRPr="0065598A" w:rsidRDefault="00562780" w:rsidP="002334F6">
      <w:pPr>
        <w:pStyle w:val="Heading2"/>
      </w:pPr>
      <w:bookmarkStart w:id="107" w:name="_Toc10033284"/>
      <w:bookmarkStart w:id="108" w:name="_Toc10721421"/>
      <w:bookmarkStart w:id="109" w:name="_Toc11134241"/>
      <w:bookmarkStart w:id="110" w:name="_Toc44403618"/>
      <w:r w:rsidRPr="0065598A">
        <w:t>V.1</w:t>
      </w:r>
      <w:r w:rsidRPr="0065598A">
        <w:tab/>
        <w:t>Sektori Energjetik</w:t>
      </w:r>
      <w:bookmarkEnd w:id="107"/>
      <w:bookmarkEnd w:id="108"/>
      <w:bookmarkEnd w:id="109"/>
      <w:bookmarkEnd w:id="110"/>
    </w:p>
    <w:p w:rsidR="00EC407D" w:rsidRPr="00DF3E4A" w:rsidRDefault="00EC407D" w:rsidP="00EC407D">
      <w:pPr>
        <w:spacing w:before="120" w:after="120" w:line="276" w:lineRule="auto"/>
        <w:jc w:val="both"/>
        <w:rPr>
          <w:rFonts w:asciiTheme="minorHAnsi" w:hAnsiTheme="minorHAnsi"/>
          <w:bCs/>
          <w:lang w:val="sq-AL" w:eastAsia="sq-AL"/>
        </w:rPr>
      </w:pPr>
      <w:r w:rsidRPr="00DF3E4A">
        <w:rPr>
          <w:rFonts w:asciiTheme="minorHAnsi" w:hAnsiTheme="minorHAnsi"/>
          <w:bCs/>
          <w:lang w:val="sq-AL" w:eastAsia="sq-AL"/>
        </w:rPr>
        <w:t xml:space="preserve">Ky sektor strategjik ka qenë dhe mbetet nën monitorimin e Ministrisë së Financave dhe Ekonomisë, duke marr parasysh ndikimin e ndjeshëm fiskal dhe në ekonomi të këtij sektori kyç. Ky monitorim, i cili kryhet periodikisht mbi bazë tremujore, ka konsistuar në analizimin e treguesve të performancës financiare të secilës prej tre kompanive KESH, OSHEE dhe OST. </w:t>
      </w:r>
    </w:p>
    <w:p w:rsidR="00EC407D" w:rsidRPr="00AE1917" w:rsidRDefault="00EC407D" w:rsidP="00EC407D">
      <w:pPr>
        <w:spacing w:before="120" w:after="120" w:line="276" w:lineRule="auto"/>
        <w:jc w:val="both"/>
        <w:rPr>
          <w:rFonts w:asciiTheme="minorHAnsi" w:eastAsia="SimSun" w:hAnsiTheme="minorHAnsi"/>
          <w:lang w:val="sq-AL"/>
        </w:rPr>
      </w:pPr>
      <w:r w:rsidRPr="00DF3E4A">
        <w:rPr>
          <w:rFonts w:asciiTheme="minorHAnsi" w:hAnsiTheme="minorHAnsi"/>
          <w:bCs/>
          <w:lang w:val="sq-AL" w:eastAsia="sq-AL"/>
        </w:rPr>
        <w:t>Në mbështetje të nenit 4/2 të ligjit 57 datë 02.06.2016 “Për disa ndryshime dhe shtesa në ligjin nr.9936 datë 26.06.2008 “</w:t>
      </w:r>
      <w:r w:rsidRPr="00DF3E4A">
        <w:rPr>
          <w:rFonts w:asciiTheme="minorHAnsi" w:hAnsiTheme="minorHAnsi"/>
          <w:bCs/>
          <w:i/>
          <w:lang w:val="sq-AL" w:eastAsia="sq-AL"/>
        </w:rPr>
        <w:t>Për menaxhimin e sistemit buxhetor në Republikën e Shqipërisë</w:t>
      </w:r>
      <w:r w:rsidRPr="00DF3E4A">
        <w:rPr>
          <w:rFonts w:asciiTheme="minorHAnsi" w:hAnsiTheme="minorHAnsi"/>
          <w:bCs/>
          <w:lang w:val="sq-AL" w:eastAsia="sq-AL"/>
        </w:rPr>
        <w:t>”, i ndryshuar”, sipas së cilit: “...</w:t>
      </w:r>
      <w:r w:rsidRPr="00DF3E4A">
        <w:rPr>
          <w:rFonts w:asciiTheme="minorHAnsi" w:hAnsiTheme="minorHAnsi"/>
          <w:bCs/>
          <w:i/>
          <w:lang w:val="sq-AL" w:eastAsia="sq-AL"/>
        </w:rPr>
        <w:t>Planet financiare vjetore dhe pasqyrat financiare mbi bazë tremujori, të çdo njësie jo të qeverisjes së përgjithshme, dorëzohen në Ministrinë e Financave...</w:t>
      </w:r>
      <w:r w:rsidRPr="00DF3E4A">
        <w:rPr>
          <w:rFonts w:asciiTheme="minorHAnsi" w:hAnsiTheme="minorHAnsi"/>
          <w:bCs/>
          <w:lang w:val="sq-AL" w:eastAsia="sq-AL"/>
        </w:rPr>
        <w:t xml:space="preserve">”, Ministria e Financave dhe Ekonomisë, periodikisht mbi bazë tremujore, ka mbledhur, përpunuar dhe analizuar informacionin e nevojshëm në lidhje me treguesit e performancës financiare të tre kompanive të sektorit energjitik. Kjo, me qëllim identifikimin, vlerësimin, monitorimin dhe raportimin e risqeve fiskale që rezultojnë nga ndërmarrjet publike me kapital shtetëror në tërësi dhe nga sektori energjitik në veçanti, duke konsideruar rëndësinë strategjike të tij dhe problematikat sesitive që e karakterizojnë. </w:t>
      </w:r>
      <w:r w:rsidRPr="00DF3E4A">
        <w:rPr>
          <w:rFonts w:asciiTheme="minorHAnsi" w:eastAsia="SimSun" w:hAnsiTheme="minorHAnsi"/>
          <w:lang w:val="sq-AL"/>
        </w:rPr>
        <w:t>Në tabelat e mëposhtme jepet ecuria e treguesve kryesorë financiarë të sektorit energjitik 2020, krahasuar me periudhat e mërparshme.</w:t>
      </w:r>
    </w:p>
    <w:p w:rsidR="00562780" w:rsidRPr="0065598A" w:rsidRDefault="007434A1" w:rsidP="00EC407D">
      <w:pPr>
        <w:pStyle w:val="Caption"/>
        <w:spacing w:after="0"/>
        <w:rPr>
          <w:rFonts w:asciiTheme="minorHAnsi" w:hAnsiTheme="minorHAnsi"/>
          <w:b w:val="0"/>
          <w:bCs w:val="0"/>
          <w:i/>
          <w:noProof/>
          <w:color w:val="auto"/>
          <w:sz w:val="24"/>
          <w:szCs w:val="24"/>
          <w:lang w:val="sq-AL"/>
        </w:rPr>
      </w:pPr>
      <w:bookmarkStart w:id="111" w:name="_Toc44404416"/>
      <w:r w:rsidRPr="0065598A">
        <w:rPr>
          <w:rFonts w:asciiTheme="minorHAnsi" w:hAnsiTheme="minorHAnsi"/>
          <w:b w:val="0"/>
          <w:bCs w:val="0"/>
          <w:i/>
          <w:noProof/>
          <w:color w:val="auto"/>
          <w:sz w:val="24"/>
          <w:szCs w:val="24"/>
          <w:lang w:val="sq-AL"/>
        </w:rPr>
        <w:t xml:space="preserve">Tabela </w:t>
      </w:r>
      <w:r w:rsidRPr="0065598A">
        <w:rPr>
          <w:rFonts w:asciiTheme="minorHAnsi" w:hAnsiTheme="minorHAnsi"/>
          <w:b w:val="0"/>
          <w:bCs w:val="0"/>
          <w:i/>
          <w:noProof/>
          <w:color w:val="auto"/>
          <w:sz w:val="24"/>
          <w:szCs w:val="24"/>
          <w:lang w:val="sq-AL"/>
        </w:rPr>
        <w:fldChar w:fldCharType="begin"/>
      </w:r>
      <w:r w:rsidRPr="0065598A">
        <w:rPr>
          <w:rFonts w:asciiTheme="minorHAnsi" w:hAnsiTheme="minorHAnsi"/>
          <w:b w:val="0"/>
          <w:bCs w:val="0"/>
          <w:i/>
          <w:noProof/>
          <w:color w:val="auto"/>
          <w:sz w:val="24"/>
          <w:szCs w:val="24"/>
          <w:lang w:val="sq-AL"/>
        </w:rPr>
        <w:instrText xml:space="preserve"> SEQ Tabela \* ARABIC </w:instrText>
      </w:r>
      <w:r w:rsidRPr="0065598A">
        <w:rPr>
          <w:rFonts w:asciiTheme="minorHAnsi" w:hAnsiTheme="minorHAnsi"/>
          <w:b w:val="0"/>
          <w:bCs w:val="0"/>
          <w:i/>
          <w:noProof/>
          <w:color w:val="auto"/>
          <w:sz w:val="24"/>
          <w:szCs w:val="24"/>
          <w:lang w:val="sq-AL"/>
        </w:rPr>
        <w:fldChar w:fldCharType="separate"/>
      </w:r>
      <w:r w:rsidR="00C342E2">
        <w:rPr>
          <w:rFonts w:asciiTheme="minorHAnsi" w:hAnsiTheme="minorHAnsi"/>
          <w:b w:val="0"/>
          <w:bCs w:val="0"/>
          <w:i/>
          <w:noProof/>
          <w:color w:val="auto"/>
          <w:sz w:val="24"/>
          <w:szCs w:val="24"/>
          <w:lang w:val="sq-AL"/>
        </w:rPr>
        <w:t>15</w:t>
      </w:r>
      <w:r w:rsidRPr="0065598A">
        <w:rPr>
          <w:rFonts w:asciiTheme="minorHAnsi" w:hAnsiTheme="minorHAnsi"/>
          <w:b w:val="0"/>
          <w:bCs w:val="0"/>
          <w:i/>
          <w:noProof/>
          <w:color w:val="auto"/>
          <w:sz w:val="24"/>
          <w:szCs w:val="24"/>
          <w:lang w:val="sq-AL"/>
        </w:rPr>
        <w:fldChar w:fldCharType="end"/>
      </w:r>
      <w:r w:rsidRPr="0065598A">
        <w:rPr>
          <w:rFonts w:asciiTheme="minorHAnsi" w:hAnsiTheme="minorHAnsi"/>
          <w:b w:val="0"/>
          <w:bCs w:val="0"/>
          <w:i/>
          <w:noProof/>
          <w:color w:val="auto"/>
          <w:sz w:val="24"/>
          <w:szCs w:val="24"/>
          <w:lang w:val="sq-AL"/>
        </w:rPr>
        <w:t>:</w:t>
      </w:r>
      <w:r w:rsidR="00562780" w:rsidRPr="0065598A">
        <w:rPr>
          <w:rFonts w:asciiTheme="minorHAnsi" w:hAnsiTheme="minorHAnsi"/>
          <w:b w:val="0"/>
          <w:bCs w:val="0"/>
          <w:i/>
          <w:noProof/>
          <w:color w:val="auto"/>
          <w:sz w:val="24"/>
          <w:szCs w:val="24"/>
          <w:lang w:val="sq-AL"/>
        </w:rPr>
        <w:t xml:space="preserve"> Të dhënat financiare për Sektorin Energjitik (në mijë Lekë)</w:t>
      </w:r>
      <w:bookmarkEnd w:id="111"/>
    </w:p>
    <w:p w:rsidR="00562780" w:rsidRPr="0065598A" w:rsidRDefault="00EC407D" w:rsidP="00562780">
      <w:pPr>
        <w:spacing w:line="276" w:lineRule="auto"/>
        <w:contextualSpacing/>
        <w:jc w:val="center"/>
        <w:rPr>
          <w:rFonts w:asciiTheme="minorHAnsi" w:hAnsiTheme="minorHAnsi"/>
          <w:i/>
          <w:lang w:val="sq-AL"/>
        </w:rPr>
      </w:pPr>
      <w:r w:rsidRPr="00AE1917">
        <w:rPr>
          <w:rFonts w:asciiTheme="minorHAnsi" w:hAnsiTheme="minorHAnsi"/>
          <w:i/>
          <w:noProof/>
        </w:rPr>
        <w:drawing>
          <wp:inline distT="0" distB="0" distL="0" distR="0" wp14:anchorId="040E3576" wp14:editId="3025940F">
            <wp:extent cx="5694045" cy="1356360"/>
            <wp:effectExtent l="0" t="0" r="1905" b="0"/>
            <wp:docPr id="300" name="Picture 3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5694045" cy="1356360"/>
                    </a:xfrm>
                    <a:prstGeom prst="rect">
                      <a:avLst/>
                    </a:prstGeom>
                    <a:noFill/>
                  </pic:spPr>
                </pic:pic>
              </a:graphicData>
            </a:graphic>
          </wp:inline>
        </w:drawing>
      </w:r>
    </w:p>
    <w:p w:rsidR="00562780" w:rsidRPr="0065598A" w:rsidRDefault="00EC407D" w:rsidP="00562780">
      <w:pPr>
        <w:spacing w:line="276" w:lineRule="auto"/>
        <w:jc w:val="center"/>
        <w:rPr>
          <w:rFonts w:asciiTheme="minorHAnsi" w:hAnsiTheme="minorHAnsi"/>
          <w:b/>
          <w:color w:val="C00000"/>
          <w:lang w:val="sq-AL"/>
        </w:rPr>
      </w:pPr>
      <w:r w:rsidRPr="00AE1917">
        <w:rPr>
          <w:rFonts w:asciiTheme="minorHAnsi" w:hAnsiTheme="minorHAnsi"/>
          <w:i/>
          <w:noProof/>
        </w:rPr>
        <w:drawing>
          <wp:inline distT="0" distB="0" distL="0" distR="0" wp14:anchorId="2CADD306" wp14:editId="23856346">
            <wp:extent cx="5688330" cy="1348740"/>
            <wp:effectExtent l="0" t="0" r="7620" b="3810"/>
            <wp:docPr id="301" name="Picture 3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5688330" cy="1348740"/>
                    </a:xfrm>
                    <a:prstGeom prst="rect">
                      <a:avLst/>
                    </a:prstGeom>
                    <a:noFill/>
                  </pic:spPr>
                </pic:pic>
              </a:graphicData>
            </a:graphic>
          </wp:inline>
        </w:drawing>
      </w:r>
    </w:p>
    <w:p w:rsidR="00562780" w:rsidRPr="0065598A" w:rsidRDefault="00C23C7E" w:rsidP="00666B9F">
      <w:pPr>
        <w:spacing w:line="276" w:lineRule="auto"/>
        <w:ind w:firstLine="720"/>
        <w:rPr>
          <w:rFonts w:asciiTheme="minorHAnsi" w:hAnsiTheme="minorHAnsi"/>
          <w:i/>
          <w:sz w:val="22"/>
          <w:lang w:val="sq-AL"/>
        </w:rPr>
      </w:pPr>
      <w:r>
        <w:rPr>
          <w:rFonts w:asciiTheme="minorHAnsi" w:hAnsiTheme="minorHAnsi"/>
          <w:i/>
          <w:sz w:val="22"/>
          <w:lang w:val="sq-AL"/>
        </w:rPr>
        <w:t>Burimi: Ministria e Financave dhe Ekonomisë (2020)</w:t>
      </w:r>
    </w:p>
    <w:p w:rsidR="00666B9F" w:rsidRPr="0065598A" w:rsidRDefault="00666B9F" w:rsidP="00666B9F">
      <w:pPr>
        <w:spacing w:line="276" w:lineRule="auto"/>
        <w:ind w:firstLine="720"/>
        <w:rPr>
          <w:rFonts w:asciiTheme="minorHAnsi" w:hAnsiTheme="minorHAnsi"/>
          <w:i/>
          <w:sz w:val="12"/>
          <w:lang w:val="sq-AL"/>
        </w:rPr>
      </w:pPr>
    </w:p>
    <w:p w:rsidR="00EC407D" w:rsidRDefault="00EC407D" w:rsidP="00EC407D">
      <w:pPr>
        <w:spacing w:line="276" w:lineRule="auto"/>
        <w:jc w:val="both"/>
        <w:rPr>
          <w:rFonts w:asciiTheme="minorHAnsi" w:hAnsiTheme="minorHAnsi"/>
          <w:lang w:val="sq-AL"/>
        </w:rPr>
      </w:pPr>
      <w:r>
        <w:rPr>
          <w:rFonts w:asciiTheme="minorHAnsi" w:hAnsiTheme="minorHAnsi"/>
          <w:b/>
          <w:lang w:val="sq-AL"/>
        </w:rPr>
        <w:lastRenderedPageBreak/>
        <w:t>Në 3-</w:t>
      </w:r>
      <w:r w:rsidRPr="00FF4757">
        <w:rPr>
          <w:rFonts w:asciiTheme="minorHAnsi" w:hAnsiTheme="minorHAnsi"/>
          <w:b/>
          <w:lang w:val="sq-AL"/>
        </w:rPr>
        <w:t>mujorin e parë të vitit 2020</w:t>
      </w:r>
      <w:r w:rsidRPr="00FF4757">
        <w:rPr>
          <w:rFonts w:asciiTheme="minorHAnsi" w:hAnsiTheme="minorHAnsi"/>
          <w:lang w:val="sq-AL"/>
        </w:rPr>
        <w:t>, krahasuar me të njëjtën periudhë të një viti më parë vërehet se:</w:t>
      </w:r>
    </w:p>
    <w:p w:rsidR="00EC407D" w:rsidRPr="00EC407D" w:rsidRDefault="00EC407D" w:rsidP="00EC407D">
      <w:pPr>
        <w:spacing w:line="276" w:lineRule="auto"/>
        <w:jc w:val="both"/>
        <w:rPr>
          <w:rFonts w:asciiTheme="minorHAnsi" w:hAnsiTheme="minorHAnsi"/>
          <w:sz w:val="8"/>
          <w:szCs w:val="8"/>
          <w:lang w:val="sq-AL"/>
        </w:rPr>
      </w:pPr>
    </w:p>
    <w:p w:rsidR="00EC407D" w:rsidRPr="00FF4757" w:rsidRDefault="00EC407D" w:rsidP="00503465">
      <w:pPr>
        <w:numPr>
          <w:ilvl w:val="0"/>
          <w:numId w:val="9"/>
        </w:numPr>
        <w:spacing w:after="200" w:line="276" w:lineRule="auto"/>
        <w:ind w:left="360" w:hanging="270"/>
        <w:contextualSpacing/>
        <w:jc w:val="both"/>
        <w:rPr>
          <w:rFonts w:asciiTheme="minorHAnsi" w:hAnsiTheme="minorHAnsi"/>
          <w:lang w:val="sq-AL"/>
        </w:rPr>
      </w:pPr>
      <w:r w:rsidRPr="00FF4757">
        <w:rPr>
          <w:rFonts w:asciiTheme="minorHAnsi" w:hAnsiTheme="minorHAnsi"/>
          <w:lang w:val="sq-AL"/>
        </w:rPr>
        <w:t>Të ardhurat pësuan një rënie prej 1.2 miliard Lekë ose 5.9 përqind, ndërkohë që, shpenzimet janë rritur me 159 milion Lekë ose 0.7 përqind. Për pasojë:</w:t>
      </w:r>
    </w:p>
    <w:p w:rsidR="00EC407D" w:rsidRPr="00FF4757" w:rsidRDefault="00EC407D" w:rsidP="00503465">
      <w:pPr>
        <w:numPr>
          <w:ilvl w:val="2"/>
          <w:numId w:val="12"/>
        </w:numPr>
        <w:spacing w:before="240" w:line="276" w:lineRule="auto"/>
        <w:ind w:left="810" w:hanging="270"/>
        <w:contextualSpacing/>
        <w:jc w:val="both"/>
        <w:rPr>
          <w:rFonts w:asciiTheme="minorHAnsi" w:hAnsiTheme="minorHAnsi"/>
          <w:i/>
          <w:lang w:val="sq-AL"/>
        </w:rPr>
      </w:pPr>
      <w:r w:rsidRPr="00FF4757">
        <w:rPr>
          <w:rFonts w:asciiTheme="minorHAnsi" w:hAnsiTheme="minorHAnsi"/>
          <w:i/>
          <w:lang w:val="sq-AL"/>
        </w:rPr>
        <w:t xml:space="preserve">Rezultati financiar (fitim/humbje) për këtë tre mujor është negativ. Konkretisht sektori rezulton me humbje prej rreth 1.3 miliard Lekë. </w:t>
      </w:r>
    </w:p>
    <w:p w:rsidR="00EC407D" w:rsidRPr="00FF4757" w:rsidRDefault="00EC407D" w:rsidP="00503465">
      <w:pPr>
        <w:numPr>
          <w:ilvl w:val="2"/>
          <w:numId w:val="12"/>
        </w:numPr>
        <w:spacing w:before="240" w:line="276" w:lineRule="auto"/>
        <w:ind w:left="810" w:hanging="270"/>
        <w:contextualSpacing/>
        <w:jc w:val="both"/>
        <w:rPr>
          <w:rFonts w:asciiTheme="minorHAnsi" w:hAnsiTheme="minorHAnsi"/>
          <w:i/>
          <w:lang w:val="sq-AL"/>
        </w:rPr>
      </w:pPr>
      <w:r>
        <w:rPr>
          <w:rFonts w:asciiTheme="minorHAnsi" w:hAnsiTheme="minorHAnsi"/>
          <w:i/>
          <w:lang w:val="sq-AL"/>
        </w:rPr>
        <w:t>Totali i Aktiveve ka pësuar rënie përkatësisht me</w:t>
      </w:r>
      <w:r w:rsidRPr="00FF4757">
        <w:rPr>
          <w:rFonts w:asciiTheme="minorHAnsi" w:hAnsiTheme="minorHAnsi"/>
          <w:i/>
          <w:lang w:val="sq-AL"/>
        </w:rPr>
        <w:t xml:space="preserve"> 2.7  përqind dhe Dety</w:t>
      </w:r>
      <w:r>
        <w:rPr>
          <w:rFonts w:asciiTheme="minorHAnsi" w:hAnsiTheme="minorHAnsi"/>
          <w:i/>
          <w:lang w:val="sq-AL"/>
        </w:rPr>
        <w:t xml:space="preserve">rimet janë rritur me 4.2 përqind, </w:t>
      </w:r>
      <w:r w:rsidRPr="00FF4757">
        <w:rPr>
          <w:rFonts w:asciiTheme="minorHAnsi" w:hAnsiTheme="minorHAnsi"/>
          <w:i/>
          <w:lang w:val="sq-AL"/>
        </w:rPr>
        <w:t xml:space="preserve"> duke sjellë për rrjedhojë uljen e zërit të kapitalit me 21.4 përqind.</w:t>
      </w:r>
    </w:p>
    <w:p w:rsidR="00EC407D" w:rsidRPr="00FF4757" w:rsidRDefault="00EC407D" w:rsidP="00503465">
      <w:pPr>
        <w:numPr>
          <w:ilvl w:val="2"/>
          <w:numId w:val="12"/>
        </w:numPr>
        <w:spacing w:before="240" w:line="276" w:lineRule="auto"/>
        <w:ind w:left="810" w:hanging="270"/>
        <w:contextualSpacing/>
        <w:jc w:val="both"/>
        <w:rPr>
          <w:rFonts w:asciiTheme="minorHAnsi" w:hAnsiTheme="minorHAnsi"/>
          <w:i/>
          <w:lang w:val="sq-AL"/>
        </w:rPr>
      </w:pPr>
      <w:r w:rsidRPr="00FF4757">
        <w:rPr>
          <w:rFonts w:asciiTheme="minorHAnsi" w:hAnsiTheme="minorHAnsi"/>
          <w:i/>
          <w:lang w:val="sq-AL"/>
        </w:rPr>
        <w:t>Marzhi i fitimit, raporti korrent, kthimi mbi aktivet dhe kthimi mbi kapitalin kanë trend rënës, duke treguar një performancë jo të mirë financiare të sektorit në përgjithësi.</w:t>
      </w:r>
    </w:p>
    <w:p w:rsidR="00EC407D" w:rsidRPr="00FF4757" w:rsidRDefault="00EC407D" w:rsidP="00EC407D">
      <w:pPr>
        <w:spacing w:before="240" w:line="276" w:lineRule="auto"/>
        <w:jc w:val="both"/>
        <w:rPr>
          <w:rFonts w:asciiTheme="minorHAnsi" w:hAnsiTheme="minorHAnsi"/>
          <w:lang w:val="sq-AL"/>
        </w:rPr>
      </w:pPr>
      <w:r w:rsidRPr="00FF4757">
        <w:rPr>
          <w:rFonts w:asciiTheme="minorHAnsi" w:hAnsiTheme="minorHAnsi"/>
          <w:lang w:val="sq-AL"/>
        </w:rPr>
        <w:t xml:space="preserve">Një rol të konsiderueshëm në rezultatin e sektorit ka Operatori i Shpërndarjes së Energjisë Elektrike, OSHEE sh.a. Për tre mujorin e vitit 2020, referuar të dhënave të raportuara nga OSHEE sh.a evidentohet: </w:t>
      </w:r>
    </w:p>
    <w:p w:rsidR="00EC407D" w:rsidRPr="00FF4757" w:rsidRDefault="00EC407D" w:rsidP="00503465">
      <w:pPr>
        <w:numPr>
          <w:ilvl w:val="2"/>
          <w:numId w:val="12"/>
        </w:numPr>
        <w:spacing w:line="276" w:lineRule="auto"/>
        <w:ind w:left="810" w:hanging="270"/>
        <w:contextualSpacing/>
        <w:jc w:val="both"/>
        <w:rPr>
          <w:rFonts w:asciiTheme="minorHAnsi" w:hAnsiTheme="minorHAnsi"/>
          <w:i/>
          <w:lang w:val="sq-AL"/>
        </w:rPr>
      </w:pPr>
      <w:r w:rsidRPr="00FF4757">
        <w:rPr>
          <w:rFonts w:asciiTheme="minorHAnsi" w:hAnsiTheme="minorHAnsi"/>
          <w:i/>
          <w:lang w:val="sq-AL"/>
        </w:rPr>
        <w:t>Një nivel të ardhurash operative rreth 15 milion Lekë me një rën</w:t>
      </w:r>
      <w:r>
        <w:rPr>
          <w:rFonts w:asciiTheme="minorHAnsi" w:hAnsiTheme="minorHAnsi"/>
          <w:i/>
          <w:lang w:val="sq-AL"/>
        </w:rPr>
        <w:t>i</w:t>
      </w:r>
      <w:r w:rsidRPr="00FF4757">
        <w:rPr>
          <w:rFonts w:asciiTheme="minorHAnsi" w:hAnsiTheme="minorHAnsi"/>
          <w:i/>
          <w:lang w:val="sq-AL"/>
        </w:rPr>
        <w:t>e rreth 2.1 përqind krahasuar me tre mujorin e vitit 2019.</w:t>
      </w:r>
    </w:p>
    <w:p w:rsidR="00EC407D" w:rsidRPr="00FF4757" w:rsidRDefault="00EC407D" w:rsidP="00503465">
      <w:pPr>
        <w:numPr>
          <w:ilvl w:val="2"/>
          <w:numId w:val="12"/>
        </w:numPr>
        <w:spacing w:line="276" w:lineRule="auto"/>
        <w:ind w:left="810" w:hanging="270"/>
        <w:contextualSpacing/>
        <w:jc w:val="both"/>
        <w:rPr>
          <w:rFonts w:asciiTheme="minorHAnsi" w:hAnsiTheme="minorHAnsi"/>
          <w:i/>
          <w:lang w:val="sq-AL"/>
        </w:rPr>
      </w:pPr>
      <w:r w:rsidRPr="00FF4757">
        <w:rPr>
          <w:rFonts w:asciiTheme="minorHAnsi" w:hAnsiTheme="minorHAnsi"/>
          <w:i/>
          <w:lang w:val="sq-AL"/>
        </w:rPr>
        <w:t>Rezultati (Fitim/Humbje) i periudhës tre mujore rezulton rreth 1 miliard Lekë humbje. Kjo situatë pritet të vazhdojë edhe në muajt në vijim duke konsideruar efektin që do të ketë periudha e pandemis</w:t>
      </w:r>
      <w:r w:rsidR="00B8655D">
        <w:rPr>
          <w:rFonts w:asciiTheme="minorHAnsi" w:hAnsiTheme="minorHAnsi"/>
          <w:i/>
          <w:lang w:val="sq-AL"/>
        </w:rPr>
        <w:t>ë</w:t>
      </w:r>
      <w:r w:rsidRPr="00FF4757">
        <w:rPr>
          <w:rFonts w:asciiTheme="minorHAnsi" w:hAnsiTheme="minorHAnsi"/>
          <w:i/>
          <w:lang w:val="sq-AL"/>
        </w:rPr>
        <w:t xml:space="preserve"> Covid-19 në ndryshimin e strukturës së konsumit të energjisë elektrike.</w:t>
      </w:r>
    </w:p>
    <w:p w:rsidR="00EC407D" w:rsidRPr="00FF4757" w:rsidRDefault="00EC407D" w:rsidP="00503465">
      <w:pPr>
        <w:numPr>
          <w:ilvl w:val="2"/>
          <w:numId w:val="12"/>
        </w:numPr>
        <w:spacing w:line="276" w:lineRule="auto"/>
        <w:ind w:left="810" w:hanging="270"/>
        <w:contextualSpacing/>
        <w:jc w:val="both"/>
        <w:rPr>
          <w:rFonts w:asciiTheme="minorHAnsi" w:hAnsiTheme="minorHAnsi"/>
          <w:i/>
          <w:lang w:val="sq-AL"/>
        </w:rPr>
      </w:pPr>
      <w:r w:rsidRPr="00FF4757">
        <w:rPr>
          <w:rFonts w:asciiTheme="minorHAnsi" w:hAnsiTheme="minorHAnsi"/>
          <w:i/>
          <w:lang w:val="sq-AL"/>
        </w:rPr>
        <w:t>Sipas buxhetit të vitit 2020 të OSHEE sh.a të ardhurat pritet të jenë rreth 54.6 miliard Lekë dhe rezultati i pritshëm vjetor të jetë me një fitim prej 3.7 miliard Lekë.</w:t>
      </w:r>
    </w:p>
    <w:p w:rsidR="00EC407D" w:rsidRPr="00FF4757" w:rsidRDefault="00EC407D" w:rsidP="00503465">
      <w:pPr>
        <w:numPr>
          <w:ilvl w:val="2"/>
          <w:numId w:val="12"/>
        </w:numPr>
        <w:spacing w:before="240" w:line="276" w:lineRule="auto"/>
        <w:ind w:left="810" w:hanging="270"/>
        <w:contextualSpacing/>
        <w:jc w:val="both"/>
        <w:rPr>
          <w:rFonts w:asciiTheme="minorHAnsi" w:hAnsiTheme="minorHAnsi"/>
          <w:i/>
          <w:lang w:val="sq-AL"/>
        </w:rPr>
      </w:pPr>
      <w:r w:rsidRPr="00FF4757">
        <w:rPr>
          <w:rFonts w:asciiTheme="minorHAnsi" w:hAnsiTheme="minorHAnsi"/>
          <w:i/>
          <w:lang w:val="sq-AL"/>
        </w:rPr>
        <w:t>Niveli i pritshëm i arkëtimeve për vitin 2020 është 97 përqind e shumës së faturuar dhe humbjet parashikohet të jenë 21 përqind.</w:t>
      </w:r>
    </w:p>
    <w:p w:rsidR="00EC407D" w:rsidRPr="00AE1917" w:rsidRDefault="00EC407D" w:rsidP="00EC407D">
      <w:pPr>
        <w:spacing w:line="276" w:lineRule="auto"/>
        <w:rPr>
          <w:rFonts w:asciiTheme="minorHAnsi" w:hAnsiTheme="minorHAnsi"/>
          <w:i/>
          <w:sz w:val="22"/>
          <w:lang w:val="sq-AL"/>
        </w:rPr>
      </w:pPr>
    </w:p>
    <w:p w:rsidR="00EC407D" w:rsidRPr="00994356" w:rsidRDefault="00EC407D" w:rsidP="00EC407D">
      <w:pPr>
        <w:spacing w:before="240" w:line="276" w:lineRule="auto"/>
        <w:contextualSpacing/>
        <w:jc w:val="both"/>
        <w:rPr>
          <w:rFonts w:asciiTheme="minorHAnsi" w:hAnsiTheme="minorHAnsi"/>
          <w:lang w:val="sq-AL"/>
        </w:rPr>
      </w:pPr>
      <w:r w:rsidRPr="00994356">
        <w:rPr>
          <w:rFonts w:asciiTheme="minorHAnsi" w:hAnsiTheme="minorHAnsi"/>
          <w:lang w:val="sq-AL"/>
        </w:rPr>
        <w:t>Sipas parashikimeve më të fundit të KESH sh.a dhe OSHEE sh.a ,deri në fund të vitit 2020 pritet që:</w:t>
      </w:r>
    </w:p>
    <w:p w:rsidR="00EC407D" w:rsidRPr="00994356" w:rsidRDefault="00EC407D" w:rsidP="00503465">
      <w:pPr>
        <w:numPr>
          <w:ilvl w:val="2"/>
          <w:numId w:val="12"/>
        </w:numPr>
        <w:spacing w:line="276" w:lineRule="auto"/>
        <w:ind w:left="810" w:hanging="270"/>
        <w:contextualSpacing/>
        <w:jc w:val="both"/>
        <w:rPr>
          <w:rFonts w:asciiTheme="minorHAnsi" w:hAnsiTheme="minorHAnsi"/>
          <w:i/>
          <w:lang w:val="sq-AL"/>
        </w:rPr>
      </w:pPr>
      <w:r w:rsidRPr="00994356">
        <w:rPr>
          <w:rFonts w:asciiTheme="minorHAnsi" w:hAnsiTheme="minorHAnsi"/>
          <w:i/>
          <w:lang w:val="sq-AL"/>
        </w:rPr>
        <w:t>Energjia e parashikuar që do të sigurohet nga KESH sh.a për OSHEE sh.a do të jetë në nivelin e 3.95 G</w:t>
      </w:r>
      <w:r w:rsidR="00B8655D">
        <w:rPr>
          <w:rFonts w:asciiTheme="minorHAnsi" w:hAnsiTheme="minorHAnsi"/>
          <w:i/>
          <w:lang w:val="sq-AL"/>
        </w:rPr>
        <w:t>W</w:t>
      </w:r>
      <w:r w:rsidRPr="00994356">
        <w:rPr>
          <w:rFonts w:asciiTheme="minorHAnsi" w:hAnsiTheme="minorHAnsi"/>
          <w:i/>
          <w:lang w:val="sq-AL"/>
        </w:rPr>
        <w:t>h megjithëse sipa raporteve të OSHEE sh.a kjo sasi pritet që të reduktohet në 3.3 G</w:t>
      </w:r>
      <w:r w:rsidR="00B8655D">
        <w:rPr>
          <w:rFonts w:asciiTheme="minorHAnsi" w:hAnsiTheme="minorHAnsi"/>
          <w:i/>
          <w:lang w:val="sq-AL"/>
        </w:rPr>
        <w:t>W</w:t>
      </w:r>
      <w:r w:rsidRPr="00994356">
        <w:rPr>
          <w:rFonts w:asciiTheme="minorHAnsi" w:hAnsiTheme="minorHAnsi"/>
          <w:i/>
          <w:lang w:val="sq-AL"/>
        </w:rPr>
        <w:t>h.</w:t>
      </w:r>
    </w:p>
    <w:p w:rsidR="00EC407D" w:rsidRPr="00994356" w:rsidRDefault="00EC407D" w:rsidP="00503465">
      <w:pPr>
        <w:numPr>
          <w:ilvl w:val="2"/>
          <w:numId w:val="12"/>
        </w:numPr>
        <w:spacing w:line="276" w:lineRule="auto"/>
        <w:ind w:left="810" w:hanging="270"/>
        <w:contextualSpacing/>
        <w:jc w:val="both"/>
        <w:rPr>
          <w:rFonts w:asciiTheme="minorHAnsi" w:hAnsiTheme="minorHAnsi"/>
          <w:i/>
          <w:lang w:val="sq-AL"/>
        </w:rPr>
      </w:pPr>
      <w:r w:rsidRPr="00994356">
        <w:rPr>
          <w:rFonts w:asciiTheme="minorHAnsi" w:hAnsiTheme="minorHAnsi"/>
          <w:i/>
          <w:lang w:val="sq-AL"/>
        </w:rPr>
        <w:t>Importi i energjisë, sipas përllogaritjeve të OSHEE, do të jetë rreth 788 M</w:t>
      </w:r>
      <w:r w:rsidR="00B8655D">
        <w:rPr>
          <w:rFonts w:asciiTheme="minorHAnsi" w:hAnsiTheme="minorHAnsi"/>
          <w:i/>
          <w:lang w:val="sq-AL"/>
        </w:rPr>
        <w:t>W</w:t>
      </w:r>
      <w:r w:rsidRPr="00994356">
        <w:rPr>
          <w:rFonts w:asciiTheme="minorHAnsi" w:hAnsiTheme="minorHAnsi"/>
          <w:i/>
          <w:lang w:val="sq-AL"/>
        </w:rPr>
        <w:t>h me një çmim pre</w:t>
      </w:r>
      <w:r>
        <w:rPr>
          <w:rFonts w:asciiTheme="minorHAnsi" w:hAnsiTheme="minorHAnsi"/>
          <w:i/>
          <w:lang w:val="sq-AL"/>
        </w:rPr>
        <w:t>j</w:t>
      </w:r>
      <w:r w:rsidRPr="00994356">
        <w:rPr>
          <w:rFonts w:asciiTheme="minorHAnsi" w:hAnsiTheme="minorHAnsi"/>
          <w:i/>
          <w:lang w:val="sq-AL"/>
        </w:rPr>
        <w:t xml:space="preserve"> rreth 8.630 Lekë/M</w:t>
      </w:r>
      <w:r w:rsidR="00AF578C">
        <w:rPr>
          <w:rFonts w:asciiTheme="minorHAnsi" w:hAnsiTheme="minorHAnsi"/>
          <w:i/>
          <w:lang w:val="sq-AL"/>
        </w:rPr>
        <w:t>Ë</w:t>
      </w:r>
      <w:r w:rsidRPr="00994356">
        <w:rPr>
          <w:rFonts w:asciiTheme="minorHAnsi" w:hAnsiTheme="minorHAnsi"/>
          <w:i/>
          <w:lang w:val="sq-AL"/>
        </w:rPr>
        <w:t xml:space="preserve">h , me një kosto totale prej 6.8 miliard lekë </w:t>
      </w:r>
    </w:p>
    <w:p w:rsidR="00EC407D" w:rsidRPr="00994356" w:rsidRDefault="00EC407D" w:rsidP="00503465">
      <w:pPr>
        <w:numPr>
          <w:ilvl w:val="2"/>
          <w:numId w:val="12"/>
        </w:numPr>
        <w:spacing w:line="276" w:lineRule="auto"/>
        <w:ind w:left="810" w:hanging="270"/>
        <w:contextualSpacing/>
        <w:jc w:val="both"/>
        <w:rPr>
          <w:rFonts w:asciiTheme="minorHAnsi" w:hAnsiTheme="minorHAnsi"/>
          <w:i/>
          <w:lang w:val="sq-AL"/>
        </w:rPr>
      </w:pPr>
      <w:r w:rsidRPr="00994356">
        <w:rPr>
          <w:rFonts w:asciiTheme="minorHAnsi" w:hAnsiTheme="minorHAnsi"/>
          <w:i/>
          <w:lang w:val="sq-AL"/>
        </w:rPr>
        <w:t>Të ardhurat e parashikuara nga shitja e energjisë priten në masën 54.6 miliard lekë, ose 1% më të ulta se plani i në 2019 ose 5.4 miliard Lekë më të ul</w:t>
      </w:r>
      <w:r>
        <w:rPr>
          <w:rFonts w:asciiTheme="minorHAnsi" w:hAnsiTheme="minorHAnsi"/>
          <w:i/>
          <w:lang w:val="sq-AL"/>
        </w:rPr>
        <w:t>ë</w:t>
      </w:r>
      <w:r w:rsidRPr="00994356">
        <w:rPr>
          <w:rFonts w:asciiTheme="minorHAnsi" w:hAnsiTheme="minorHAnsi"/>
          <w:i/>
          <w:lang w:val="sq-AL"/>
        </w:rPr>
        <w:t>ta se të ardhurat faktike të vitit 2019 të cilat rezultuan 57.7 miliard Lekë.</w:t>
      </w:r>
    </w:p>
    <w:p w:rsidR="00EC407D" w:rsidRPr="00994356" w:rsidRDefault="00EC407D" w:rsidP="00EC407D">
      <w:pPr>
        <w:spacing w:before="120" w:after="240" w:line="276" w:lineRule="auto"/>
        <w:jc w:val="both"/>
        <w:rPr>
          <w:rFonts w:asciiTheme="minorHAnsi" w:hAnsiTheme="minorHAnsi"/>
          <w:lang w:val="sq-AL"/>
        </w:rPr>
      </w:pPr>
      <w:r w:rsidRPr="00994356">
        <w:rPr>
          <w:rFonts w:asciiTheme="minorHAnsi" w:hAnsiTheme="minorHAnsi"/>
          <w:lang w:val="sq-AL"/>
        </w:rPr>
        <w:t>Kjo situatë mund të sjellë vështirësi financiare kryesisht për OSHEE sh.a, pasi këtë mungesë do të duhet ta përballojë me energji të siguruar në tregun e lirë të energjisë</w:t>
      </w:r>
      <w:r>
        <w:rPr>
          <w:rFonts w:asciiTheme="minorHAnsi" w:hAnsiTheme="minorHAnsi"/>
          <w:lang w:val="sq-AL"/>
        </w:rPr>
        <w:t>,</w:t>
      </w:r>
      <w:r w:rsidRPr="00994356">
        <w:rPr>
          <w:rFonts w:asciiTheme="minorHAnsi" w:hAnsiTheme="minorHAnsi"/>
          <w:lang w:val="sq-AL"/>
        </w:rPr>
        <w:t xml:space="preserve"> me çmim shumë herë më të lartë se sa ai me të cilin e siguron nga KESH sh.a. Gjithashtu situata e krijuar pas gjendjes së emergjencës për fatkeqësinë natyrore të muajve të fundit pritet që ti shkaktojë nje humbje prej rreth 1 miliard Lekë e cila mund t</w:t>
      </w:r>
      <w:r>
        <w:rPr>
          <w:rFonts w:asciiTheme="minorHAnsi" w:hAnsiTheme="minorHAnsi"/>
          <w:lang w:val="sq-AL"/>
        </w:rPr>
        <w:t>ë</w:t>
      </w:r>
      <w:r w:rsidRPr="00994356">
        <w:rPr>
          <w:rFonts w:asciiTheme="minorHAnsi" w:hAnsiTheme="minorHAnsi"/>
          <w:lang w:val="sq-AL"/>
        </w:rPr>
        <w:t xml:space="preserve"> thellohet nëse periudha e rikthimit në gjendjen normale do të zgjasë më gjatë.</w:t>
      </w:r>
    </w:p>
    <w:p w:rsidR="00EC407D" w:rsidRPr="00994356" w:rsidRDefault="00EC407D" w:rsidP="00EC407D">
      <w:pPr>
        <w:spacing w:before="120" w:after="240" w:line="276" w:lineRule="auto"/>
        <w:jc w:val="both"/>
        <w:rPr>
          <w:rFonts w:asciiTheme="minorHAnsi" w:hAnsiTheme="minorHAnsi"/>
          <w:lang w:val="sq-AL"/>
        </w:rPr>
      </w:pPr>
      <w:r w:rsidRPr="00994356">
        <w:rPr>
          <w:rFonts w:asciiTheme="minorHAnsi" w:hAnsiTheme="minorHAnsi"/>
          <w:lang w:val="sq-AL"/>
        </w:rPr>
        <w:t>Kushtëzuar nga situata e pafavorshme hidrike e vitit 2019, situata financiare në të cilën gjendet kompania dhe sektori, si dhe periudha në të cilën po kalon vendi</w:t>
      </w:r>
      <w:r>
        <w:rPr>
          <w:rFonts w:asciiTheme="minorHAnsi" w:hAnsiTheme="minorHAnsi"/>
          <w:lang w:val="sq-AL"/>
        </w:rPr>
        <w:t>,</w:t>
      </w:r>
      <w:r w:rsidRPr="00994356">
        <w:rPr>
          <w:rFonts w:asciiTheme="minorHAnsi" w:hAnsiTheme="minorHAnsi"/>
          <w:lang w:val="sq-AL"/>
        </w:rPr>
        <w:t xml:space="preserve"> MFE rekomandon marrjen e masave të nevojshme, kryesisht në drejtim të:</w:t>
      </w:r>
    </w:p>
    <w:p w:rsidR="00EC407D" w:rsidRPr="00994356" w:rsidRDefault="00EC407D" w:rsidP="00503465">
      <w:pPr>
        <w:numPr>
          <w:ilvl w:val="0"/>
          <w:numId w:val="11"/>
        </w:numPr>
        <w:spacing w:before="120" w:after="120" w:line="276" w:lineRule="auto"/>
        <w:jc w:val="both"/>
        <w:rPr>
          <w:rFonts w:asciiTheme="minorHAnsi" w:hAnsiTheme="minorHAnsi"/>
          <w:i/>
          <w:lang w:val="sq-AL"/>
        </w:rPr>
      </w:pPr>
      <w:r w:rsidRPr="00994356">
        <w:rPr>
          <w:rFonts w:asciiTheme="minorHAnsi" w:hAnsiTheme="minorHAnsi"/>
          <w:i/>
          <w:lang w:val="sq-AL"/>
        </w:rPr>
        <w:lastRenderedPageBreak/>
        <w:t>Rivlerësimit të pozicionit financiar, duke konsideruar (përmes parashikimeve të qëndrueshme e realiste) zhvillimet e pritshme në prodhimin vendas të energjisë.</w:t>
      </w:r>
    </w:p>
    <w:p w:rsidR="00EC407D" w:rsidRPr="00994356" w:rsidRDefault="00EC407D" w:rsidP="00503465">
      <w:pPr>
        <w:numPr>
          <w:ilvl w:val="0"/>
          <w:numId w:val="11"/>
        </w:numPr>
        <w:spacing w:before="120" w:after="120" w:line="276" w:lineRule="auto"/>
        <w:jc w:val="both"/>
        <w:rPr>
          <w:rFonts w:asciiTheme="minorHAnsi" w:hAnsiTheme="minorHAnsi"/>
          <w:i/>
          <w:lang w:val="sq-AL"/>
        </w:rPr>
      </w:pPr>
      <w:r w:rsidRPr="00994356">
        <w:rPr>
          <w:rFonts w:asciiTheme="minorHAnsi" w:hAnsiTheme="minorHAnsi"/>
          <w:i/>
          <w:lang w:val="sq-AL"/>
        </w:rPr>
        <w:t>Rishikimit në ulje i planit të investimeve për vitin 2020, kjo referuar Planit për Konsolidimin Financiar të Sektorit Publik Elektroenergjitik, dakordësuar me Bankën Botërore, ku OSHEE sh.a duhet të respektojë një nivel investimesh prej rreth 5 miliard lekë në vit, për tre vitet e ardhshme (ndërkohë që, investimet e OSHEE sh.a për vitin 2019 janë miratuar në nivelin 8.9 miliard LEK, të reja dhe në vazhdim).</w:t>
      </w:r>
    </w:p>
    <w:p w:rsidR="00EC407D" w:rsidRPr="00165E50" w:rsidRDefault="00EC407D" w:rsidP="00503465">
      <w:pPr>
        <w:numPr>
          <w:ilvl w:val="0"/>
          <w:numId w:val="11"/>
        </w:numPr>
        <w:spacing w:before="120" w:after="120" w:line="276" w:lineRule="auto"/>
        <w:jc w:val="both"/>
        <w:rPr>
          <w:rFonts w:asciiTheme="minorHAnsi" w:hAnsiTheme="minorHAnsi"/>
          <w:i/>
          <w:lang w:val="sq-AL"/>
        </w:rPr>
      </w:pPr>
      <w:r w:rsidRPr="00994356">
        <w:rPr>
          <w:rFonts w:asciiTheme="minorHAnsi" w:hAnsiTheme="minorHAnsi"/>
          <w:i/>
          <w:lang w:val="sq-AL"/>
        </w:rPr>
        <w:t>Marrjes së  masave të nevojshme për menaxhimin optimal të likuiditeteve dhe reduktimin e kostove operative të OSHEE sh.a.</w:t>
      </w:r>
    </w:p>
    <w:p w:rsidR="00EC407D" w:rsidRPr="00EC407D" w:rsidRDefault="00EC407D" w:rsidP="00176D77">
      <w:pPr>
        <w:spacing w:before="120" w:after="120" w:line="276" w:lineRule="auto"/>
        <w:jc w:val="both"/>
        <w:rPr>
          <w:rFonts w:asciiTheme="minorHAnsi" w:hAnsiTheme="minorHAnsi"/>
          <w:i/>
          <w:sz w:val="12"/>
          <w:lang w:val="sq-AL"/>
        </w:rPr>
      </w:pPr>
    </w:p>
    <w:p w:rsidR="00562780" w:rsidRPr="0065598A" w:rsidRDefault="00FE70F8" w:rsidP="002334F6">
      <w:pPr>
        <w:pStyle w:val="Heading2"/>
      </w:pPr>
      <w:bookmarkStart w:id="112" w:name="_Toc466295701"/>
      <w:bookmarkStart w:id="113" w:name="_Toc10033285"/>
      <w:bookmarkStart w:id="114" w:name="_Toc10721422"/>
      <w:bookmarkStart w:id="115" w:name="_Toc11134242"/>
      <w:bookmarkStart w:id="116" w:name="_Toc44403619"/>
      <w:r w:rsidRPr="0065598A">
        <w:t>V.2</w:t>
      </w:r>
      <w:r w:rsidRPr="0065598A">
        <w:tab/>
      </w:r>
      <w:r w:rsidR="00562780" w:rsidRPr="0065598A">
        <w:t>Detyrime</w:t>
      </w:r>
      <w:bookmarkEnd w:id="112"/>
      <w:r w:rsidR="00562780" w:rsidRPr="0065598A">
        <w:t>t e prapambetura (q</w:t>
      </w:r>
      <w:r w:rsidR="00B4575B" w:rsidRPr="0065598A">
        <w:t>e</w:t>
      </w:r>
      <w:r w:rsidR="00562780" w:rsidRPr="0065598A">
        <w:t>ndrore)</w:t>
      </w:r>
      <w:bookmarkEnd w:id="113"/>
      <w:bookmarkEnd w:id="114"/>
      <w:bookmarkEnd w:id="115"/>
      <w:bookmarkEnd w:id="116"/>
    </w:p>
    <w:p w:rsidR="00EC407D" w:rsidRPr="004E355C" w:rsidRDefault="00EC407D" w:rsidP="00EC407D">
      <w:pPr>
        <w:spacing w:before="240" w:line="276" w:lineRule="auto"/>
        <w:jc w:val="both"/>
        <w:rPr>
          <w:rFonts w:asciiTheme="minorHAnsi" w:eastAsia="MS Mincho" w:hAnsiTheme="minorHAnsi"/>
          <w:bCs/>
          <w:lang w:val="sq-AL" w:eastAsia="sq-AL"/>
        </w:rPr>
      </w:pPr>
      <w:bookmarkStart w:id="117" w:name="_Toc495672777"/>
      <w:bookmarkEnd w:id="117"/>
      <w:r w:rsidRPr="004E355C">
        <w:rPr>
          <w:rFonts w:asciiTheme="minorHAnsi" w:eastAsia="MS Mincho" w:hAnsiTheme="minorHAnsi"/>
          <w:lang w:val="sq-AL"/>
        </w:rPr>
        <w:t>Në zbatim të U</w:t>
      </w:r>
      <w:r w:rsidRPr="004E355C">
        <w:rPr>
          <w:rFonts w:asciiTheme="minorHAnsi" w:eastAsia="Calibri" w:hAnsiTheme="minorHAnsi"/>
          <w:lang w:val="sq-AL"/>
        </w:rPr>
        <w:t xml:space="preserve">dhëzimit Plotësues të Ministrit të Financave dhe Ekonomisë </w:t>
      </w:r>
      <w:r w:rsidRPr="004E355C">
        <w:rPr>
          <w:rFonts w:asciiTheme="minorHAnsi" w:eastAsia="MS Mincho" w:hAnsiTheme="minorHAnsi"/>
          <w:bCs/>
          <w:lang w:val="sq-AL" w:eastAsia="sq-AL"/>
        </w:rPr>
        <w:t>nr.</w:t>
      </w:r>
      <w:r>
        <w:rPr>
          <w:rFonts w:asciiTheme="minorHAnsi" w:eastAsia="MS Mincho" w:hAnsiTheme="minorHAnsi"/>
          <w:bCs/>
          <w:lang w:val="sq-AL" w:eastAsia="sq-AL"/>
        </w:rPr>
        <w:t>2</w:t>
      </w:r>
      <w:r w:rsidRPr="004E355C">
        <w:rPr>
          <w:rFonts w:asciiTheme="minorHAnsi" w:eastAsia="MS Mincho" w:hAnsiTheme="minorHAnsi"/>
          <w:bCs/>
          <w:lang w:val="sq-AL" w:eastAsia="sq-AL"/>
        </w:rPr>
        <w:t xml:space="preserve"> datë </w:t>
      </w:r>
      <w:r>
        <w:rPr>
          <w:rFonts w:asciiTheme="minorHAnsi" w:eastAsia="MS Mincho" w:hAnsiTheme="minorHAnsi"/>
          <w:bCs/>
          <w:lang w:val="sq-AL" w:eastAsia="sq-AL"/>
        </w:rPr>
        <w:t>20.01.2020</w:t>
      </w:r>
      <w:r w:rsidRPr="004E355C">
        <w:rPr>
          <w:rFonts w:asciiTheme="minorHAnsi" w:eastAsia="MS Mincho" w:hAnsiTheme="minorHAnsi"/>
          <w:bCs/>
          <w:lang w:val="sq-AL" w:eastAsia="sq-AL"/>
        </w:rPr>
        <w:t xml:space="preserve"> “</w:t>
      </w:r>
      <w:r w:rsidRPr="004E355C">
        <w:rPr>
          <w:rFonts w:asciiTheme="minorHAnsi" w:eastAsia="MS Mincho" w:hAnsiTheme="minorHAnsi"/>
          <w:bCs/>
          <w:i/>
          <w:lang w:val="sq-AL" w:eastAsia="sq-AL"/>
        </w:rPr>
        <w:t>Për zbatimin e Buxhetit të vitit 20</w:t>
      </w:r>
      <w:r>
        <w:rPr>
          <w:rFonts w:asciiTheme="minorHAnsi" w:eastAsia="MS Mincho" w:hAnsiTheme="minorHAnsi"/>
          <w:bCs/>
          <w:i/>
          <w:lang w:val="sq-AL" w:eastAsia="sq-AL"/>
        </w:rPr>
        <w:t>20</w:t>
      </w:r>
      <w:r w:rsidRPr="004E355C">
        <w:rPr>
          <w:rFonts w:asciiTheme="minorHAnsi" w:eastAsia="MS Mincho" w:hAnsiTheme="minorHAnsi"/>
          <w:bCs/>
          <w:lang w:val="sq-AL" w:eastAsia="sq-AL"/>
        </w:rPr>
        <w:t>”, MFE ka vijuar me monitorimin e stokut të detyrimeve të prapambetura, si në aspekt të krijimit të detyrimeve të reja</w:t>
      </w:r>
      <w:r>
        <w:rPr>
          <w:rFonts w:asciiTheme="minorHAnsi" w:eastAsia="MS Mincho" w:hAnsiTheme="minorHAnsi"/>
          <w:bCs/>
          <w:lang w:val="sq-AL" w:eastAsia="sq-AL"/>
        </w:rPr>
        <w:t xml:space="preserve"> dhe </w:t>
      </w:r>
      <w:r w:rsidRPr="004E355C">
        <w:rPr>
          <w:rFonts w:asciiTheme="minorHAnsi" w:eastAsia="MS Mincho" w:hAnsiTheme="minorHAnsi"/>
          <w:bCs/>
          <w:lang w:val="sq-AL" w:eastAsia="sq-AL"/>
        </w:rPr>
        <w:t xml:space="preserve">në aspekt të skedulimit të shlyerjes progresive të atyre ekzistuese. </w:t>
      </w:r>
      <w:r w:rsidRPr="004E355C">
        <w:rPr>
          <w:rFonts w:asciiTheme="minorHAnsi" w:hAnsiTheme="minorHAnsi"/>
          <w:lang w:val="sq-AL"/>
        </w:rPr>
        <w:t>Ky monitorim</w:t>
      </w:r>
      <w:r>
        <w:rPr>
          <w:rFonts w:asciiTheme="minorHAnsi" w:hAnsiTheme="minorHAnsi"/>
          <w:lang w:val="sq-AL"/>
        </w:rPr>
        <w:t xml:space="preserve"> kryhet mbi bazë tremujore</w:t>
      </w:r>
      <w:r w:rsidRPr="004E355C">
        <w:rPr>
          <w:rFonts w:asciiTheme="minorHAnsi" w:hAnsiTheme="minorHAnsi"/>
          <w:lang w:val="sq-AL"/>
        </w:rPr>
        <w:t xml:space="preserve"> dhe referuar të dhënave të raportuara nga ministritë e linjës për T1 të vitit 20</w:t>
      </w:r>
      <w:r>
        <w:rPr>
          <w:rFonts w:asciiTheme="minorHAnsi" w:hAnsiTheme="minorHAnsi"/>
          <w:lang w:val="sq-AL"/>
        </w:rPr>
        <w:t>20</w:t>
      </w:r>
      <w:r w:rsidRPr="004E355C">
        <w:rPr>
          <w:rFonts w:asciiTheme="minorHAnsi" w:hAnsiTheme="minorHAnsi"/>
          <w:lang w:val="sq-AL"/>
        </w:rPr>
        <w:t xml:space="preserve"> vihet re se:</w:t>
      </w:r>
    </w:p>
    <w:p w:rsidR="00EC407D" w:rsidRPr="004E355C" w:rsidRDefault="00EC407D" w:rsidP="00503465">
      <w:pPr>
        <w:pStyle w:val="ListParagraph"/>
        <w:numPr>
          <w:ilvl w:val="0"/>
          <w:numId w:val="10"/>
        </w:numPr>
        <w:spacing w:line="276" w:lineRule="auto"/>
        <w:ind w:left="450"/>
        <w:jc w:val="both"/>
        <w:rPr>
          <w:rFonts w:asciiTheme="minorHAnsi" w:hAnsiTheme="minorHAnsi"/>
          <w:lang w:val="sq-AL"/>
        </w:rPr>
      </w:pPr>
      <w:r w:rsidRPr="004E355C">
        <w:rPr>
          <w:rFonts w:asciiTheme="minorHAnsi" w:hAnsiTheme="minorHAnsi"/>
          <w:lang w:val="sq-AL"/>
        </w:rPr>
        <w:t>Stoku total kumulativ (të mbartura+të reja) i detyrimeve të prapambetura, të regjistruara deri në Mars 20</w:t>
      </w:r>
      <w:r>
        <w:rPr>
          <w:rFonts w:asciiTheme="minorHAnsi" w:hAnsiTheme="minorHAnsi"/>
          <w:lang w:val="sq-AL"/>
        </w:rPr>
        <w:t>20</w:t>
      </w:r>
      <w:r w:rsidRPr="004E355C">
        <w:rPr>
          <w:rFonts w:asciiTheme="minorHAnsi" w:hAnsiTheme="minorHAnsi"/>
          <w:lang w:val="sq-AL"/>
        </w:rPr>
        <w:t>,</w:t>
      </w:r>
      <w:r>
        <w:rPr>
          <w:rFonts w:asciiTheme="minorHAnsi" w:hAnsiTheme="minorHAnsi"/>
          <w:lang w:val="sq-AL"/>
        </w:rPr>
        <w:t xml:space="preserve">për njësitë e qeverisjes qendrore kap nivelin 6.53 </w:t>
      </w:r>
      <w:r w:rsidRPr="004E355C">
        <w:rPr>
          <w:rFonts w:asciiTheme="minorHAnsi" w:hAnsiTheme="minorHAnsi"/>
          <w:lang w:val="sq-AL"/>
        </w:rPr>
        <w:t xml:space="preserve">miliard lekë. </w:t>
      </w:r>
    </w:p>
    <w:p w:rsidR="00EC407D" w:rsidRPr="004E355C" w:rsidRDefault="00EC407D" w:rsidP="00503465">
      <w:pPr>
        <w:pStyle w:val="ListParagraph"/>
        <w:numPr>
          <w:ilvl w:val="0"/>
          <w:numId w:val="10"/>
        </w:numPr>
        <w:spacing w:line="276" w:lineRule="auto"/>
        <w:ind w:left="450"/>
        <w:jc w:val="both"/>
        <w:rPr>
          <w:rFonts w:asciiTheme="minorHAnsi" w:hAnsiTheme="minorHAnsi"/>
          <w:lang w:val="sq-AL"/>
        </w:rPr>
      </w:pPr>
      <w:r w:rsidRPr="004E355C">
        <w:rPr>
          <w:rFonts w:asciiTheme="minorHAnsi" w:hAnsiTheme="minorHAnsi"/>
          <w:lang w:val="sq-AL"/>
        </w:rPr>
        <w:t xml:space="preserve">Ky stok rezulton rreth </w:t>
      </w:r>
      <w:r>
        <w:rPr>
          <w:rFonts w:asciiTheme="minorHAnsi" w:hAnsiTheme="minorHAnsi"/>
          <w:lang w:val="sq-AL"/>
        </w:rPr>
        <w:t>20.4</w:t>
      </w:r>
      <w:r w:rsidRPr="004E355C">
        <w:rPr>
          <w:rFonts w:asciiTheme="minorHAnsi" w:hAnsiTheme="minorHAnsi"/>
          <w:lang w:val="sq-AL"/>
        </w:rPr>
        <w:t xml:space="preserve"> përqind më i </w:t>
      </w:r>
      <w:r>
        <w:rPr>
          <w:rFonts w:asciiTheme="minorHAnsi" w:hAnsiTheme="minorHAnsi"/>
          <w:lang w:val="sq-AL"/>
        </w:rPr>
        <w:t>ulët</w:t>
      </w:r>
      <w:r w:rsidRPr="004E355C">
        <w:rPr>
          <w:rFonts w:asciiTheme="minorHAnsi" w:hAnsiTheme="minorHAnsi"/>
          <w:lang w:val="sq-AL"/>
        </w:rPr>
        <w:t xml:space="preserve"> ose </w:t>
      </w:r>
      <w:r>
        <w:rPr>
          <w:rFonts w:asciiTheme="minorHAnsi" w:hAnsiTheme="minorHAnsi"/>
          <w:lang w:val="sq-AL"/>
        </w:rPr>
        <w:t>1.67 miliard</w:t>
      </w:r>
      <w:r w:rsidRPr="004E355C">
        <w:rPr>
          <w:rFonts w:asciiTheme="minorHAnsi" w:hAnsiTheme="minorHAnsi"/>
          <w:lang w:val="sq-AL"/>
        </w:rPr>
        <w:t xml:space="preserve"> lekë më </w:t>
      </w:r>
      <w:r>
        <w:rPr>
          <w:rFonts w:asciiTheme="minorHAnsi" w:hAnsiTheme="minorHAnsi"/>
          <w:lang w:val="sq-AL"/>
        </w:rPr>
        <w:t>pak</w:t>
      </w:r>
      <w:r w:rsidRPr="004E355C">
        <w:rPr>
          <w:rFonts w:asciiTheme="minorHAnsi" w:hAnsiTheme="minorHAnsi"/>
          <w:lang w:val="sq-AL"/>
        </w:rPr>
        <w:t>, se niveli i tij i monitoruar deri në muajin Dhjetor 201</w:t>
      </w:r>
      <w:r>
        <w:rPr>
          <w:rFonts w:asciiTheme="minorHAnsi" w:hAnsiTheme="minorHAnsi"/>
          <w:lang w:val="sq-AL"/>
        </w:rPr>
        <w:t>9</w:t>
      </w:r>
      <w:r w:rsidRPr="004E355C">
        <w:rPr>
          <w:rFonts w:asciiTheme="minorHAnsi" w:hAnsiTheme="minorHAnsi"/>
          <w:lang w:val="sq-AL"/>
        </w:rPr>
        <w:t xml:space="preserve">, që kapte vlerën </w:t>
      </w:r>
      <w:r>
        <w:rPr>
          <w:rFonts w:asciiTheme="minorHAnsi" w:hAnsiTheme="minorHAnsi"/>
          <w:lang w:val="sq-AL"/>
        </w:rPr>
        <w:t>8</w:t>
      </w:r>
      <w:r w:rsidRPr="004E355C">
        <w:rPr>
          <w:rFonts w:asciiTheme="minorHAnsi" w:hAnsiTheme="minorHAnsi"/>
          <w:lang w:val="sq-AL"/>
        </w:rPr>
        <w:t>.</w:t>
      </w:r>
      <w:r>
        <w:rPr>
          <w:rFonts w:asciiTheme="minorHAnsi" w:hAnsiTheme="minorHAnsi"/>
          <w:lang w:val="sq-AL"/>
        </w:rPr>
        <w:t>2</w:t>
      </w:r>
      <w:r w:rsidRPr="004E355C">
        <w:rPr>
          <w:rFonts w:asciiTheme="minorHAnsi" w:hAnsiTheme="minorHAnsi"/>
          <w:lang w:val="sq-AL"/>
        </w:rPr>
        <w:t xml:space="preserve"> miliard lekë. </w:t>
      </w:r>
    </w:p>
    <w:p w:rsidR="00EC407D" w:rsidRPr="004E355C" w:rsidRDefault="00EC407D" w:rsidP="00503465">
      <w:pPr>
        <w:pStyle w:val="ListParagraph"/>
        <w:numPr>
          <w:ilvl w:val="0"/>
          <w:numId w:val="10"/>
        </w:numPr>
        <w:spacing w:before="100" w:beforeAutospacing="1" w:line="276" w:lineRule="auto"/>
        <w:ind w:left="450"/>
        <w:jc w:val="both"/>
        <w:rPr>
          <w:rFonts w:asciiTheme="minorHAnsi" w:hAnsiTheme="minorHAnsi"/>
          <w:lang w:val="sq-AL"/>
        </w:rPr>
      </w:pPr>
      <w:r w:rsidRPr="004E355C">
        <w:rPr>
          <w:rFonts w:asciiTheme="minorHAnsi" w:hAnsiTheme="minorHAnsi"/>
          <w:lang w:val="sq-AL"/>
        </w:rPr>
        <w:t xml:space="preserve">Rreth </w:t>
      </w:r>
      <w:r>
        <w:rPr>
          <w:rFonts w:asciiTheme="minorHAnsi" w:hAnsiTheme="minorHAnsi"/>
          <w:lang w:val="sq-AL"/>
        </w:rPr>
        <w:t>61.6</w:t>
      </w:r>
      <w:r w:rsidRPr="004E355C">
        <w:rPr>
          <w:rFonts w:asciiTheme="minorHAnsi" w:hAnsiTheme="minorHAnsi"/>
          <w:lang w:val="sq-AL"/>
        </w:rPr>
        <w:t xml:space="preserve"> përqind e stokut të detyrimeve ose </w:t>
      </w:r>
      <w:r>
        <w:rPr>
          <w:rFonts w:asciiTheme="minorHAnsi" w:hAnsiTheme="minorHAnsi"/>
          <w:lang w:val="sq-AL"/>
        </w:rPr>
        <w:t>4.03</w:t>
      </w:r>
      <w:r w:rsidRPr="004E355C">
        <w:rPr>
          <w:rFonts w:asciiTheme="minorHAnsi" w:hAnsiTheme="minorHAnsi"/>
          <w:lang w:val="sq-AL"/>
        </w:rPr>
        <w:t xml:space="preserve"> miliard lekë janë detyrime që i referohen vendimeve gjyqësore.</w:t>
      </w:r>
    </w:p>
    <w:p w:rsidR="00EC407D" w:rsidRPr="00617612" w:rsidRDefault="00EC407D" w:rsidP="00503465">
      <w:pPr>
        <w:pStyle w:val="ListParagraph"/>
        <w:numPr>
          <w:ilvl w:val="0"/>
          <w:numId w:val="10"/>
        </w:numPr>
        <w:spacing w:line="276" w:lineRule="auto"/>
        <w:ind w:left="450"/>
        <w:jc w:val="both"/>
        <w:rPr>
          <w:rFonts w:asciiTheme="minorHAnsi" w:hAnsiTheme="minorHAnsi"/>
          <w:i/>
          <w:lang w:val="sq-AL"/>
        </w:rPr>
      </w:pPr>
      <w:r w:rsidRPr="004E355C">
        <w:rPr>
          <w:rFonts w:asciiTheme="minorHAnsi" w:hAnsiTheme="minorHAnsi"/>
          <w:lang w:val="sq-AL"/>
        </w:rPr>
        <w:t>Pjesën më të madhe të stokut të detyrimeve e ka Ministria e Infrastr</w:t>
      </w:r>
      <w:r>
        <w:rPr>
          <w:rFonts w:asciiTheme="minorHAnsi" w:hAnsiTheme="minorHAnsi"/>
          <w:lang w:val="sq-AL"/>
        </w:rPr>
        <w:t>ukturës dhe Energjisë me rreth 1.7</w:t>
      </w:r>
      <w:r w:rsidRPr="004E355C">
        <w:rPr>
          <w:rFonts w:asciiTheme="minorHAnsi" w:hAnsiTheme="minorHAnsi"/>
          <w:lang w:val="sq-AL"/>
        </w:rPr>
        <w:t xml:space="preserve"> miliard lekë ose </w:t>
      </w:r>
      <w:r>
        <w:rPr>
          <w:rFonts w:asciiTheme="minorHAnsi" w:hAnsiTheme="minorHAnsi"/>
          <w:lang w:val="sq-AL"/>
        </w:rPr>
        <w:t>26.2</w:t>
      </w:r>
      <w:r w:rsidRPr="004E355C">
        <w:rPr>
          <w:rFonts w:asciiTheme="minorHAnsi" w:hAnsiTheme="minorHAnsi"/>
          <w:lang w:val="sq-AL"/>
        </w:rPr>
        <w:t xml:space="preserve"> përqind e stokut total prej 6.</w:t>
      </w:r>
      <w:r>
        <w:rPr>
          <w:rFonts w:asciiTheme="minorHAnsi" w:hAnsiTheme="minorHAnsi"/>
          <w:lang w:val="sq-AL"/>
        </w:rPr>
        <w:t>53</w:t>
      </w:r>
      <w:r w:rsidRPr="004E355C">
        <w:rPr>
          <w:rFonts w:asciiTheme="minorHAnsi" w:hAnsiTheme="minorHAnsi"/>
          <w:lang w:val="sq-AL"/>
        </w:rPr>
        <w:t>miliard lekë.</w:t>
      </w:r>
    </w:p>
    <w:p w:rsidR="00B8655D" w:rsidRDefault="00B8655D" w:rsidP="004872EF">
      <w:pPr>
        <w:keepNext/>
        <w:spacing w:line="276" w:lineRule="auto"/>
      </w:pPr>
    </w:p>
    <w:p w:rsidR="004872EF" w:rsidRDefault="00342E35" w:rsidP="004872EF">
      <w:pPr>
        <w:pStyle w:val="Caption"/>
        <w:spacing w:after="0"/>
        <w:jc w:val="center"/>
        <w:rPr>
          <w:rFonts w:asciiTheme="minorHAnsi" w:hAnsiTheme="minorHAnsi"/>
          <w:b w:val="0"/>
          <w:bCs w:val="0"/>
          <w:i/>
          <w:noProof/>
          <w:color w:val="auto"/>
          <w:sz w:val="24"/>
          <w:szCs w:val="24"/>
        </w:rPr>
      </w:pPr>
      <w:bookmarkStart w:id="118" w:name="_Toc44404417"/>
      <w:r w:rsidRPr="00617612">
        <w:rPr>
          <w:rFonts w:asciiTheme="minorHAnsi" w:hAnsiTheme="minorHAnsi"/>
          <w:i/>
          <w:noProof/>
        </w:rPr>
        <w:drawing>
          <wp:anchor distT="0" distB="0" distL="114300" distR="114300" simplePos="0" relativeHeight="251698176" behindDoc="0" locked="0" layoutInCell="1" allowOverlap="1" wp14:anchorId="750152AC" wp14:editId="4ECD78B6">
            <wp:simplePos x="0" y="0"/>
            <wp:positionH relativeFrom="column">
              <wp:posOffset>-49530</wp:posOffset>
            </wp:positionH>
            <wp:positionV relativeFrom="paragraph">
              <wp:posOffset>224790</wp:posOffset>
            </wp:positionV>
            <wp:extent cx="6115050" cy="2567940"/>
            <wp:effectExtent l="0" t="0" r="0" b="3810"/>
            <wp:wrapSquare wrapText="bothSides"/>
            <wp:docPr id="302" name="Picture 3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6115050" cy="2567940"/>
                    </a:xfrm>
                    <a:prstGeom prst="rect">
                      <a:avLst/>
                    </a:prstGeom>
                    <a:noFill/>
                  </pic:spPr>
                </pic:pic>
              </a:graphicData>
            </a:graphic>
            <wp14:sizeRelH relativeFrom="page">
              <wp14:pctWidth>0</wp14:pctWidth>
            </wp14:sizeRelH>
            <wp14:sizeRelV relativeFrom="page">
              <wp14:pctHeight>0</wp14:pctHeight>
            </wp14:sizeRelV>
          </wp:anchor>
        </w:drawing>
      </w:r>
      <w:r w:rsidR="00B8655D" w:rsidRPr="004872EF">
        <w:rPr>
          <w:rFonts w:asciiTheme="minorHAnsi" w:hAnsiTheme="minorHAnsi"/>
          <w:b w:val="0"/>
          <w:bCs w:val="0"/>
          <w:i/>
          <w:noProof/>
          <w:color w:val="auto"/>
          <w:sz w:val="24"/>
          <w:szCs w:val="24"/>
        </w:rPr>
        <w:t xml:space="preserve">Tabela </w:t>
      </w:r>
      <w:r w:rsidR="00B8655D" w:rsidRPr="004872EF">
        <w:rPr>
          <w:rFonts w:asciiTheme="minorHAnsi" w:hAnsiTheme="minorHAnsi"/>
          <w:b w:val="0"/>
          <w:bCs w:val="0"/>
          <w:i/>
          <w:noProof/>
          <w:color w:val="auto"/>
          <w:sz w:val="24"/>
          <w:szCs w:val="24"/>
        </w:rPr>
        <w:fldChar w:fldCharType="begin"/>
      </w:r>
      <w:r w:rsidR="00B8655D" w:rsidRPr="004872EF">
        <w:rPr>
          <w:rFonts w:asciiTheme="minorHAnsi" w:hAnsiTheme="minorHAnsi"/>
          <w:b w:val="0"/>
          <w:bCs w:val="0"/>
          <w:i/>
          <w:noProof/>
          <w:color w:val="auto"/>
          <w:sz w:val="24"/>
          <w:szCs w:val="24"/>
        </w:rPr>
        <w:instrText xml:space="preserve"> SEQ Tabela \* ARABIC </w:instrText>
      </w:r>
      <w:r w:rsidR="00B8655D" w:rsidRPr="004872EF">
        <w:rPr>
          <w:rFonts w:asciiTheme="minorHAnsi" w:hAnsiTheme="minorHAnsi"/>
          <w:b w:val="0"/>
          <w:bCs w:val="0"/>
          <w:i/>
          <w:noProof/>
          <w:color w:val="auto"/>
          <w:sz w:val="24"/>
          <w:szCs w:val="24"/>
        </w:rPr>
        <w:fldChar w:fldCharType="separate"/>
      </w:r>
      <w:r w:rsidR="00C342E2">
        <w:rPr>
          <w:rFonts w:asciiTheme="minorHAnsi" w:hAnsiTheme="minorHAnsi"/>
          <w:b w:val="0"/>
          <w:bCs w:val="0"/>
          <w:i/>
          <w:noProof/>
          <w:color w:val="auto"/>
          <w:sz w:val="24"/>
          <w:szCs w:val="24"/>
        </w:rPr>
        <w:t>16</w:t>
      </w:r>
      <w:r w:rsidR="00B8655D" w:rsidRPr="004872EF">
        <w:rPr>
          <w:rFonts w:asciiTheme="minorHAnsi" w:hAnsiTheme="minorHAnsi"/>
          <w:b w:val="0"/>
          <w:bCs w:val="0"/>
          <w:i/>
          <w:noProof/>
          <w:color w:val="auto"/>
          <w:sz w:val="24"/>
          <w:szCs w:val="24"/>
        </w:rPr>
        <w:fldChar w:fldCharType="end"/>
      </w:r>
      <w:r w:rsidR="00B8655D" w:rsidRPr="004872EF">
        <w:rPr>
          <w:rFonts w:asciiTheme="minorHAnsi" w:hAnsiTheme="minorHAnsi"/>
          <w:b w:val="0"/>
          <w:bCs w:val="0"/>
          <w:i/>
          <w:noProof/>
          <w:color w:val="auto"/>
          <w:sz w:val="24"/>
          <w:szCs w:val="24"/>
        </w:rPr>
        <w:t>: Detyrimet e prapambetura të njësive të qeverisjes qëndrore deri në Mars 2020.</w:t>
      </w:r>
      <w:bookmarkStart w:id="119" w:name="_Toc11141714"/>
      <w:bookmarkEnd w:id="118"/>
    </w:p>
    <w:p w:rsidR="004872EF" w:rsidRDefault="004872EF" w:rsidP="004872EF">
      <w:pPr>
        <w:pStyle w:val="Caption"/>
        <w:spacing w:after="0"/>
        <w:jc w:val="center"/>
        <w:rPr>
          <w:rFonts w:asciiTheme="minorHAnsi" w:hAnsiTheme="minorHAnsi"/>
          <w:b w:val="0"/>
          <w:bCs w:val="0"/>
          <w:i/>
          <w:noProof/>
          <w:color w:val="auto"/>
          <w:sz w:val="24"/>
          <w:szCs w:val="24"/>
        </w:rPr>
      </w:pPr>
    </w:p>
    <w:p w:rsidR="00342E35" w:rsidRDefault="00342E35" w:rsidP="004872EF">
      <w:pPr>
        <w:pStyle w:val="Caption"/>
        <w:spacing w:after="0"/>
        <w:jc w:val="center"/>
        <w:rPr>
          <w:rFonts w:asciiTheme="minorHAnsi" w:hAnsiTheme="minorHAnsi"/>
          <w:b w:val="0"/>
          <w:bCs w:val="0"/>
          <w:i/>
          <w:color w:val="auto"/>
          <w:sz w:val="24"/>
          <w:szCs w:val="24"/>
          <w:lang w:val="sq-AL"/>
        </w:rPr>
      </w:pPr>
      <w:bookmarkStart w:id="120" w:name="_Toc44404484"/>
    </w:p>
    <w:p w:rsidR="00342E35" w:rsidRDefault="00342E35" w:rsidP="004872EF">
      <w:pPr>
        <w:pStyle w:val="Caption"/>
        <w:spacing w:after="0"/>
        <w:jc w:val="center"/>
        <w:rPr>
          <w:rFonts w:asciiTheme="minorHAnsi" w:hAnsiTheme="minorHAnsi"/>
          <w:b w:val="0"/>
          <w:bCs w:val="0"/>
          <w:i/>
          <w:color w:val="auto"/>
          <w:sz w:val="24"/>
          <w:szCs w:val="24"/>
          <w:lang w:val="sq-AL"/>
        </w:rPr>
      </w:pPr>
    </w:p>
    <w:p w:rsidR="00562780" w:rsidRPr="0065598A" w:rsidRDefault="00E97053" w:rsidP="004872EF">
      <w:pPr>
        <w:pStyle w:val="Caption"/>
        <w:spacing w:after="0"/>
        <w:jc w:val="center"/>
        <w:rPr>
          <w:rFonts w:asciiTheme="minorHAnsi" w:hAnsiTheme="minorHAnsi"/>
          <w:b w:val="0"/>
          <w:bCs w:val="0"/>
          <w:i/>
          <w:color w:val="auto"/>
          <w:sz w:val="24"/>
          <w:szCs w:val="24"/>
          <w:lang w:val="sq-AL"/>
        </w:rPr>
      </w:pPr>
      <w:r w:rsidRPr="008F207A">
        <w:rPr>
          <w:rFonts w:asciiTheme="minorHAnsi" w:hAnsiTheme="minorHAnsi"/>
          <w:b w:val="0"/>
          <w:bCs w:val="0"/>
          <w:i/>
          <w:color w:val="auto"/>
          <w:sz w:val="24"/>
          <w:szCs w:val="24"/>
          <w:lang w:val="sq-AL"/>
        </w:rPr>
        <w:lastRenderedPageBreak/>
        <w:t xml:space="preserve">Grafiku </w:t>
      </w:r>
      <w:r w:rsidRPr="008F207A">
        <w:rPr>
          <w:rFonts w:asciiTheme="minorHAnsi" w:hAnsiTheme="minorHAnsi"/>
          <w:b w:val="0"/>
          <w:bCs w:val="0"/>
          <w:i/>
          <w:color w:val="auto"/>
          <w:sz w:val="24"/>
          <w:szCs w:val="24"/>
          <w:lang w:val="sq-AL"/>
        </w:rPr>
        <w:fldChar w:fldCharType="begin"/>
      </w:r>
      <w:r w:rsidRPr="008F207A">
        <w:rPr>
          <w:rFonts w:asciiTheme="minorHAnsi" w:hAnsiTheme="minorHAnsi"/>
          <w:b w:val="0"/>
          <w:bCs w:val="0"/>
          <w:i/>
          <w:color w:val="auto"/>
          <w:sz w:val="24"/>
          <w:szCs w:val="24"/>
          <w:lang w:val="sq-AL"/>
        </w:rPr>
        <w:instrText xml:space="preserve"> SEQ Grafiku \* ARABIC </w:instrText>
      </w:r>
      <w:r w:rsidRPr="008F207A">
        <w:rPr>
          <w:rFonts w:asciiTheme="minorHAnsi" w:hAnsiTheme="minorHAnsi"/>
          <w:b w:val="0"/>
          <w:bCs w:val="0"/>
          <w:i/>
          <w:color w:val="auto"/>
          <w:sz w:val="24"/>
          <w:szCs w:val="24"/>
          <w:lang w:val="sq-AL"/>
        </w:rPr>
        <w:fldChar w:fldCharType="separate"/>
      </w:r>
      <w:r w:rsidR="00C342E2">
        <w:rPr>
          <w:rFonts w:asciiTheme="minorHAnsi" w:hAnsiTheme="minorHAnsi"/>
          <w:b w:val="0"/>
          <w:bCs w:val="0"/>
          <w:i/>
          <w:noProof/>
          <w:color w:val="auto"/>
          <w:sz w:val="24"/>
          <w:szCs w:val="24"/>
          <w:lang w:val="sq-AL"/>
        </w:rPr>
        <w:t>44</w:t>
      </w:r>
      <w:r w:rsidRPr="008F207A">
        <w:rPr>
          <w:rFonts w:asciiTheme="minorHAnsi" w:hAnsiTheme="minorHAnsi"/>
          <w:b w:val="0"/>
          <w:bCs w:val="0"/>
          <w:i/>
          <w:color w:val="auto"/>
          <w:sz w:val="24"/>
          <w:szCs w:val="24"/>
          <w:lang w:val="sq-AL"/>
        </w:rPr>
        <w:fldChar w:fldCharType="end"/>
      </w:r>
      <w:r w:rsidR="00176D77" w:rsidRPr="008F207A">
        <w:rPr>
          <w:rFonts w:asciiTheme="minorHAnsi" w:hAnsiTheme="minorHAnsi"/>
          <w:b w:val="0"/>
          <w:bCs w:val="0"/>
          <w:i/>
          <w:color w:val="auto"/>
          <w:sz w:val="24"/>
          <w:szCs w:val="24"/>
          <w:lang w:val="sq-AL"/>
        </w:rPr>
        <w:t xml:space="preserve">: </w:t>
      </w:r>
      <w:r w:rsidR="00562780" w:rsidRPr="008F207A">
        <w:rPr>
          <w:rFonts w:asciiTheme="minorHAnsi" w:hAnsiTheme="minorHAnsi"/>
          <w:b w:val="0"/>
          <w:bCs w:val="0"/>
          <w:i/>
          <w:color w:val="auto"/>
          <w:sz w:val="24"/>
          <w:szCs w:val="24"/>
          <w:lang w:val="sq-AL"/>
        </w:rPr>
        <w:t>Stoku i detyrimeve të prapambetura qendrore 201</w:t>
      </w:r>
      <w:r w:rsidR="00771510" w:rsidRPr="008F207A">
        <w:rPr>
          <w:rFonts w:asciiTheme="minorHAnsi" w:hAnsiTheme="minorHAnsi"/>
          <w:b w:val="0"/>
          <w:bCs w:val="0"/>
          <w:i/>
          <w:color w:val="auto"/>
          <w:sz w:val="24"/>
          <w:szCs w:val="24"/>
          <w:lang w:val="sq-AL"/>
        </w:rPr>
        <w:t>9</w:t>
      </w:r>
      <w:r w:rsidRPr="008F207A">
        <w:rPr>
          <w:rFonts w:asciiTheme="minorHAnsi" w:hAnsiTheme="minorHAnsi"/>
          <w:b w:val="0"/>
          <w:bCs w:val="0"/>
          <w:i/>
          <w:color w:val="auto"/>
          <w:sz w:val="24"/>
          <w:szCs w:val="24"/>
          <w:lang w:val="sq-AL"/>
        </w:rPr>
        <w:t xml:space="preserve"> </w:t>
      </w:r>
      <w:r w:rsidR="00562780" w:rsidRPr="008F207A">
        <w:rPr>
          <w:rFonts w:asciiTheme="minorHAnsi" w:hAnsiTheme="minorHAnsi"/>
          <w:b w:val="0"/>
          <w:bCs w:val="0"/>
          <w:i/>
          <w:color w:val="auto"/>
          <w:sz w:val="24"/>
          <w:szCs w:val="24"/>
          <w:lang w:val="sq-AL"/>
        </w:rPr>
        <w:t>-</w:t>
      </w:r>
      <w:r w:rsidRPr="008F207A">
        <w:rPr>
          <w:rFonts w:asciiTheme="minorHAnsi" w:hAnsiTheme="minorHAnsi"/>
          <w:b w:val="0"/>
          <w:bCs w:val="0"/>
          <w:i/>
          <w:color w:val="auto"/>
          <w:sz w:val="24"/>
          <w:szCs w:val="24"/>
          <w:lang w:val="sq-AL"/>
        </w:rPr>
        <w:t xml:space="preserve"> Mars </w:t>
      </w:r>
      <w:r w:rsidR="00562780" w:rsidRPr="008F207A">
        <w:rPr>
          <w:rFonts w:asciiTheme="minorHAnsi" w:hAnsiTheme="minorHAnsi"/>
          <w:b w:val="0"/>
          <w:bCs w:val="0"/>
          <w:i/>
          <w:color w:val="auto"/>
          <w:sz w:val="24"/>
          <w:szCs w:val="24"/>
          <w:lang w:val="sq-AL"/>
        </w:rPr>
        <w:t>20</w:t>
      </w:r>
      <w:r w:rsidR="00771510" w:rsidRPr="008F207A">
        <w:rPr>
          <w:rFonts w:asciiTheme="minorHAnsi" w:hAnsiTheme="minorHAnsi"/>
          <w:b w:val="0"/>
          <w:bCs w:val="0"/>
          <w:i/>
          <w:color w:val="auto"/>
          <w:sz w:val="24"/>
          <w:szCs w:val="24"/>
          <w:lang w:val="sq-AL"/>
        </w:rPr>
        <w:t>20</w:t>
      </w:r>
      <w:r w:rsidR="00562780" w:rsidRPr="008F207A">
        <w:rPr>
          <w:rFonts w:asciiTheme="minorHAnsi" w:hAnsiTheme="minorHAnsi"/>
          <w:b w:val="0"/>
          <w:bCs w:val="0"/>
          <w:i/>
          <w:color w:val="auto"/>
          <w:sz w:val="24"/>
          <w:szCs w:val="24"/>
          <w:lang w:val="sq-AL"/>
        </w:rPr>
        <w:t xml:space="preserve"> </w:t>
      </w:r>
      <w:r w:rsidRPr="008F207A">
        <w:rPr>
          <w:rFonts w:asciiTheme="minorHAnsi" w:hAnsiTheme="minorHAnsi"/>
          <w:b w:val="0"/>
          <w:bCs w:val="0"/>
          <w:i/>
          <w:color w:val="auto"/>
          <w:sz w:val="24"/>
          <w:szCs w:val="24"/>
          <w:lang w:val="sq-AL"/>
        </w:rPr>
        <w:t>(</w:t>
      </w:r>
      <w:r w:rsidR="00562780" w:rsidRPr="008F207A">
        <w:rPr>
          <w:rFonts w:asciiTheme="minorHAnsi" w:hAnsiTheme="minorHAnsi"/>
          <w:b w:val="0"/>
          <w:bCs w:val="0"/>
          <w:i/>
          <w:color w:val="auto"/>
          <w:sz w:val="24"/>
          <w:szCs w:val="24"/>
          <w:lang w:val="sq-AL"/>
        </w:rPr>
        <w:t>në milion lekë</w:t>
      </w:r>
      <w:bookmarkEnd w:id="119"/>
      <w:r w:rsidRPr="008F207A">
        <w:rPr>
          <w:rFonts w:asciiTheme="minorHAnsi" w:hAnsiTheme="minorHAnsi"/>
          <w:b w:val="0"/>
          <w:bCs w:val="0"/>
          <w:i/>
          <w:color w:val="auto"/>
          <w:sz w:val="24"/>
          <w:szCs w:val="24"/>
          <w:lang w:val="sq-AL"/>
        </w:rPr>
        <w:t>)</w:t>
      </w:r>
      <w:bookmarkEnd w:id="120"/>
    </w:p>
    <w:p w:rsidR="00562780" w:rsidRPr="0065598A" w:rsidRDefault="00771510" w:rsidP="00562780">
      <w:pPr>
        <w:spacing w:line="276" w:lineRule="auto"/>
        <w:jc w:val="center"/>
        <w:rPr>
          <w:rFonts w:asciiTheme="minorHAnsi" w:eastAsia="Calibri" w:hAnsiTheme="minorHAnsi"/>
          <w:b/>
          <w:i/>
          <w:lang w:val="sq-AL"/>
        </w:rPr>
      </w:pPr>
      <w:r w:rsidRPr="006D7D46">
        <w:rPr>
          <w:rFonts w:ascii="Calibri" w:eastAsia="Calibri" w:hAnsi="Calibri"/>
          <w:b/>
          <w:i/>
          <w:noProof/>
        </w:rPr>
        <w:drawing>
          <wp:inline distT="0" distB="0" distL="0" distR="0" wp14:anchorId="407B7C8F" wp14:editId="5C665C54">
            <wp:extent cx="6114124" cy="1965960"/>
            <wp:effectExtent l="0" t="0" r="1270" b="0"/>
            <wp:docPr id="317" name="Picture 3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6116770" cy="1966811"/>
                    </a:xfrm>
                    <a:prstGeom prst="rect">
                      <a:avLst/>
                    </a:prstGeom>
                    <a:noFill/>
                    <a:ln>
                      <a:noFill/>
                    </a:ln>
                  </pic:spPr>
                </pic:pic>
              </a:graphicData>
            </a:graphic>
          </wp:inline>
        </w:drawing>
      </w:r>
    </w:p>
    <w:p w:rsidR="00562780" w:rsidRPr="0064168E" w:rsidRDefault="00C23C7E" w:rsidP="00562780">
      <w:pPr>
        <w:spacing w:line="276" w:lineRule="auto"/>
        <w:ind w:firstLine="720"/>
        <w:rPr>
          <w:rFonts w:asciiTheme="minorHAnsi" w:eastAsia="SimSun" w:hAnsiTheme="minorHAnsi"/>
          <w:i/>
          <w:sz w:val="20"/>
          <w:szCs w:val="20"/>
          <w:lang w:val="sq-AL"/>
        </w:rPr>
      </w:pPr>
      <w:r w:rsidRPr="0064168E">
        <w:rPr>
          <w:rFonts w:asciiTheme="minorHAnsi" w:eastAsia="SimSun" w:hAnsiTheme="minorHAnsi"/>
          <w:i/>
          <w:sz w:val="20"/>
          <w:szCs w:val="20"/>
          <w:lang w:val="sq-AL"/>
        </w:rPr>
        <w:t>Burimi: Ministria e Financave dhe Ekonomisë (2020)</w:t>
      </w:r>
    </w:p>
    <w:p w:rsidR="00771510" w:rsidRDefault="00771510" w:rsidP="001E6A9B">
      <w:pPr>
        <w:spacing w:line="276" w:lineRule="auto"/>
        <w:contextualSpacing/>
        <w:rPr>
          <w:rFonts w:asciiTheme="minorHAnsi" w:hAnsiTheme="minorHAnsi"/>
          <w:bCs/>
          <w:i/>
          <w:highlight w:val="green"/>
          <w:lang w:val="sq-AL"/>
        </w:rPr>
      </w:pPr>
    </w:p>
    <w:p w:rsidR="00562780" w:rsidRPr="0064168E" w:rsidRDefault="001E6A9B" w:rsidP="001E6A9B">
      <w:pPr>
        <w:spacing w:line="276" w:lineRule="auto"/>
        <w:contextualSpacing/>
        <w:rPr>
          <w:rFonts w:asciiTheme="minorHAnsi" w:hAnsiTheme="minorHAnsi"/>
          <w:i/>
          <w:color w:val="000000"/>
          <w:lang w:val="sq-AL"/>
        </w:rPr>
      </w:pPr>
      <w:bookmarkStart w:id="121" w:name="_Toc44404418"/>
      <w:r w:rsidRPr="0064168E">
        <w:rPr>
          <w:rFonts w:asciiTheme="minorHAnsi" w:hAnsiTheme="minorHAnsi"/>
          <w:bCs/>
          <w:i/>
          <w:lang w:val="sq-AL"/>
        </w:rPr>
        <w:t xml:space="preserve">Tabela </w:t>
      </w:r>
      <w:r w:rsidRPr="0064168E">
        <w:rPr>
          <w:rFonts w:asciiTheme="minorHAnsi" w:hAnsiTheme="minorHAnsi"/>
          <w:bCs/>
          <w:i/>
          <w:lang w:val="sq-AL"/>
        </w:rPr>
        <w:fldChar w:fldCharType="begin"/>
      </w:r>
      <w:r w:rsidRPr="0064168E">
        <w:rPr>
          <w:rFonts w:asciiTheme="minorHAnsi" w:hAnsiTheme="minorHAnsi"/>
          <w:bCs/>
          <w:i/>
          <w:lang w:val="sq-AL"/>
        </w:rPr>
        <w:instrText xml:space="preserve"> SEQ Tabela \* ARABIC </w:instrText>
      </w:r>
      <w:r w:rsidRPr="0064168E">
        <w:rPr>
          <w:rFonts w:asciiTheme="minorHAnsi" w:hAnsiTheme="minorHAnsi"/>
          <w:bCs/>
          <w:i/>
          <w:lang w:val="sq-AL"/>
        </w:rPr>
        <w:fldChar w:fldCharType="separate"/>
      </w:r>
      <w:r w:rsidR="00C342E2">
        <w:rPr>
          <w:rFonts w:asciiTheme="minorHAnsi" w:hAnsiTheme="minorHAnsi"/>
          <w:bCs/>
          <w:i/>
          <w:noProof/>
          <w:lang w:val="sq-AL"/>
        </w:rPr>
        <w:t>17</w:t>
      </w:r>
      <w:r w:rsidRPr="0064168E">
        <w:rPr>
          <w:rFonts w:asciiTheme="minorHAnsi" w:hAnsiTheme="minorHAnsi"/>
          <w:bCs/>
          <w:i/>
          <w:lang w:val="sq-AL"/>
        </w:rPr>
        <w:fldChar w:fldCharType="end"/>
      </w:r>
      <w:r w:rsidRPr="0064168E">
        <w:rPr>
          <w:rFonts w:asciiTheme="minorHAnsi" w:hAnsiTheme="minorHAnsi"/>
          <w:bCs/>
          <w:i/>
          <w:lang w:val="sq-AL"/>
        </w:rPr>
        <w:t>:</w:t>
      </w:r>
      <w:r w:rsidR="00176D77" w:rsidRPr="0064168E">
        <w:rPr>
          <w:rFonts w:asciiTheme="minorHAnsi" w:hAnsiTheme="minorHAnsi"/>
          <w:bCs/>
          <w:i/>
          <w:lang w:val="sq-AL"/>
        </w:rPr>
        <w:t xml:space="preserve"> </w:t>
      </w:r>
      <w:r w:rsidRPr="0064168E">
        <w:rPr>
          <w:rFonts w:asciiTheme="minorHAnsi" w:hAnsiTheme="minorHAnsi"/>
          <w:i/>
          <w:lang w:val="sq-AL"/>
        </w:rPr>
        <w:t>Detyrimet e prapambetura të MIE, sipas zërave kryesorë</w:t>
      </w:r>
      <w:r w:rsidRPr="0064168E">
        <w:rPr>
          <w:rFonts w:asciiTheme="minorHAnsi" w:hAnsiTheme="minorHAnsi"/>
          <w:i/>
          <w:color w:val="000000"/>
          <w:lang w:val="sq-AL"/>
        </w:rPr>
        <w:t xml:space="preserve"> (në milion</w:t>
      </w:r>
      <w:r w:rsidR="00C65B3F" w:rsidRPr="0064168E">
        <w:rPr>
          <w:rFonts w:asciiTheme="minorHAnsi" w:hAnsiTheme="minorHAnsi"/>
          <w:i/>
          <w:color w:val="000000"/>
          <w:lang w:val="sq-AL"/>
        </w:rPr>
        <w:t>ë</w:t>
      </w:r>
      <w:r w:rsidRPr="0064168E">
        <w:rPr>
          <w:rFonts w:asciiTheme="minorHAnsi" w:hAnsiTheme="minorHAnsi"/>
          <w:i/>
          <w:color w:val="000000"/>
          <w:lang w:val="sq-AL"/>
        </w:rPr>
        <w:t xml:space="preserve"> Lekë)</w:t>
      </w:r>
      <w:bookmarkEnd w:id="121"/>
    </w:p>
    <w:tbl>
      <w:tblPr>
        <w:tblW w:w="9381" w:type="dxa"/>
        <w:jc w:val="center"/>
        <w:tblBorders>
          <w:top w:val="single" w:sz="8" w:space="0" w:color="78C0D4"/>
          <w:left w:val="single" w:sz="8" w:space="0" w:color="78C0D4"/>
          <w:bottom w:val="single" w:sz="8" w:space="0" w:color="78C0D4"/>
          <w:right w:val="single" w:sz="8" w:space="0" w:color="78C0D4"/>
          <w:insideH w:val="single" w:sz="8" w:space="0" w:color="78C0D4"/>
        </w:tblBorders>
        <w:tblLook w:val="04A0" w:firstRow="1" w:lastRow="0" w:firstColumn="1" w:lastColumn="0" w:noHBand="0" w:noVBand="1"/>
      </w:tblPr>
      <w:tblGrid>
        <w:gridCol w:w="4493"/>
        <w:gridCol w:w="1681"/>
        <w:gridCol w:w="1583"/>
        <w:gridCol w:w="1624"/>
      </w:tblGrid>
      <w:tr w:rsidR="00771510" w:rsidRPr="00342E35" w:rsidTr="00342E35">
        <w:trPr>
          <w:trHeight w:val="321"/>
          <w:jc w:val="center"/>
        </w:trPr>
        <w:tc>
          <w:tcPr>
            <w:tcW w:w="4493" w:type="dxa"/>
            <w:tcBorders>
              <w:top w:val="single" w:sz="8" w:space="0" w:color="78C0D4"/>
              <w:left w:val="single" w:sz="8" w:space="0" w:color="78C0D4"/>
              <w:bottom w:val="single" w:sz="8" w:space="0" w:color="78C0D4"/>
            </w:tcBorders>
            <w:shd w:val="clear" w:color="auto" w:fill="4BACC6"/>
            <w:hideMark/>
          </w:tcPr>
          <w:p w:rsidR="00771510" w:rsidRPr="00342E35" w:rsidRDefault="00771510" w:rsidP="008F207A">
            <w:pPr>
              <w:rPr>
                <w:rFonts w:asciiTheme="minorHAnsi" w:hAnsiTheme="minorHAnsi" w:cs="Calibri"/>
                <w:b/>
                <w:bCs/>
                <w:i/>
                <w:iCs/>
                <w:color w:val="000000"/>
                <w:sz w:val="18"/>
              </w:rPr>
            </w:pPr>
            <w:r w:rsidRPr="00342E35">
              <w:rPr>
                <w:rFonts w:asciiTheme="minorHAnsi" w:hAnsiTheme="minorHAnsi"/>
                <w:b/>
                <w:bCs/>
                <w:i/>
                <w:iCs/>
                <w:color w:val="FFFFFF"/>
                <w:sz w:val="18"/>
                <w:lang w:val="sq-AL"/>
              </w:rPr>
              <w:t>Ministria e Infrastrukturës dhe Energjisë (MIE)</w:t>
            </w:r>
          </w:p>
        </w:tc>
        <w:tc>
          <w:tcPr>
            <w:tcW w:w="1681" w:type="dxa"/>
            <w:tcBorders>
              <w:top w:val="single" w:sz="8" w:space="0" w:color="78C0D4"/>
              <w:bottom w:val="single" w:sz="8" w:space="0" w:color="78C0D4"/>
            </w:tcBorders>
            <w:shd w:val="clear" w:color="auto" w:fill="4BACC6"/>
            <w:hideMark/>
          </w:tcPr>
          <w:p w:rsidR="00771510" w:rsidRPr="00342E35" w:rsidRDefault="00771510" w:rsidP="008F207A">
            <w:pPr>
              <w:jc w:val="center"/>
              <w:rPr>
                <w:rFonts w:asciiTheme="minorHAnsi" w:hAnsiTheme="minorHAnsi"/>
                <w:b/>
                <w:bCs/>
                <w:color w:val="FFFFFF"/>
                <w:sz w:val="18"/>
              </w:rPr>
            </w:pPr>
            <w:r w:rsidRPr="00342E35">
              <w:rPr>
                <w:rFonts w:asciiTheme="minorHAnsi" w:hAnsiTheme="minorHAnsi"/>
                <w:b/>
                <w:bCs/>
                <w:color w:val="FFFFFF"/>
                <w:sz w:val="18"/>
              </w:rPr>
              <w:t xml:space="preserve"> Te trasheguara  </w:t>
            </w:r>
          </w:p>
        </w:tc>
        <w:tc>
          <w:tcPr>
            <w:tcW w:w="1583" w:type="dxa"/>
            <w:tcBorders>
              <w:top w:val="single" w:sz="8" w:space="0" w:color="78C0D4"/>
              <w:bottom w:val="single" w:sz="8" w:space="0" w:color="78C0D4"/>
            </w:tcBorders>
            <w:shd w:val="clear" w:color="auto" w:fill="4BACC6"/>
            <w:hideMark/>
          </w:tcPr>
          <w:p w:rsidR="00771510" w:rsidRPr="00342E35" w:rsidRDefault="00771510" w:rsidP="008F207A">
            <w:pPr>
              <w:jc w:val="center"/>
              <w:rPr>
                <w:rFonts w:asciiTheme="minorHAnsi" w:hAnsiTheme="minorHAnsi"/>
                <w:b/>
                <w:bCs/>
                <w:color w:val="FFFFFF"/>
                <w:sz w:val="18"/>
              </w:rPr>
            </w:pPr>
            <w:r w:rsidRPr="00342E35">
              <w:rPr>
                <w:rFonts w:asciiTheme="minorHAnsi" w:hAnsiTheme="minorHAnsi"/>
                <w:b/>
                <w:bCs/>
                <w:color w:val="FFFFFF"/>
                <w:sz w:val="18"/>
              </w:rPr>
              <w:t xml:space="preserve"> Te reja </w:t>
            </w:r>
          </w:p>
        </w:tc>
        <w:tc>
          <w:tcPr>
            <w:tcW w:w="1624" w:type="dxa"/>
            <w:tcBorders>
              <w:top w:val="single" w:sz="8" w:space="0" w:color="78C0D4"/>
              <w:bottom w:val="single" w:sz="8" w:space="0" w:color="78C0D4"/>
              <w:right w:val="single" w:sz="8" w:space="0" w:color="78C0D4"/>
            </w:tcBorders>
            <w:shd w:val="clear" w:color="auto" w:fill="4BACC6"/>
            <w:hideMark/>
          </w:tcPr>
          <w:p w:rsidR="00771510" w:rsidRPr="00342E35" w:rsidRDefault="00771510" w:rsidP="008F207A">
            <w:pPr>
              <w:jc w:val="center"/>
              <w:rPr>
                <w:rFonts w:asciiTheme="minorHAnsi" w:hAnsiTheme="minorHAnsi"/>
                <w:b/>
                <w:bCs/>
                <w:color w:val="FFFFFF"/>
                <w:sz w:val="18"/>
              </w:rPr>
            </w:pPr>
            <w:r w:rsidRPr="00342E35">
              <w:rPr>
                <w:rFonts w:asciiTheme="minorHAnsi" w:hAnsiTheme="minorHAnsi"/>
                <w:b/>
                <w:bCs/>
                <w:color w:val="FFFFFF"/>
                <w:sz w:val="18"/>
              </w:rPr>
              <w:t xml:space="preserve"> Total </w:t>
            </w:r>
          </w:p>
        </w:tc>
      </w:tr>
      <w:tr w:rsidR="00771510" w:rsidRPr="00342E35" w:rsidTr="00342E35">
        <w:trPr>
          <w:trHeight w:val="289"/>
          <w:jc w:val="center"/>
        </w:trPr>
        <w:tc>
          <w:tcPr>
            <w:tcW w:w="4493" w:type="dxa"/>
            <w:shd w:val="clear" w:color="auto" w:fill="D2EAF1"/>
            <w:hideMark/>
          </w:tcPr>
          <w:p w:rsidR="00771510" w:rsidRPr="00342E35" w:rsidRDefault="00771510" w:rsidP="008F207A">
            <w:pPr>
              <w:tabs>
                <w:tab w:val="left" w:pos="2955"/>
              </w:tabs>
              <w:rPr>
                <w:rFonts w:asciiTheme="minorHAnsi" w:hAnsiTheme="minorHAnsi"/>
                <w:bCs/>
                <w:i/>
                <w:color w:val="000000"/>
                <w:sz w:val="18"/>
              </w:rPr>
            </w:pPr>
            <w:r w:rsidRPr="00342E35">
              <w:rPr>
                <w:rFonts w:asciiTheme="minorHAnsi" w:hAnsiTheme="minorHAnsi"/>
                <w:bCs/>
                <w:i/>
                <w:color w:val="000000"/>
                <w:sz w:val="18"/>
              </w:rPr>
              <w:t>Ndertim e Sistemim Rruge</w:t>
            </w:r>
            <w:r w:rsidRPr="00342E35">
              <w:rPr>
                <w:rFonts w:asciiTheme="minorHAnsi" w:hAnsiTheme="minorHAnsi"/>
                <w:bCs/>
                <w:i/>
                <w:color w:val="000000"/>
                <w:sz w:val="18"/>
              </w:rPr>
              <w:tab/>
            </w:r>
          </w:p>
        </w:tc>
        <w:tc>
          <w:tcPr>
            <w:tcW w:w="1681" w:type="dxa"/>
            <w:shd w:val="clear" w:color="auto" w:fill="D2EAF1"/>
            <w:hideMark/>
          </w:tcPr>
          <w:p w:rsidR="00771510" w:rsidRPr="00342E35" w:rsidRDefault="00771510" w:rsidP="008F207A">
            <w:pPr>
              <w:jc w:val="center"/>
              <w:rPr>
                <w:rFonts w:asciiTheme="minorHAnsi" w:hAnsiTheme="minorHAnsi"/>
                <w:i/>
                <w:color w:val="000000"/>
                <w:sz w:val="18"/>
              </w:rPr>
            </w:pPr>
            <w:r w:rsidRPr="00342E35">
              <w:rPr>
                <w:rFonts w:asciiTheme="minorHAnsi" w:hAnsiTheme="minorHAnsi"/>
                <w:i/>
                <w:color w:val="000000"/>
                <w:sz w:val="18"/>
              </w:rPr>
              <w:t>2,03</w:t>
            </w:r>
          </w:p>
        </w:tc>
        <w:tc>
          <w:tcPr>
            <w:tcW w:w="1583" w:type="dxa"/>
            <w:shd w:val="clear" w:color="auto" w:fill="D2EAF1"/>
            <w:hideMark/>
          </w:tcPr>
          <w:p w:rsidR="00771510" w:rsidRPr="00342E35" w:rsidRDefault="00771510" w:rsidP="008F207A">
            <w:pPr>
              <w:jc w:val="center"/>
              <w:rPr>
                <w:rFonts w:asciiTheme="minorHAnsi" w:hAnsiTheme="minorHAnsi"/>
                <w:i/>
                <w:color w:val="000000"/>
                <w:sz w:val="18"/>
              </w:rPr>
            </w:pPr>
            <w:r w:rsidRPr="00342E35">
              <w:rPr>
                <w:rFonts w:asciiTheme="minorHAnsi" w:hAnsiTheme="minorHAnsi"/>
                <w:i/>
                <w:color w:val="000000"/>
                <w:sz w:val="18"/>
              </w:rPr>
              <w:t>-</w:t>
            </w:r>
          </w:p>
        </w:tc>
        <w:tc>
          <w:tcPr>
            <w:tcW w:w="1624" w:type="dxa"/>
            <w:shd w:val="clear" w:color="auto" w:fill="D2EAF1"/>
            <w:hideMark/>
          </w:tcPr>
          <w:p w:rsidR="00771510" w:rsidRPr="00342E35" w:rsidRDefault="00771510" w:rsidP="008F207A">
            <w:pPr>
              <w:jc w:val="center"/>
              <w:rPr>
                <w:rFonts w:asciiTheme="minorHAnsi" w:hAnsiTheme="minorHAnsi"/>
                <w:i/>
                <w:color w:val="000000"/>
                <w:sz w:val="18"/>
              </w:rPr>
            </w:pPr>
            <w:r w:rsidRPr="00342E35">
              <w:rPr>
                <w:rFonts w:asciiTheme="minorHAnsi" w:hAnsiTheme="minorHAnsi"/>
                <w:i/>
                <w:color w:val="000000"/>
                <w:sz w:val="18"/>
              </w:rPr>
              <w:t>2,03</w:t>
            </w:r>
          </w:p>
        </w:tc>
      </w:tr>
      <w:tr w:rsidR="00771510" w:rsidRPr="00342E35" w:rsidTr="00342E35">
        <w:trPr>
          <w:trHeight w:val="209"/>
          <w:jc w:val="center"/>
        </w:trPr>
        <w:tc>
          <w:tcPr>
            <w:tcW w:w="4493" w:type="dxa"/>
            <w:tcBorders>
              <w:right w:val="nil"/>
            </w:tcBorders>
            <w:shd w:val="clear" w:color="auto" w:fill="auto"/>
            <w:hideMark/>
          </w:tcPr>
          <w:p w:rsidR="00771510" w:rsidRPr="00342E35" w:rsidRDefault="00771510" w:rsidP="008F207A">
            <w:pPr>
              <w:rPr>
                <w:rFonts w:asciiTheme="minorHAnsi" w:hAnsiTheme="minorHAnsi"/>
                <w:bCs/>
                <w:i/>
                <w:color w:val="000000"/>
                <w:sz w:val="18"/>
              </w:rPr>
            </w:pPr>
            <w:r w:rsidRPr="00342E35">
              <w:rPr>
                <w:rFonts w:asciiTheme="minorHAnsi" w:hAnsiTheme="minorHAnsi"/>
                <w:bCs/>
                <w:i/>
                <w:color w:val="000000"/>
                <w:sz w:val="18"/>
              </w:rPr>
              <w:t>Sinjalistikë Rrugore</w:t>
            </w:r>
          </w:p>
        </w:tc>
        <w:tc>
          <w:tcPr>
            <w:tcW w:w="1681" w:type="dxa"/>
            <w:tcBorders>
              <w:left w:val="nil"/>
              <w:right w:val="nil"/>
            </w:tcBorders>
            <w:shd w:val="clear" w:color="auto" w:fill="auto"/>
            <w:hideMark/>
          </w:tcPr>
          <w:p w:rsidR="00771510" w:rsidRPr="00342E35" w:rsidRDefault="00771510" w:rsidP="008F207A">
            <w:pPr>
              <w:jc w:val="center"/>
              <w:rPr>
                <w:rFonts w:asciiTheme="minorHAnsi" w:hAnsiTheme="minorHAnsi"/>
                <w:i/>
                <w:color w:val="000000"/>
                <w:sz w:val="18"/>
              </w:rPr>
            </w:pPr>
            <w:r w:rsidRPr="00342E35">
              <w:rPr>
                <w:rFonts w:asciiTheme="minorHAnsi" w:hAnsiTheme="minorHAnsi"/>
                <w:i/>
                <w:color w:val="000000"/>
                <w:sz w:val="18"/>
              </w:rPr>
              <w:t>-</w:t>
            </w:r>
          </w:p>
        </w:tc>
        <w:tc>
          <w:tcPr>
            <w:tcW w:w="1583" w:type="dxa"/>
            <w:tcBorders>
              <w:left w:val="nil"/>
              <w:right w:val="nil"/>
            </w:tcBorders>
            <w:shd w:val="clear" w:color="auto" w:fill="auto"/>
            <w:hideMark/>
          </w:tcPr>
          <w:p w:rsidR="00771510" w:rsidRPr="00342E35" w:rsidRDefault="00771510" w:rsidP="008F207A">
            <w:pPr>
              <w:jc w:val="center"/>
              <w:rPr>
                <w:rFonts w:asciiTheme="minorHAnsi" w:hAnsiTheme="minorHAnsi"/>
                <w:i/>
                <w:color w:val="000000"/>
                <w:sz w:val="18"/>
              </w:rPr>
            </w:pPr>
            <w:r w:rsidRPr="00342E35">
              <w:rPr>
                <w:rFonts w:asciiTheme="minorHAnsi" w:hAnsiTheme="minorHAnsi"/>
                <w:i/>
                <w:color w:val="000000"/>
                <w:sz w:val="18"/>
              </w:rPr>
              <w:t>-</w:t>
            </w:r>
          </w:p>
        </w:tc>
        <w:tc>
          <w:tcPr>
            <w:tcW w:w="1624" w:type="dxa"/>
            <w:tcBorders>
              <w:left w:val="nil"/>
            </w:tcBorders>
            <w:shd w:val="clear" w:color="auto" w:fill="auto"/>
            <w:hideMark/>
          </w:tcPr>
          <w:p w:rsidR="00771510" w:rsidRPr="00342E35" w:rsidRDefault="00771510" w:rsidP="008F207A">
            <w:pPr>
              <w:jc w:val="center"/>
              <w:rPr>
                <w:rFonts w:asciiTheme="minorHAnsi" w:hAnsiTheme="minorHAnsi"/>
                <w:i/>
                <w:color w:val="000000"/>
                <w:sz w:val="18"/>
              </w:rPr>
            </w:pPr>
            <w:r w:rsidRPr="00342E35">
              <w:rPr>
                <w:rFonts w:asciiTheme="minorHAnsi" w:hAnsiTheme="minorHAnsi"/>
                <w:i/>
                <w:color w:val="000000"/>
                <w:sz w:val="18"/>
              </w:rPr>
              <w:t>-</w:t>
            </w:r>
          </w:p>
        </w:tc>
      </w:tr>
      <w:tr w:rsidR="00771510" w:rsidRPr="00342E35" w:rsidTr="00342E35">
        <w:trPr>
          <w:trHeight w:val="270"/>
          <w:jc w:val="center"/>
        </w:trPr>
        <w:tc>
          <w:tcPr>
            <w:tcW w:w="4493" w:type="dxa"/>
            <w:shd w:val="clear" w:color="auto" w:fill="D2EAF1"/>
            <w:hideMark/>
          </w:tcPr>
          <w:p w:rsidR="00771510" w:rsidRPr="00342E35" w:rsidRDefault="00771510" w:rsidP="008F207A">
            <w:pPr>
              <w:rPr>
                <w:rFonts w:asciiTheme="minorHAnsi" w:hAnsiTheme="minorHAnsi"/>
                <w:bCs/>
                <w:i/>
                <w:color w:val="000000"/>
                <w:sz w:val="18"/>
              </w:rPr>
            </w:pPr>
            <w:r w:rsidRPr="00342E35">
              <w:rPr>
                <w:rFonts w:asciiTheme="minorHAnsi" w:hAnsiTheme="minorHAnsi"/>
                <w:bCs/>
                <w:i/>
                <w:color w:val="000000"/>
                <w:sz w:val="18"/>
              </w:rPr>
              <w:t xml:space="preserve">Supervizion Punimesh </w:t>
            </w:r>
          </w:p>
        </w:tc>
        <w:tc>
          <w:tcPr>
            <w:tcW w:w="1681" w:type="dxa"/>
            <w:shd w:val="clear" w:color="auto" w:fill="D2EAF1"/>
            <w:hideMark/>
          </w:tcPr>
          <w:p w:rsidR="00771510" w:rsidRPr="00342E35" w:rsidRDefault="00771510" w:rsidP="008F207A">
            <w:pPr>
              <w:jc w:val="center"/>
              <w:rPr>
                <w:rFonts w:asciiTheme="minorHAnsi" w:hAnsiTheme="minorHAnsi"/>
                <w:i/>
                <w:color w:val="000000"/>
                <w:sz w:val="18"/>
              </w:rPr>
            </w:pPr>
            <w:r w:rsidRPr="00342E35">
              <w:rPr>
                <w:rFonts w:asciiTheme="minorHAnsi" w:hAnsiTheme="minorHAnsi"/>
                <w:i/>
                <w:color w:val="000000"/>
                <w:sz w:val="18"/>
              </w:rPr>
              <w:t>-</w:t>
            </w:r>
          </w:p>
        </w:tc>
        <w:tc>
          <w:tcPr>
            <w:tcW w:w="1583" w:type="dxa"/>
            <w:shd w:val="clear" w:color="auto" w:fill="D2EAF1"/>
            <w:hideMark/>
          </w:tcPr>
          <w:p w:rsidR="00771510" w:rsidRPr="00342E35" w:rsidRDefault="00771510" w:rsidP="008F207A">
            <w:pPr>
              <w:jc w:val="center"/>
              <w:rPr>
                <w:rFonts w:asciiTheme="minorHAnsi" w:hAnsiTheme="minorHAnsi"/>
                <w:i/>
                <w:color w:val="000000"/>
                <w:sz w:val="18"/>
              </w:rPr>
            </w:pPr>
            <w:r w:rsidRPr="00342E35">
              <w:rPr>
                <w:rFonts w:asciiTheme="minorHAnsi" w:hAnsiTheme="minorHAnsi"/>
                <w:i/>
                <w:color w:val="000000"/>
                <w:sz w:val="18"/>
              </w:rPr>
              <w:t>-</w:t>
            </w:r>
          </w:p>
        </w:tc>
        <w:tc>
          <w:tcPr>
            <w:tcW w:w="1624" w:type="dxa"/>
            <w:shd w:val="clear" w:color="auto" w:fill="D2EAF1"/>
            <w:hideMark/>
          </w:tcPr>
          <w:p w:rsidR="00771510" w:rsidRPr="00342E35" w:rsidRDefault="00771510" w:rsidP="008F207A">
            <w:pPr>
              <w:jc w:val="center"/>
              <w:rPr>
                <w:rFonts w:asciiTheme="minorHAnsi" w:hAnsiTheme="minorHAnsi"/>
                <w:i/>
                <w:color w:val="000000"/>
                <w:sz w:val="18"/>
              </w:rPr>
            </w:pPr>
            <w:r w:rsidRPr="00342E35">
              <w:rPr>
                <w:rFonts w:asciiTheme="minorHAnsi" w:hAnsiTheme="minorHAnsi"/>
                <w:i/>
                <w:color w:val="000000"/>
                <w:sz w:val="18"/>
              </w:rPr>
              <w:t>-</w:t>
            </w:r>
          </w:p>
        </w:tc>
      </w:tr>
      <w:tr w:rsidR="00771510" w:rsidRPr="00342E35" w:rsidTr="00342E35">
        <w:trPr>
          <w:trHeight w:val="189"/>
          <w:jc w:val="center"/>
        </w:trPr>
        <w:tc>
          <w:tcPr>
            <w:tcW w:w="4493" w:type="dxa"/>
            <w:tcBorders>
              <w:right w:val="nil"/>
            </w:tcBorders>
            <w:shd w:val="clear" w:color="auto" w:fill="auto"/>
            <w:hideMark/>
          </w:tcPr>
          <w:p w:rsidR="00771510" w:rsidRPr="00342E35" w:rsidRDefault="00771510" w:rsidP="008F207A">
            <w:pPr>
              <w:rPr>
                <w:rFonts w:asciiTheme="minorHAnsi" w:hAnsiTheme="minorHAnsi"/>
                <w:bCs/>
                <w:i/>
                <w:color w:val="000000"/>
                <w:sz w:val="18"/>
              </w:rPr>
            </w:pPr>
            <w:r w:rsidRPr="00342E35">
              <w:rPr>
                <w:rFonts w:asciiTheme="minorHAnsi" w:hAnsiTheme="minorHAnsi"/>
                <w:bCs/>
                <w:i/>
                <w:color w:val="000000"/>
                <w:sz w:val="18"/>
              </w:rPr>
              <w:t>Vendime Gjyqesore</w:t>
            </w:r>
          </w:p>
        </w:tc>
        <w:tc>
          <w:tcPr>
            <w:tcW w:w="1681" w:type="dxa"/>
            <w:tcBorders>
              <w:left w:val="nil"/>
              <w:right w:val="nil"/>
            </w:tcBorders>
            <w:shd w:val="clear" w:color="auto" w:fill="auto"/>
            <w:hideMark/>
          </w:tcPr>
          <w:p w:rsidR="00771510" w:rsidRPr="00342E35" w:rsidRDefault="00771510" w:rsidP="008F207A">
            <w:pPr>
              <w:jc w:val="center"/>
              <w:rPr>
                <w:rFonts w:asciiTheme="minorHAnsi" w:hAnsiTheme="minorHAnsi" w:cs="Calibri"/>
                <w:i/>
                <w:color w:val="000000"/>
                <w:sz w:val="18"/>
              </w:rPr>
            </w:pPr>
            <w:r w:rsidRPr="00342E35">
              <w:rPr>
                <w:rFonts w:asciiTheme="minorHAnsi" w:hAnsiTheme="minorHAnsi" w:cs="Calibri"/>
                <w:i/>
                <w:color w:val="000000"/>
                <w:sz w:val="18"/>
              </w:rPr>
              <w:t>480,22</w:t>
            </w:r>
          </w:p>
        </w:tc>
        <w:tc>
          <w:tcPr>
            <w:tcW w:w="1583" w:type="dxa"/>
            <w:tcBorders>
              <w:left w:val="nil"/>
              <w:right w:val="nil"/>
            </w:tcBorders>
            <w:shd w:val="clear" w:color="auto" w:fill="auto"/>
            <w:hideMark/>
          </w:tcPr>
          <w:p w:rsidR="00771510" w:rsidRPr="00342E35" w:rsidRDefault="00771510" w:rsidP="008F207A">
            <w:pPr>
              <w:jc w:val="center"/>
              <w:rPr>
                <w:rFonts w:asciiTheme="minorHAnsi" w:hAnsiTheme="minorHAnsi" w:cs="Calibri"/>
                <w:i/>
                <w:color w:val="000000"/>
                <w:sz w:val="18"/>
              </w:rPr>
            </w:pPr>
            <w:r w:rsidRPr="00342E35">
              <w:rPr>
                <w:rFonts w:asciiTheme="minorHAnsi" w:hAnsiTheme="minorHAnsi" w:cs="Calibri"/>
                <w:i/>
                <w:color w:val="000000"/>
                <w:sz w:val="18"/>
              </w:rPr>
              <w:t>12,26</w:t>
            </w:r>
          </w:p>
        </w:tc>
        <w:tc>
          <w:tcPr>
            <w:tcW w:w="1624" w:type="dxa"/>
            <w:tcBorders>
              <w:left w:val="nil"/>
            </w:tcBorders>
            <w:shd w:val="clear" w:color="auto" w:fill="auto"/>
            <w:hideMark/>
          </w:tcPr>
          <w:p w:rsidR="00771510" w:rsidRPr="00342E35" w:rsidRDefault="00771510" w:rsidP="008F207A">
            <w:pPr>
              <w:jc w:val="center"/>
              <w:rPr>
                <w:rFonts w:asciiTheme="minorHAnsi" w:hAnsiTheme="minorHAnsi"/>
                <w:i/>
                <w:color w:val="000000"/>
                <w:sz w:val="18"/>
              </w:rPr>
            </w:pPr>
            <w:r w:rsidRPr="00342E35">
              <w:rPr>
                <w:rFonts w:asciiTheme="minorHAnsi" w:hAnsiTheme="minorHAnsi"/>
                <w:i/>
                <w:color w:val="000000"/>
                <w:sz w:val="18"/>
              </w:rPr>
              <w:t>492,48</w:t>
            </w:r>
          </w:p>
        </w:tc>
      </w:tr>
      <w:tr w:rsidR="00771510" w:rsidRPr="00342E35" w:rsidTr="00342E35">
        <w:trPr>
          <w:trHeight w:val="209"/>
          <w:jc w:val="center"/>
        </w:trPr>
        <w:tc>
          <w:tcPr>
            <w:tcW w:w="4493" w:type="dxa"/>
            <w:shd w:val="clear" w:color="auto" w:fill="D2EAF1"/>
            <w:hideMark/>
          </w:tcPr>
          <w:p w:rsidR="00771510" w:rsidRPr="00342E35" w:rsidRDefault="00771510" w:rsidP="008F207A">
            <w:pPr>
              <w:rPr>
                <w:rFonts w:asciiTheme="minorHAnsi" w:hAnsiTheme="minorHAnsi"/>
                <w:bCs/>
                <w:i/>
                <w:color w:val="000000"/>
                <w:sz w:val="18"/>
              </w:rPr>
            </w:pPr>
            <w:r w:rsidRPr="00342E35">
              <w:rPr>
                <w:rFonts w:asciiTheme="minorHAnsi" w:hAnsiTheme="minorHAnsi"/>
                <w:bCs/>
                <w:i/>
                <w:color w:val="000000"/>
                <w:sz w:val="18"/>
              </w:rPr>
              <w:t>TVSH &amp; Kosto Lokale</w:t>
            </w:r>
          </w:p>
        </w:tc>
        <w:tc>
          <w:tcPr>
            <w:tcW w:w="1681" w:type="dxa"/>
            <w:shd w:val="clear" w:color="auto" w:fill="D2EAF1"/>
            <w:hideMark/>
          </w:tcPr>
          <w:p w:rsidR="00771510" w:rsidRPr="00342E35" w:rsidRDefault="00771510" w:rsidP="008F207A">
            <w:pPr>
              <w:jc w:val="center"/>
              <w:rPr>
                <w:rFonts w:asciiTheme="minorHAnsi" w:hAnsiTheme="minorHAnsi"/>
                <w:i/>
                <w:color w:val="000000"/>
                <w:sz w:val="18"/>
              </w:rPr>
            </w:pPr>
            <w:r w:rsidRPr="00342E35">
              <w:rPr>
                <w:rFonts w:asciiTheme="minorHAnsi" w:hAnsiTheme="minorHAnsi"/>
                <w:i/>
                <w:color w:val="000000"/>
                <w:sz w:val="18"/>
              </w:rPr>
              <w:t>-</w:t>
            </w:r>
          </w:p>
        </w:tc>
        <w:tc>
          <w:tcPr>
            <w:tcW w:w="1583" w:type="dxa"/>
            <w:shd w:val="clear" w:color="auto" w:fill="D2EAF1"/>
            <w:hideMark/>
          </w:tcPr>
          <w:p w:rsidR="00771510" w:rsidRPr="00342E35" w:rsidRDefault="00771510" w:rsidP="008F207A">
            <w:pPr>
              <w:jc w:val="center"/>
              <w:rPr>
                <w:rFonts w:asciiTheme="minorHAnsi" w:hAnsiTheme="minorHAnsi"/>
                <w:i/>
                <w:color w:val="000000"/>
                <w:sz w:val="18"/>
              </w:rPr>
            </w:pPr>
            <w:r w:rsidRPr="00342E35">
              <w:rPr>
                <w:rFonts w:asciiTheme="minorHAnsi" w:hAnsiTheme="minorHAnsi"/>
                <w:i/>
                <w:color w:val="000000"/>
                <w:sz w:val="18"/>
              </w:rPr>
              <w:t>2,50</w:t>
            </w:r>
          </w:p>
        </w:tc>
        <w:tc>
          <w:tcPr>
            <w:tcW w:w="1624" w:type="dxa"/>
            <w:shd w:val="clear" w:color="auto" w:fill="D2EAF1"/>
            <w:hideMark/>
          </w:tcPr>
          <w:p w:rsidR="00771510" w:rsidRPr="00342E35" w:rsidRDefault="00771510" w:rsidP="008F207A">
            <w:pPr>
              <w:jc w:val="center"/>
              <w:rPr>
                <w:rFonts w:asciiTheme="minorHAnsi" w:hAnsiTheme="minorHAnsi"/>
                <w:i/>
                <w:color w:val="000000"/>
                <w:sz w:val="18"/>
              </w:rPr>
            </w:pPr>
            <w:r w:rsidRPr="00342E35">
              <w:rPr>
                <w:rFonts w:asciiTheme="minorHAnsi" w:hAnsiTheme="minorHAnsi"/>
                <w:i/>
                <w:color w:val="000000"/>
                <w:sz w:val="18"/>
              </w:rPr>
              <w:t>2,50</w:t>
            </w:r>
          </w:p>
        </w:tc>
      </w:tr>
      <w:tr w:rsidR="00771510" w:rsidRPr="00342E35" w:rsidTr="00342E35">
        <w:trPr>
          <w:trHeight w:val="200"/>
          <w:jc w:val="center"/>
        </w:trPr>
        <w:tc>
          <w:tcPr>
            <w:tcW w:w="4493" w:type="dxa"/>
            <w:tcBorders>
              <w:right w:val="nil"/>
            </w:tcBorders>
            <w:shd w:val="clear" w:color="auto" w:fill="auto"/>
            <w:hideMark/>
          </w:tcPr>
          <w:p w:rsidR="00771510" w:rsidRPr="00342E35" w:rsidRDefault="00771510" w:rsidP="008F207A">
            <w:pPr>
              <w:rPr>
                <w:rFonts w:asciiTheme="minorHAnsi" w:hAnsiTheme="minorHAnsi"/>
                <w:bCs/>
                <w:i/>
                <w:color w:val="000000"/>
                <w:sz w:val="18"/>
              </w:rPr>
            </w:pPr>
            <w:r w:rsidRPr="00342E35">
              <w:rPr>
                <w:rFonts w:asciiTheme="minorHAnsi" w:hAnsiTheme="minorHAnsi"/>
                <w:bCs/>
                <w:i/>
                <w:color w:val="000000"/>
                <w:sz w:val="18"/>
              </w:rPr>
              <w:t>Mirembajtje</w:t>
            </w:r>
          </w:p>
        </w:tc>
        <w:tc>
          <w:tcPr>
            <w:tcW w:w="1681" w:type="dxa"/>
            <w:tcBorders>
              <w:left w:val="nil"/>
              <w:right w:val="nil"/>
            </w:tcBorders>
            <w:shd w:val="clear" w:color="auto" w:fill="auto"/>
            <w:hideMark/>
          </w:tcPr>
          <w:p w:rsidR="00771510" w:rsidRPr="00342E35" w:rsidRDefault="00771510" w:rsidP="008F207A">
            <w:pPr>
              <w:jc w:val="center"/>
              <w:rPr>
                <w:rFonts w:asciiTheme="minorHAnsi" w:hAnsiTheme="minorHAnsi"/>
                <w:i/>
                <w:color w:val="000000"/>
                <w:sz w:val="18"/>
              </w:rPr>
            </w:pPr>
            <w:r w:rsidRPr="00342E35">
              <w:rPr>
                <w:rFonts w:asciiTheme="minorHAnsi" w:hAnsiTheme="minorHAnsi"/>
                <w:i/>
                <w:color w:val="000000"/>
                <w:sz w:val="18"/>
              </w:rPr>
              <w:t>1,46</w:t>
            </w:r>
          </w:p>
        </w:tc>
        <w:tc>
          <w:tcPr>
            <w:tcW w:w="1583" w:type="dxa"/>
            <w:tcBorders>
              <w:left w:val="nil"/>
              <w:right w:val="nil"/>
            </w:tcBorders>
            <w:shd w:val="clear" w:color="auto" w:fill="auto"/>
            <w:hideMark/>
          </w:tcPr>
          <w:p w:rsidR="00771510" w:rsidRPr="00342E35" w:rsidRDefault="00771510" w:rsidP="008F207A">
            <w:pPr>
              <w:jc w:val="center"/>
              <w:rPr>
                <w:rFonts w:asciiTheme="minorHAnsi" w:hAnsiTheme="minorHAnsi"/>
                <w:i/>
                <w:color w:val="000000"/>
                <w:sz w:val="18"/>
              </w:rPr>
            </w:pPr>
            <w:r w:rsidRPr="00342E35">
              <w:rPr>
                <w:rFonts w:asciiTheme="minorHAnsi" w:hAnsiTheme="minorHAnsi"/>
                <w:i/>
                <w:color w:val="000000"/>
                <w:sz w:val="18"/>
              </w:rPr>
              <w:t>77,28</w:t>
            </w:r>
          </w:p>
        </w:tc>
        <w:tc>
          <w:tcPr>
            <w:tcW w:w="1624" w:type="dxa"/>
            <w:tcBorders>
              <w:left w:val="nil"/>
            </w:tcBorders>
            <w:shd w:val="clear" w:color="auto" w:fill="auto"/>
            <w:hideMark/>
          </w:tcPr>
          <w:p w:rsidR="00771510" w:rsidRPr="00342E35" w:rsidRDefault="00771510" w:rsidP="008F207A">
            <w:pPr>
              <w:jc w:val="center"/>
              <w:rPr>
                <w:rFonts w:asciiTheme="minorHAnsi" w:hAnsiTheme="minorHAnsi"/>
                <w:i/>
                <w:color w:val="000000"/>
                <w:sz w:val="18"/>
              </w:rPr>
            </w:pPr>
            <w:r w:rsidRPr="00342E35">
              <w:rPr>
                <w:rFonts w:asciiTheme="minorHAnsi" w:hAnsiTheme="minorHAnsi"/>
                <w:i/>
                <w:color w:val="000000"/>
                <w:sz w:val="18"/>
              </w:rPr>
              <w:t>78,74</w:t>
            </w:r>
          </w:p>
        </w:tc>
      </w:tr>
      <w:tr w:rsidR="00771510" w:rsidRPr="00342E35" w:rsidTr="00342E35">
        <w:trPr>
          <w:trHeight w:val="200"/>
          <w:jc w:val="center"/>
        </w:trPr>
        <w:tc>
          <w:tcPr>
            <w:tcW w:w="4493" w:type="dxa"/>
            <w:shd w:val="clear" w:color="auto" w:fill="D2EAF1"/>
            <w:hideMark/>
          </w:tcPr>
          <w:p w:rsidR="00771510" w:rsidRPr="00342E35" w:rsidRDefault="00771510" w:rsidP="008F207A">
            <w:pPr>
              <w:jc w:val="center"/>
              <w:rPr>
                <w:rFonts w:asciiTheme="minorHAnsi" w:hAnsiTheme="minorHAnsi"/>
                <w:b/>
                <w:bCs/>
                <w:color w:val="000000"/>
                <w:sz w:val="18"/>
              </w:rPr>
            </w:pPr>
            <w:r w:rsidRPr="00342E35">
              <w:rPr>
                <w:rFonts w:asciiTheme="minorHAnsi" w:hAnsiTheme="minorHAnsi"/>
                <w:b/>
                <w:bCs/>
                <w:color w:val="000000"/>
                <w:sz w:val="18"/>
              </w:rPr>
              <w:t>ARRSH</w:t>
            </w:r>
          </w:p>
        </w:tc>
        <w:tc>
          <w:tcPr>
            <w:tcW w:w="1681" w:type="dxa"/>
            <w:shd w:val="clear" w:color="auto" w:fill="D2EAF1"/>
            <w:hideMark/>
          </w:tcPr>
          <w:p w:rsidR="00771510" w:rsidRPr="00342E35" w:rsidRDefault="00771510" w:rsidP="008F207A">
            <w:pPr>
              <w:jc w:val="center"/>
              <w:rPr>
                <w:rFonts w:asciiTheme="minorHAnsi" w:hAnsiTheme="minorHAnsi"/>
                <w:b/>
                <w:bCs/>
                <w:color w:val="000000"/>
                <w:sz w:val="18"/>
              </w:rPr>
            </w:pPr>
            <w:r w:rsidRPr="00342E35">
              <w:rPr>
                <w:rFonts w:asciiTheme="minorHAnsi" w:hAnsiTheme="minorHAnsi"/>
                <w:b/>
                <w:bCs/>
                <w:color w:val="000000"/>
                <w:sz w:val="18"/>
              </w:rPr>
              <w:t>483,72</w:t>
            </w:r>
          </w:p>
        </w:tc>
        <w:tc>
          <w:tcPr>
            <w:tcW w:w="1583" w:type="dxa"/>
            <w:shd w:val="clear" w:color="auto" w:fill="D2EAF1"/>
            <w:hideMark/>
          </w:tcPr>
          <w:p w:rsidR="00771510" w:rsidRPr="00342E35" w:rsidRDefault="00771510" w:rsidP="008F207A">
            <w:pPr>
              <w:jc w:val="center"/>
              <w:rPr>
                <w:rFonts w:asciiTheme="minorHAnsi" w:hAnsiTheme="minorHAnsi"/>
                <w:b/>
                <w:bCs/>
                <w:color w:val="000000"/>
                <w:sz w:val="18"/>
              </w:rPr>
            </w:pPr>
            <w:r w:rsidRPr="00342E35">
              <w:rPr>
                <w:rFonts w:asciiTheme="minorHAnsi" w:hAnsiTheme="minorHAnsi"/>
                <w:b/>
                <w:bCs/>
                <w:color w:val="000000"/>
                <w:sz w:val="18"/>
              </w:rPr>
              <w:t>92,04</w:t>
            </w:r>
          </w:p>
        </w:tc>
        <w:tc>
          <w:tcPr>
            <w:tcW w:w="1624" w:type="dxa"/>
            <w:shd w:val="clear" w:color="auto" w:fill="D2EAF1"/>
            <w:hideMark/>
          </w:tcPr>
          <w:p w:rsidR="00771510" w:rsidRPr="00342E35" w:rsidRDefault="00771510" w:rsidP="008F207A">
            <w:pPr>
              <w:jc w:val="center"/>
              <w:rPr>
                <w:rFonts w:asciiTheme="minorHAnsi" w:hAnsiTheme="minorHAnsi"/>
                <w:b/>
                <w:bCs/>
                <w:color w:val="000000"/>
                <w:sz w:val="18"/>
              </w:rPr>
            </w:pPr>
            <w:r w:rsidRPr="00342E35">
              <w:rPr>
                <w:rFonts w:asciiTheme="minorHAnsi" w:hAnsiTheme="minorHAnsi"/>
                <w:b/>
                <w:bCs/>
                <w:color w:val="000000"/>
                <w:sz w:val="18"/>
              </w:rPr>
              <w:t>575,76</w:t>
            </w:r>
          </w:p>
        </w:tc>
      </w:tr>
      <w:tr w:rsidR="00771510" w:rsidRPr="00342E35" w:rsidTr="00342E35">
        <w:trPr>
          <w:trHeight w:val="200"/>
          <w:jc w:val="center"/>
        </w:trPr>
        <w:tc>
          <w:tcPr>
            <w:tcW w:w="4493" w:type="dxa"/>
            <w:tcBorders>
              <w:right w:val="nil"/>
            </w:tcBorders>
            <w:shd w:val="clear" w:color="auto" w:fill="auto"/>
            <w:hideMark/>
          </w:tcPr>
          <w:p w:rsidR="00771510" w:rsidRPr="00342E35" w:rsidRDefault="00771510" w:rsidP="008F207A">
            <w:pPr>
              <w:jc w:val="center"/>
              <w:rPr>
                <w:rFonts w:asciiTheme="minorHAnsi" w:hAnsiTheme="minorHAnsi"/>
                <w:b/>
                <w:bCs/>
                <w:color w:val="000000"/>
                <w:sz w:val="18"/>
              </w:rPr>
            </w:pPr>
            <w:r w:rsidRPr="00342E35">
              <w:rPr>
                <w:rFonts w:asciiTheme="minorHAnsi" w:hAnsiTheme="minorHAnsi"/>
                <w:b/>
                <w:bCs/>
                <w:color w:val="000000"/>
                <w:sz w:val="18"/>
              </w:rPr>
              <w:t>AKUM</w:t>
            </w:r>
          </w:p>
        </w:tc>
        <w:tc>
          <w:tcPr>
            <w:tcW w:w="1681" w:type="dxa"/>
            <w:tcBorders>
              <w:left w:val="nil"/>
              <w:right w:val="nil"/>
            </w:tcBorders>
            <w:shd w:val="clear" w:color="auto" w:fill="auto"/>
            <w:hideMark/>
          </w:tcPr>
          <w:p w:rsidR="00771510" w:rsidRPr="00342E35" w:rsidRDefault="00771510" w:rsidP="008F207A">
            <w:pPr>
              <w:jc w:val="center"/>
              <w:rPr>
                <w:rFonts w:asciiTheme="minorHAnsi" w:hAnsiTheme="minorHAnsi"/>
                <w:b/>
                <w:bCs/>
                <w:color w:val="000000"/>
                <w:sz w:val="18"/>
              </w:rPr>
            </w:pPr>
            <w:r w:rsidRPr="00342E35">
              <w:rPr>
                <w:rFonts w:asciiTheme="minorHAnsi" w:hAnsiTheme="minorHAnsi"/>
                <w:b/>
                <w:bCs/>
                <w:color w:val="000000"/>
                <w:sz w:val="18"/>
              </w:rPr>
              <w:t>243,93</w:t>
            </w:r>
          </w:p>
        </w:tc>
        <w:tc>
          <w:tcPr>
            <w:tcW w:w="1583" w:type="dxa"/>
            <w:tcBorders>
              <w:left w:val="nil"/>
              <w:right w:val="nil"/>
            </w:tcBorders>
            <w:shd w:val="clear" w:color="auto" w:fill="auto"/>
            <w:hideMark/>
          </w:tcPr>
          <w:p w:rsidR="00771510" w:rsidRPr="00342E35" w:rsidRDefault="00771510" w:rsidP="008F207A">
            <w:pPr>
              <w:jc w:val="center"/>
              <w:rPr>
                <w:rFonts w:asciiTheme="minorHAnsi" w:hAnsiTheme="minorHAnsi"/>
                <w:b/>
                <w:bCs/>
                <w:color w:val="000000"/>
                <w:sz w:val="18"/>
              </w:rPr>
            </w:pPr>
            <w:r w:rsidRPr="00342E35">
              <w:rPr>
                <w:rFonts w:asciiTheme="minorHAnsi" w:hAnsiTheme="minorHAnsi"/>
                <w:b/>
                <w:bCs/>
                <w:color w:val="000000"/>
                <w:sz w:val="18"/>
              </w:rPr>
              <w:t>4,35</w:t>
            </w:r>
          </w:p>
        </w:tc>
        <w:tc>
          <w:tcPr>
            <w:tcW w:w="1624" w:type="dxa"/>
            <w:tcBorders>
              <w:left w:val="nil"/>
            </w:tcBorders>
            <w:shd w:val="clear" w:color="auto" w:fill="auto"/>
            <w:hideMark/>
          </w:tcPr>
          <w:p w:rsidR="00771510" w:rsidRPr="00342E35" w:rsidRDefault="00771510" w:rsidP="008F207A">
            <w:pPr>
              <w:jc w:val="center"/>
              <w:rPr>
                <w:rFonts w:asciiTheme="minorHAnsi" w:hAnsiTheme="minorHAnsi"/>
                <w:b/>
                <w:bCs/>
                <w:color w:val="000000"/>
                <w:sz w:val="18"/>
              </w:rPr>
            </w:pPr>
            <w:r w:rsidRPr="00342E35">
              <w:rPr>
                <w:rFonts w:asciiTheme="minorHAnsi" w:hAnsiTheme="minorHAnsi"/>
                <w:b/>
                <w:bCs/>
                <w:color w:val="000000"/>
                <w:sz w:val="18"/>
              </w:rPr>
              <w:t>248,29</w:t>
            </w:r>
          </w:p>
        </w:tc>
      </w:tr>
      <w:tr w:rsidR="00771510" w:rsidRPr="00342E35" w:rsidTr="00342E35">
        <w:trPr>
          <w:trHeight w:val="200"/>
          <w:jc w:val="center"/>
        </w:trPr>
        <w:tc>
          <w:tcPr>
            <w:tcW w:w="4493" w:type="dxa"/>
            <w:shd w:val="clear" w:color="auto" w:fill="D2EAF1"/>
            <w:hideMark/>
          </w:tcPr>
          <w:p w:rsidR="00771510" w:rsidRPr="00342E35" w:rsidRDefault="00771510" w:rsidP="008F207A">
            <w:pPr>
              <w:rPr>
                <w:rFonts w:asciiTheme="minorHAnsi" w:hAnsiTheme="minorHAnsi"/>
                <w:bCs/>
                <w:i/>
                <w:color w:val="000000"/>
                <w:sz w:val="18"/>
              </w:rPr>
            </w:pPr>
            <w:r w:rsidRPr="00342E35">
              <w:rPr>
                <w:rFonts w:asciiTheme="minorHAnsi" w:hAnsiTheme="minorHAnsi"/>
                <w:bCs/>
                <w:i/>
                <w:color w:val="000000"/>
                <w:sz w:val="18"/>
              </w:rPr>
              <w:t>Vendime Gjyqesore</w:t>
            </w:r>
          </w:p>
        </w:tc>
        <w:tc>
          <w:tcPr>
            <w:tcW w:w="1681" w:type="dxa"/>
            <w:shd w:val="clear" w:color="auto" w:fill="D2EAF1"/>
            <w:hideMark/>
          </w:tcPr>
          <w:p w:rsidR="00771510" w:rsidRPr="00342E35" w:rsidRDefault="00771510" w:rsidP="008F207A">
            <w:pPr>
              <w:jc w:val="center"/>
              <w:rPr>
                <w:rFonts w:asciiTheme="minorHAnsi" w:hAnsiTheme="minorHAnsi"/>
                <w:i/>
                <w:color w:val="000000"/>
                <w:sz w:val="18"/>
              </w:rPr>
            </w:pPr>
            <w:r w:rsidRPr="00342E35">
              <w:rPr>
                <w:rFonts w:asciiTheme="minorHAnsi" w:hAnsiTheme="minorHAnsi"/>
                <w:i/>
                <w:color w:val="000000"/>
                <w:sz w:val="18"/>
              </w:rPr>
              <w:t>889,37</w:t>
            </w:r>
          </w:p>
        </w:tc>
        <w:tc>
          <w:tcPr>
            <w:tcW w:w="1583" w:type="dxa"/>
            <w:shd w:val="clear" w:color="auto" w:fill="D2EAF1"/>
            <w:hideMark/>
          </w:tcPr>
          <w:p w:rsidR="00771510" w:rsidRPr="00342E35" w:rsidRDefault="00771510" w:rsidP="008F207A">
            <w:pPr>
              <w:jc w:val="center"/>
              <w:rPr>
                <w:rFonts w:asciiTheme="minorHAnsi" w:hAnsiTheme="minorHAnsi"/>
                <w:i/>
                <w:color w:val="000000"/>
                <w:sz w:val="18"/>
              </w:rPr>
            </w:pPr>
            <w:r w:rsidRPr="00342E35">
              <w:rPr>
                <w:rFonts w:asciiTheme="minorHAnsi" w:hAnsiTheme="minorHAnsi"/>
                <w:i/>
                <w:color w:val="000000"/>
                <w:sz w:val="18"/>
              </w:rPr>
              <w:t>2,28</w:t>
            </w:r>
          </w:p>
        </w:tc>
        <w:tc>
          <w:tcPr>
            <w:tcW w:w="1624" w:type="dxa"/>
            <w:shd w:val="clear" w:color="auto" w:fill="D2EAF1"/>
            <w:hideMark/>
          </w:tcPr>
          <w:p w:rsidR="00771510" w:rsidRPr="00342E35" w:rsidRDefault="00771510" w:rsidP="008F207A">
            <w:pPr>
              <w:jc w:val="center"/>
              <w:rPr>
                <w:rFonts w:asciiTheme="minorHAnsi" w:hAnsiTheme="minorHAnsi"/>
                <w:bCs/>
                <w:i/>
                <w:color w:val="000000"/>
                <w:sz w:val="18"/>
              </w:rPr>
            </w:pPr>
            <w:r w:rsidRPr="00342E35">
              <w:rPr>
                <w:rFonts w:asciiTheme="minorHAnsi" w:hAnsiTheme="minorHAnsi"/>
                <w:bCs/>
                <w:i/>
                <w:color w:val="000000"/>
                <w:sz w:val="18"/>
              </w:rPr>
              <w:t>891,65</w:t>
            </w:r>
          </w:p>
        </w:tc>
      </w:tr>
      <w:tr w:rsidR="00771510" w:rsidRPr="00342E35" w:rsidTr="00342E35">
        <w:trPr>
          <w:trHeight w:val="200"/>
          <w:jc w:val="center"/>
        </w:trPr>
        <w:tc>
          <w:tcPr>
            <w:tcW w:w="4493" w:type="dxa"/>
            <w:tcBorders>
              <w:right w:val="nil"/>
            </w:tcBorders>
            <w:shd w:val="clear" w:color="auto" w:fill="auto"/>
            <w:hideMark/>
          </w:tcPr>
          <w:p w:rsidR="00771510" w:rsidRPr="00342E35" w:rsidRDefault="00771510" w:rsidP="008F207A">
            <w:pPr>
              <w:rPr>
                <w:rFonts w:asciiTheme="minorHAnsi" w:hAnsiTheme="minorHAnsi"/>
                <w:bCs/>
                <w:i/>
                <w:color w:val="000000"/>
                <w:sz w:val="18"/>
              </w:rPr>
            </w:pPr>
            <w:r w:rsidRPr="00342E35">
              <w:rPr>
                <w:rFonts w:asciiTheme="minorHAnsi" w:hAnsiTheme="minorHAnsi"/>
                <w:bCs/>
                <w:i/>
                <w:color w:val="000000"/>
                <w:sz w:val="18"/>
              </w:rPr>
              <w:t>Investime</w:t>
            </w:r>
          </w:p>
        </w:tc>
        <w:tc>
          <w:tcPr>
            <w:tcW w:w="1681" w:type="dxa"/>
            <w:tcBorders>
              <w:left w:val="nil"/>
              <w:right w:val="nil"/>
            </w:tcBorders>
            <w:shd w:val="clear" w:color="auto" w:fill="auto"/>
            <w:hideMark/>
          </w:tcPr>
          <w:p w:rsidR="00771510" w:rsidRPr="00342E35" w:rsidRDefault="00771510" w:rsidP="008F207A">
            <w:pPr>
              <w:jc w:val="center"/>
              <w:rPr>
                <w:rFonts w:asciiTheme="minorHAnsi" w:hAnsiTheme="minorHAnsi"/>
                <w:i/>
                <w:color w:val="000000"/>
                <w:sz w:val="18"/>
              </w:rPr>
            </w:pPr>
            <w:r w:rsidRPr="00342E35">
              <w:rPr>
                <w:rFonts w:asciiTheme="minorHAnsi" w:hAnsiTheme="minorHAnsi"/>
                <w:i/>
                <w:color w:val="000000"/>
                <w:sz w:val="18"/>
              </w:rPr>
              <w:t>0,87</w:t>
            </w:r>
          </w:p>
        </w:tc>
        <w:tc>
          <w:tcPr>
            <w:tcW w:w="1583" w:type="dxa"/>
            <w:tcBorders>
              <w:left w:val="nil"/>
              <w:right w:val="nil"/>
            </w:tcBorders>
            <w:shd w:val="clear" w:color="auto" w:fill="auto"/>
            <w:hideMark/>
          </w:tcPr>
          <w:p w:rsidR="00771510" w:rsidRPr="00342E35" w:rsidRDefault="00771510" w:rsidP="008F207A">
            <w:pPr>
              <w:jc w:val="center"/>
              <w:rPr>
                <w:rFonts w:asciiTheme="minorHAnsi" w:hAnsiTheme="minorHAnsi"/>
                <w:i/>
                <w:color w:val="000000"/>
                <w:sz w:val="18"/>
              </w:rPr>
            </w:pPr>
            <w:r w:rsidRPr="00342E35">
              <w:rPr>
                <w:rFonts w:asciiTheme="minorHAnsi" w:hAnsiTheme="minorHAnsi"/>
                <w:i/>
                <w:color w:val="000000"/>
                <w:sz w:val="18"/>
              </w:rPr>
              <w:t>-</w:t>
            </w:r>
          </w:p>
        </w:tc>
        <w:tc>
          <w:tcPr>
            <w:tcW w:w="1624" w:type="dxa"/>
            <w:tcBorders>
              <w:left w:val="nil"/>
            </w:tcBorders>
            <w:shd w:val="clear" w:color="auto" w:fill="auto"/>
            <w:hideMark/>
          </w:tcPr>
          <w:p w:rsidR="00771510" w:rsidRPr="00342E35" w:rsidRDefault="00771510" w:rsidP="008F207A">
            <w:pPr>
              <w:jc w:val="center"/>
              <w:rPr>
                <w:rFonts w:asciiTheme="minorHAnsi" w:hAnsiTheme="minorHAnsi"/>
                <w:bCs/>
                <w:i/>
                <w:color w:val="000000"/>
                <w:sz w:val="18"/>
              </w:rPr>
            </w:pPr>
            <w:r w:rsidRPr="00342E35">
              <w:rPr>
                <w:rFonts w:asciiTheme="minorHAnsi" w:hAnsiTheme="minorHAnsi"/>
                <w:bCs/>
                <w:i/>
                <w:color w:val="000000"/>
                <w:sz w:val="18"/>
              </w:rPr>
              <w:t>0,87</w:t>
            </w:r>
          </w:p>
        </w:tc>
      </w:tr>
      <w:tr w:rsidR="00771510" w:rsidRPr="00342E35" w:rsidTr="00342E35">
        <w:trPr>
          <w:trHeight w:val="200"/>
          <w:jc w:val="center"/>
        </w:trPr>
        <w:tc>
          <w:tcPr>
            <w:tcW w:w="4493" w:type="dxa"/>
            <w:shd w:val="clear" w:color="auto" w:fill="D2EAF1"/>
            <w:hideMark/>
          </w:tcPr>
          <w:p w:rsidR="00771510" w:rsidRPr="00342E35" w:rsidRDefault="00771510" w:rsidP="008F207A">
            <w:pPr>
              <w:jc w:val="center"/>
              <w:rPr>
                <w:rFonts w:asciiTheme="minorHAnsi" w:hAnsiTheme="minorHAnsi"/>
                <w:b/>
                <w:bCs/>
                <w:color w:val="000000"/>
                <w:sz w:val="18"/>
              </w:rPr>
            </w:pPr>
            <w:r w:rsidRPr="00342E35">
              <w:rPr>
                <w:rFonts w:asciiTheme="minorHAnsi" w:hAnsiTheme="minorHAnsi"/>
                <w:b/>
                <w:bCs/>
                <w:color w:val="000000"/>
                <w:sz w:val="18"/>
              </w:rPr>
              <w:t>APARATI</w:t>
            </w:r>
          </w:p>
        </w:tc>
        <w:tc>
          <w:tcPr>
            <w:tcW w:w="1681" w:type="dxa"/>
            <w:shd w:val="clear" w:color="auto" w:fill="D2EAF1"/>
            <w:hideMark/>
          </w:tcPr>
          <w:p w:rsidR="00771510" w:rsidRPr="00342E35" w:rsidRDefault="00771510" w:rsidP="008F207A">
            <w:pPr>
              <w:jc w:val="center"/>
              <w:rPr>
                <w:rFonts w:asciiTheme="minorHAnsi" w:hAnsiTheme="minorHAnsi"/>
                <w:b/>
                <w:bCs/>
                <w:color w:val="000000"/>
                <w:sz w:val="18"/>
              </w:rPr>
            </w:pPr>
            <w:r w:rsidRPr="00342E35">
              <w:rPr>
                <w:rFonts w:asciiTheme="minorHAnsi" w:hAnsiTheme="minorHAnsi"/>
                <w:b/>
                <w:bCs/>
                <w:color w:val="000000"/>
                <w:sz w:val="18"/>
              </w:rPr>
              <w:t>890,24</w:t>
            </w:r>
          </w:p>
        </w:tc>
        <w:tc>
          <w:tcPr>
            <w:tcW w:w="1583" w:type="dxa"/>
            <w:shd w:val="clear" w:color="auto" w:fill="D2EAF1"/>
            <w:hideMark/>
          </w:tcPr>
          <w:p w:rsidR="00771510" w:rsidRPr="00342E35" w:rsidRDefault="00771510" w:rsidP="008F207A">
            <w:pPr>
              <w:jc w:val="center"/>
              <w:rPr>
                <w:rFonts w:asciiTheme="minorHAnsi" w:hAnsiTheme="minorHAnsi"/>
                <w:b/>
                <w:bCs/>
                <w:color w:val="000000"/>
                <w:sz w:val="18"/>
              </w:rPr>
            </w:pPr>
            <w:r w:rsidRPr="00342E35">
              <w:rPr>
                <w:rFonts w:asciiTheme="minorHAnsi" w:hAnsiTheme="minorHAnsi"/>
                <w:b/>
                <w:bCs/>
                <w:color w:val="000000"/>
                <w:sz w:val="18"/>
              </w:rPr>
              <w:t>2,28</w:t>
            </w:r>
          </w:p>
        </w:tc>
        <w:tc>
          <w:tcPr>
            <w:tcW w:w="1624" w:type="dxa"/>
            <w:shd w:val="clear" w:color="auto" w:fill="D2EAF1"/>
            <w:hideMark/>
          </w:tcPr>
          <w:p w:rsidR="00771510" w:rsidRPr="00342E35" w:rsidRDefault="00771510" w:rsidP="008F207A">
            <w:pPr>
              <w:jc w:val="center"/>
              <w:rPr>
                <w:rFonts w:asciiTheme="minorHAnsi" w:hAnsiTheme="minorHAnsi"/>
                <w:b/>
                <w:bCs/>
                <w:color w:val="000000"/>
                <w:sz w:val="18"/>
              </w:rPr>
            </w:pPr>
            <w:r w:rsidRPr="00342E35">
              <w:rPr>
                <w:rFonts w:asciiTheme="minorHAnsi" w:hAnsiTheme="minorHAnsi"/>
                <w:b/>
                <w:bCs/>
                <w:color w:val="000000"/>
                <w:sz w:val="18"/>
              </w:rPr>
              <w:t>892,52</w:t>
            </w:r>
          </w:p>
        </w:tc>
      </w:tr>
      <w:tr w:rsidR="00771510" w:rsidRPr="00342E35" w:rsidTr="00342E35">
        <w:trPr>
          <w:trHeight w:val="301"/>
          <w:jc w:val="center"/>
        </w:trPr>
        <w:tc>
          <w:tcPr>
            <w:tcW w:w="4493" w:type="dxa"/>
            <w:tcBorders>
              <w:right w:val="nil"/>
            </w:tcBorders>
            <w:shd w:val="clear" w:color="auto" w:fill="auto"/>
            <w:hideMark/>
          </w:tcPr>
          <w:p w:rsidR="00771510" w:rsidRPr="00342E35" w:rsidRDefault="00771510" w:rsidP="008F207A">
            <w:pPr>
              <w:jc w:val="center"/>
              <w:rPr>
                <w:rFonts w:asciiTheme="minorHAnsi" w:hAnsiTheme="minorHAnsi"/>
                <w:b/>
                <w:bCs/>
                <w:color w:val="000000"/>
                <w:sz w:val="18"/>
              </w:rPr>
            </w:pPr>
          </w:p>
          <w:p w:rsidR="00771510" w:rsidRPr="00342E35" w:rsidRDefault="00771510" w:rsidP="008F207A">
            <w:pPr>
              <w:jc w:val="center"/>
              <w:rPr>
                <w:rFonts w:asciiTheme="minorHAnsi" w:hAnsiTheme="minorHAnsi"/>
                <w:b/>
                <w:bCs/>
                <w:color w:val="000000"/>
                <w:sz w:val="18"/>
              </w:rPr>
            </w:pPr>
            <w:r w:rsidRPr="00342E35">
              <w:rPr>
                <w:rFonts w:asciiTheme="minorHAnsi" w:hAnsiTheme="minorHAnsi"/>
                <w:b/>
                <w:bCs/>
                <w:color w:val="000000"/>
                <w:sz w:val="18"/>
              </w:rPr>
              <w:t>Total</w:t>
            </w:r>
          </w:p>
        </w:tc>
        <w:tc>
          <w:tcPr>
            <w:tcW w:w="1681" w:type="dxa"/>
            <w:tcBorders>
              <w:left w:val="nil"/>
              <w:right w:val="nil"/>
            </w:tcBorders>
            <w:shd w:val="clear" w:color="auto" w:fill="auto"/>
            <w:hideMark/>
          </w:tcPr>
          <w:p w:rsidR="00771510" w:rsidRPr="00342E35" w:rsidRDefault="00771510" w:rsidP="008F207A">
            <w:pPr>
              <w:jc w:val="center"/>
              <w:rPr>
                <w:rFonts w:asciiTheme="minorHAnsi" w:hAnsiTheme="minorHAnsi"/>
                <w:b/>
                <w:bCs/>
                <w:color w:val="000000"/>
                <w:sz w:val="18"/>
                <w:szCs w:val="16"/>
              </w:rPr>
            </w:pPr>
          </w:p>
          <w:p w:rsidR="00771510" w:rsidRPr="00342E35" w:rsidRDefault="00771510" w:rsidP="008F207A">
            <w:pPr>
              <w:jc w:val="center"/>
              <w:rPr>
                <w:rFonts w:asciiTheme="minorHAnsi" w:hAnsiTheme="minorHAnsi"/>
                <w:b/>
                <w:bCs/>
                <w:color w:val="000000"/>
                <w:sz w:val="18"/>
              </w:rPr>
            </w:pPr>
            <w:r w:rsidRPr="00342E35">
              <w:rPr>
                <w:rFonts w:asciiTheme="minorHAnsi" w:hAnsiTheme="minorHAnsi"/>
                <w:b/>
                <w:bCs/>
                <w:color w:val="000000"/>
                <w:sz w:val="18"/>
              </w:rPr>
              <w:t>1.617,90</w:t>
            </w:r>
          </w:p>
        </w:tc>
        <w:tc>
          <w:tcPr>
            <w:tcW w:w="1583" w:type="dxa"/>
            <w:tcBorders>
              <w:left w:val="nil"/>
              <w:right w:val="nil"/>
            </w:tcBorders>
            <w:shd w:val="clear" w:color="auto" w:fill="auto"/>
            <w:hideMark/>
          </w:tcPr>
          <w:p w:rsidR="00771510" w:rsidRPr="00342E35" w:rsidRDefault="00771510" w:rsidP="008F207A">
            <w:pPr>
              <w:jc w:val="center"/>
              <w:rPr>
                <w:rFonts w:asciiTheme="minorHAnsi" w:hAnsiTheme="minorHAnsi"/>
                <w:b/>
                <w:bCs/>
                <w:color w:val="000000"/>
                <w:sz w:val="18"/>
                <w:szCs w:val="16"/>
              </w:rPr>
            </w:pPr>
          </w:p>
          <w:p w:rsidR="00771510" w:rsidRPr="00342E35" w:rsidRDefault="00771510" w:rsidP="008F207A">
            <w:pPr>
              <w:jc w:val="center"/>
              <w:rPr>
                <w:rFonts w:asciiTheme="minorHAnsi" w:hAnsiTheme="minorHAnsi"/>
                <w:b/>
                <w:bCs/>
                <w:color w:val="000000"/>
                <w:sz w:val="18"/>
              </w:rPr>
            </w:pPr>
            <w:r w:rsidRPr="00342E35">
              <w:rPr>
                <w:rFonts w:asciiTheme="minorHAnsi" w:hAnsiTheme="minorHAnsi"/>
                <w:b/>
                <w:bCs/>
                <w:color w:val="000000"/>
                <w:sz w:val="18"/>
              </w:rPr>
              <w:t>98,67</w:t>
            </w:r>
          </w:p>
        </w:tc>
        <w:tc>
          <w:tcPr>
            <w:tcW w:w="1624" w:type="dxa"/>
            <w:tcBorders>
              <w:left w:val="nil"/>
            </w:tcBorders>
            <w:shd w:val="clear" w:color="auto" w:fill="auto"/>
            <w:hideMark/>
          </w:tcPr>
          <w:p w:rsidR="00771510" w:rsidRPr="00342E35" w:rsidRDefault="00771510" w:rsidP="008F207A">
            <w:pPr>
              <w:jc w:val="center"/>
              <w:rPr>
                <w:rFonts w:asciiTheme="minorHAnsi" w:hAnsiTheme="minorHAnsi"/>
                <w:b/>
                <w:bCs/>
                <w:color w:val="000000"/>
                <w:sz w:val="18"/>
                <w:szCs w:val="16"/>
              </w:rPr>
            </w:pPr>
          </w:p>
          <w:p w:rsidR="00771510" w:rsidRPr="00342E35" w:rsidRDefault="00771510" w:rsidP="008F207A">
            <w:pPr>
              <w:jc w:val="center"/>
              <w:rPr>
                <w:rFonts w:asciiTheme="minorHAnsi" w:hAnsiTheme="minorHAnsi"/>
                <w:b/>
                <w:bCs/>
                <w:color w:val="000000"/>
                <w:sz w:val="18"/>
              </w:rPr>
            </w:pPr>
            <w:r w:rsidRPr="00342E35">
              <w:rPr>
                <w:rFonts w:asciiTheme="minorHAnsi" w:hAnsiTheme="minorHAnsi"/>
                <w:b/>
                <w:bCs/>
                <w:color w:val="000000"/>
                <w:sz w:val="18"/>
              </w:rPr>
              <w:t>1.716,57</w:t>
            </w:r>
          </w:p>
        </w:tc>
      </w:tr>
    </w:tbl>
    <w:p w:rsidR="003F668C" w:rsidRPr="0064168E" w:rsidRDefault="00C23C7E" w:rsidP="003F668C">
      <w:pPr>
        <w:spacing w:line="276" w:lineRule="auto"/>
        <w:rPr>
          <w:rFonts w:asciiTheme="minorHAnsi" w:eastAsia="SimSun" w:hAnsiTheme="minorHAnsi"/>
          <w:i/>
          <w:sz w:val="20"/>
          <w:szCs w:val="20"/>
          <w:lang w:val="sq-AL"/>
        </w:rPr>
      </w:pPr>
      <w:r w:rsidRPr="0064168E">
        <w:rPr>
          <w:rFonts w:asciiTheme="minorHAnsi" w:eastAsia="SimSun" w:hAnsiTheme="minorHAnsi"/>
          <w:i/>
          <w:sz w:val="20"/>
          <w:szCs w:val="20"/>
          <w:lang w:val="sq-AL"/>
        </w:rPr>
        <w:t>Burimi: Ministria e Financave dhe Ekonomisë (2020)</w:t>
      </w:r>
    </w:p>
    <w:p w:rsidR="005260A8" w:rsidRPr="00342E35" w:rsidRDefault="005260A8" w:rsidP="009853E5">
      <w:pPr>
        <w:spacing w:line="276" w:lineRule="auto"/>
        <w:jc w:val="both"/>
        <w:rPr>
          <w:rFonts w:asciiTheme="minorHAnsi" w:hAnsiTheme="minorHAnsi"/>
          <w:sz w:val="12"/>
          <w:lang w:val="sq-AL"/>
        </w:rPr>
      </w:pPr>
    </w:p>
    <w:p w:rsidR="009853E5" w:rsidRPr="00E07508" w:rsidRDefault="009853E5" w:rsidP="009853E5">
      <w:pPr>
        <w:spacing w:line="276" w:lineRule="auto"/>
        <w:jc w:val="both"/>
        <w:rPr>
          <w:rFonts w:asciiTheme="minorHAnsi" w:eastAsia="SimSun" w:hAnsiTheme="minorHAnsi"/>
          <w:i/>
          <w:sz w:val="22"/>
          <w:lang w:val="sq-AL"/>
        </w:rPr>
      </w:pPr>
      <w:r w:rsidRPr="00E07508">
        <w:rPr>
          <w:rFonts w:asciiTheme="minorHAnsi" w:hAnsiTheme="minorHAnsi"/>
          <w:lang w:val="sq-AL"/>
        </w:rPr>
        <w:t>Në nivel tremujori, referuar të dhënave të raportuara nga ministritë e linjës, vihet re se:</w:t>
      </w:r>
    </w:p>
    <w:p w:rsidR="009853E5" w:rsidRPr="00342E35" w:rsidRDefault="009853E5" w:rsidP="00503465">
      <w:pPr>
        <w:numPr>
          <w:ilvl w:val="0"/>
          <w:numId w:val="10"/>
        </w:numPr>
        <w:spacing w:line="276" w:lineRule="auto"/>
        <w:ind w:left="450"/>
        <w:contextualSpacing/>
        <w:jc w:val="both"/>
        <w:rPr>
          <w:rFonts w:asciiTheme="minorHAnsi" w:hAnsiTheme="minorHAnsi"/>
          <w:i/>
          <w:lang w:val="sq-AL"/>
        </w:rPr>
      </w:pPr>
      <w:r w:rsidRPr="00342E35">
        <w:rPr>
          <w:rFonts w:asciiTheme="minorHAnsi" w:hAnsiTheme="minorHAnsi"/>
          <w:i/>
          <w:lang w:val="sq-AL"/>
        </w:rPr>
        <w:t>Detyrimet e reja të krijuara gjatë tremujorit Janar-Mars 2020, janë 1.4 miliard Lekë.</w:t>
      </w:r>
    </w:p>
    <w:p w:rsidR="009853E5" w:rsidRPr="00342E35" w:rsidRDefault="009853E5" w:rsidP="00503465">
      <w:pPr>
        <w:numPr>
          <w:ilvl w:val="0"/>
          <w:numId w:val="10"/>
        </w:numPr>
        <w:spacing w:line="276" w:lineRule="auto"/>
        <w:ind w:left="450"/>
        <w:contextualSpacing/>
        <w:jc w:val="both"/>
        <w:rPr>
          <w:rFonts w:asciiTheme="minorHAnsi" w:hAnsiTheme="minorHAnsi"/>
          <w:i/>
          <w:lang w:val="sq-AL"/>
        </w:rPr>
      </w:pPr>
      <w:r w:rsidRPr="00342E35">
        <w:rPr>
          <w:rFonts w:asciiTheme="minorHAnsi" w:hAnsiTheme="minorHAnsi"/>
          <w:i/>
          <w:lang w:val="sq-AL"/>
        </w:rPr>
        <w:t>Detyrime të prapambetura të shlyera gjatë Janar-Mars 2020, janë rreth 3.1 miliard Lekë.</w:t>
      </w:r>
    </w:p>
    <w:p w:rsidR="00AF49E0" w:rsidRDefault="009853E5" w:rsidP="00AF49E0">
      <w:pPr>
        <w:numPr>
          <w:ilvl w:val="0"/>
          <w:numId w:val="10"/>
        </w:numPr>
        <w:spacing w:line="276" w:lineRule="auto"/>
        <w:ind w:left="450"/>
        <w:contextualSpacing/>
        <w:jc w:val="both"/>
        <w:rPr>
          <w:rFonts w:asciiTheme="minorHAnsi" w:hAnsiTheme="minorHAnsi"/>
          <w:i/>
          <w:lang w:val="sq-AL"/>
        </w:rPr>
      </w:pPr>
      <w:r w:rsidRPr="00342E35">
        <w:rPr>
          <w:rFonts w:asciiTheme="minorHAnsi" w:hAnsiTheme="minorHAnsi"/>
          <w:i/>
          <w:lang w:val="sq-AL"/>
        </w:rPr>
        <w:t>Pjesën më të madhe të detyrimeve të reja të krijuara në tre mujorin e parë të viti 2020 e zënë detyrimet e krijuara nga Ministria e Mbrojtjes dhe Drejtoria e Përgjithshme e Tatimeve.</w:t>
      </w:r>
    </w:p>
    <w:p w:rsidR="00342E35" w:rsidRPr="00342E35" w:rsidRDefault="00342E35" w:rsidP="00342E35">
      <w:pPr>
        <w:spacing w:line="276" w:lineRule="auto"/>
        <w:ind w:left="450"/>
        <w:contextualSpacing/>
        <w:jc w:val="both"/>
        <w:rPr>
          <w:rFonts w:asciiTheme="minorHAnsi" w:hAnsiTheme="minorHAnsi"/>
          <w:i/>
          <w:lang w:val="sq-AL"/>
        </w:rPr>
      </w:pPr>
    </w:p>
    <w:p w:rsidR="00562780" w:rsidRPr="0065598A" w:rsidRDefault="007E138B" w:rsidP="008F207A">
      <w:pPr>
        <w:spacing w:before="240" w:beforeAutospacing="1" w:line="276" w:lineRule="auto"/>
        <w:jc w:val="both"/>
        <w:rPr>
          <w:rFonts w:asciiTheme="minorHAnsi" w:hAnsiTheme="minorHAnsi"/>
          <w:b/>
          <w:color w:val="4F81BD" w:themeColor="accent1"/>
          <w:sz w:val="26"/>
          <w:szCs w:val="26"/>
          <w:lang w:val="sq-AL"/>
        </w:rPr>
      </w:pPr>
      <w:r w:rsidRPr="0065598A">
        <w:rPr>
          <w:rFonts w:asciiTheme="minorHAnsi" w:hAnsiTheme="minorHAnsi"/>
          <w:b/>
          <w:color w:val="4F81BD" w:themeColor="accent1"/>
          <w:sz w:val="26"/>
          <w:szCs w:val="26"/>
          <w:lang w:val="sq-AL"/>
        </w:rPr>
        <w:t>V.</w:t>
      </w:r>
      <w:r w:rsidR="008705D0" w:rsidRPr="0065598A">
        <w:rPr>
          <w:rFonts w:asciiTheme="minorHAnsi" w:hAnsiTheme="minorHAnsi"/>
          <w:b/>
          <w:color w:val="4F81BD" w:themeColor="accent1"/>
          <w:sz w:val="26"/>
          <w:szCs w:val="26"/>
          <w:lang w:val="sq-AL"/>
        </w:rPr>
        <w:t>2</w:t>
      </w:r>
      <w:r w:rsidR="006F5F7D" w:rsidRPr="0065598A">
        <w:rPr>
          <w:rFonts w:asciiTheme="minorHAnsi" w:hAnsiTheme="minorHAnsi"/>
          <w:b/>
          <w:color w:val="4F81BD" w:themeColor="accent1"/>
          <w:sz w:val="26"/>
          <w:szCs w:val="26"/>
          <w:lang w:val="sq-AL"/>
        </w:rPr>
        <w:t>.1</w:t>
      </w:r>
      <w:r w:rsidR="006F5F7D" w:rsidRPr="0065598A">
        <w:rPr>
          <w:rFonts w:asciiTheme="minorHAnsi" w:hAnsiTheme="minorHAnsi"/>
          <w:b/>
          <w:color w:val="4F81BD" w:themeColor="accent1"/>
          <w:sz w:val="26"/>
          <w:szCs w:val="26"/>
          <w:lang w:val="sq-AL"/>
        </w:rPr>
        <w:tab/>
      </w:r>
      <w:r w:rsidR="00562780" w:rsidRPr="0065598A">
        <w:rPr>
          <w:rFonts w:asciiTheme="minorHAnsi" w:hAnsiTheme="minorHAnsi"/>
          <w:b/>
          <w:color w:val="4F81BD" w:themeColor="accent1"/>
          <w:sz w:val="26"/>
          <w:szCs w:val="26"/>
          <w:lang w:val="sq-AL"/>
        </w:rPr>
        <w:t>Vendimet gjyqësore administrative të formës së prerë</w:t>
      </w:r>
    </w:p>
    <w:p w:rsidR="008F207A" w:rsidRPr="008F207A" w:rsidRDefault="008F207A" w:rsidP="009853E5">
      <w:pPr>
        <w:spacing w:before="240" w:after="200" w:line="276" w:lineRule="auto"/>
        <w:contextualSpacing/>
        <w:jc w:val="both"/>
        <w:rPr>
          <w:rFonts w:asciiTheme="minorHAnsi" w:eastAsia="Calibri" w:hAnsiTheme="minorHAnsi"/>
          <w:bCs/>
          <w:sz w:val="4"/>
          <w:szCs w:val="8"/>
          <w:lang w:val="sq-AL" w:eastAsia="sq-AL"/>
        </w:rPr>
      </w:pPr>
      <w:bookmarkStart w:id="122" w:name="_Toc11141715"/>
    </w:p>
    <w:p w:rsidR="009853E5" w:rsidRPr="00994E0F" w:rsidRDefault="009853E5" w:rsidP="009853E5">
      <w:pPr>
        <w:spacing w:before="240" w:after="200" w:line="276" w:lineRule="auto"/>
        <w:contextualSpacing/>
        <w:jc w:val="both"/>
        <w:rPr>
          <w:rFonts w:asciiTheme="minorHAnsi" w:eastAsia="Calibri" w:hAnsiTheme="minorHAnsi"/>
          <w:bCs/>
          <w:lang w:val="sq-AL" w:eastAsia="sq-AL"/>
        </w:rPr>
      </w:pPr>
      <w:r w:rsidRPr="00994E0F">
        <w:rPr>
          <w:rFonts w:asciiTheme="minorHAnsi" w:eastAsia="Calibri" w:hAnsiTheme="minorHAnsi"/>
          <w:bCs/>
          <w:lang w:val="sq-AL" w:eastAsia="sq-AL"/>
        </w:rPr>
        <w:t xml:space="preserve">Këto vendime kanë kryesisht në sfond largimet e padrejta nga puna të ish-punonjësve, të cilat në çdo rast implikojnë kosto buxhetore të paparashikuara. Këto detyrime monitorohen dhe raportohen nga Ministria e Financave dhe Ekonomisë, në kuadër të monitorimit të përgjithshëm të detyrimeve të prapambetura. </w:t>
      </w:r>
    </w:p>
    <w:p w:rsidR="009853E5" w:rsidRPr="00994E0F" w:rsidRDefault="009853E5" w:rsidP="009853E5">
      <w:pPr>
        <w:spacing w:before="240" w:after="200" w:line="276" w:lineRule="auto"/>
        <w:contextualSpacing/>
        <w:jc w:val="both"/>
        <w:rPr>
          <w:rFonts w:asciiTheme="minorHAnsi" w:eastAsia="Calibri" w:hAnsiTheme="minorHAnsi"/>
          <w:bCs/>
          <w:sz w:val="8"/>
          <w:szCs w:val="8"/>
          <w:lang w:val="sq-AL" w:eastAsia="sq-AL"/>
        </w:rPr>
      </w:pPr>
    </w:p>
    <w:p w:rsidR="009853E5" w:rsidRPr="00994E0F" w:rsidRDefault="009853E5" w:rsidP="009853E5">
      <w:pPr>
        <w:spacing w:before="240" w:after="200" w:line="276" w:lineRule="auto"/>
        <w:contextualSpacing/>
        <w:jc w:val="both"/>
        <w:rPr>
          <w:rFonts w:asciiTheme="minorHAnsi" w:eastAsia="Calibri" w:hAnsiTheme="minorHAnsi"/>
          <w:bCs/>
          <w:lang w:val="sq-AL" w:eastAsia="sq-AL"/>
        </w:rPr>
      </w:pPr>
      <w:r w:rsidRPr="00994E0F">
        <w:rPr>
          <w:rFonts w:asciiTheme="minorHAnsi" w:eastAsia="Calibri" w:hAnsiTheme="minorHAnsi"/>
          <w:bCs/>
          <w:lang w:val="sq-AL" w:eastAsia="sq-AL"/>
        </w:rPr>
        <w:t>Ministria e Financave dhe Ekonomisë, për t’i paraprirë akumulimit të tyre në kohë, përveç një monitorimi periodik, vazhdimisht i ka bërë apel aftësisë menaxhuese të vetë institucioneve buxhetore, përmes aplikimit me këste të pagesës për përfituesit apo instrumentave të tjerë të lehtësimit dhe/ose zhvendosjes në kohë të të barrës së tyre buxhetore. Grafiku i mëposhtëm paraqet ecurinë e nivelit të detyrimeve të prapambetura për vendime gjyqësore deri në Mars 2020, mbi bazë tremujore.</w:t>
      </w:r>
    </w:p>
    <w:p w:rsidR="00562780" w:rsidRPr="0065598A" w:rsidRDefault="006F5F7D" w:rsidP="00562780">
      <w:pPr>
        <w:pStyle w:val="Caption"/>
        <w:spacing w:after="0" w:line="276" w:lineRule="auto"/>
        <w:jc w:val="both"/>
        <w:rPr>
          <w:rFonts w:asciiTheme="minorHAnsi" w:hAnsiTheme="minorHAnsi"/>
          <w:b w:val="0"/>
          <w:bCs w:val="0"/>
          <w:i/>
          <w:color w:val="auto"/>
          <w:sz w:val="24"/>
          <w:szCs w:val="24"/>
          <w:lang w:val="sq-AL"/>
        </w:rPr>
      </w:pPr>
      <w:bookmarkStart w:id="123" w:name="_Toc44404485"/>
      <w:r w:rsidRPr="008F207A">
        <w:rPr>
          <w:rFonts w:asciiTheme="minorHAnsi" w:hAnsiTheme="minorHAnsi"/>
          <w:b w:val="0"/>
          <w:bCs w:val="0"/>
          <w:i/>
          <w:color w:val="auto"/>
          <w:sz w:val="24"/>
          <w:szCs w:val="24"/>
          <w:lang w:val="sq-AL"/>
        </w:rPr>
        <w:lastRenderedPageBreak/>
        <w:t xml:space="preserve">Grafiku </w:t>
      </w:r>
      <w:r w:rsidRPr="008F207A">
        <w:rPr>
          <w:rFonts w:asciiTheme="minorHAnsi" w:hAnsiTheme="minorHAnsi"/>
          <w:b w:val="0"/>
          <w:bCs w:val="0"/>
          <w:i/>
          <w:color w:val="auto"/>
          <w:sz w:val="24"/>
          <w:szCs w:val="24"/>
          <w:lang w:val="sq-AL"/>
        </w:rPr>
        <w:fldChar w:fldCharType="begin"/>
      </w:r>
      <w:r w:rsidRPr="008F207A">
        <w:rPr>
          <w:rFonts w:asciiTheme="minorHAnsi" w:hAnsiTheme="minorHAnsi"/>
          <w:b w:val="0"/>
          <w:bCs w:val="0"/>
          <w:i/>
          <w:color w:val="auto"/>
          <w:sz w:val="24"/>
          <w:szCs w:val="24"/>
          <w:lang w:val="sq-AL"/>
        </w:rPr>
        <w:instrText xml:space="preserve"> SEQ Grafiku \* ARABIC </w:instrText>
      </w:r>
      <w:r w:rsidRPr="008F207A">
        <w:rPr>
          <w:rFonts w:asciiTheme="minorHAnsi" w:hAnsiTheme="minorHAnsi"/>
          <w:b w:val="0"/>
          <w:bCs w:val="0"/>
          <w:i/>
          <w:color w:val="auto"/>
          <w:sz w:val="24"/>
          <w:szCs w:val="24"/>
          <w:lang w:val="sq-AL"/>
        </w:rPr>
        <w:fldChar w:fldCharType="separate"/>
      </w:r>
      <w:r w:rsidR="00C342E2">
        <w:rPr>
          <w:rFonts w:asciiTheme="minorHAnsi" w:hAnsiTheme="minorHAnsi"/>
          <w:b w:val="0"/>
          <w:bCs w:val="0"/>
          <w:i/>
          <w:noProof/>
          <w:color w:val="auto"/>
          <w:sz w:val="24"/>
          <w:szCs w:val="24"/>
          <w:lang w:val="sq-AL"/>
        </w:rPr>
        <w:t>45</w:t>
      </w:r>
      <w:r w:rsidRPr="008F207A">
        <w:rPr>
          <w:rFonts w:asciiTheme="minorHAnsi" w:hAnsiTheme="minorHAnsi"/>
          <w:b w:val="0"/>
          <w:bCs w:val="0"/>
          <w:i/>
          <w:color w:val="auto"/>
          <w:sz w:val="24"/>
          <w:szCs w:val="24"/>
          <w:lang w:val="sq-AL"/>
        </w:rPr>
        <w:fldChar w:fldCharType="end"/>
      </w:r>
      <w:r w:rsidR="00176D77" w:rsidRPr="008F207A">
        <w:rPr>
          <w:rFonts w:asciiTheme="minorHAnsi" w:hAnsiTheme="minorHAnsi"/>
          <w:b w:val="0"/>
          <w:bCs w:val="0"/>
          <w:i/>
          <w:color w:val="auto"/>
          <w:sz w:val="24"/>
          <w:szCs w:val="24"/>
          <w:lang w:val="sq-AL"/>
        </w:rPr>
        <w:t xml:space="preserve">: </w:t>
      </w:r>
      <w:r w:rsidR="00562780" w:rsidRPr="008F207A">
        <w:rPr>
          <w:rFonts w:asciiTheme="minorHAnsi" w:hAnsiTheme="minorHAnsi"/>
          <w:b w:val="0"/>
          <w:bCs w:val="0"/>
          <w:i/>
          <w:color w:val="auto"/>
          <w:sz w:val="24"/>
          <w:szCs w:val="24"/>
          <w:lang w:val="sq-AL"/>
        </w:rPr>
        <w:t>Ecuria e detyrimeve të prapambetura për vendime gjyqësore (në milionë lekë)</w:t>
      </w:r>
      <w:bookmarkEnd w:id="122"/>
      <w:bookmarkEnd w:id="123"/>
    </w:p>
    <w:p w:rsidR="00562780" w:rsidRPr="0065598A" w:rsidRDefault="008F207A" w:rsidP="008F207A">
      <w:pPr>
        <w:pStyle w:val="ListParagraph"/>
        <w:spacing w:line="276" w:lineRule="auto"/>
        <w:ind w:left="0"/>
        <w:jc w:val="center"/>
        <w:rPr>
          <w:rFonts w:asciiTheme="minorHAnsi" w:hAnsiTheme="minorHAnsi"/>
          <w:lang w:val="sq-AL"/>
        </w:rPr>
      </w:pPr>
      <w:r w:rsidRPr="006D7D46">
        <w:rPr>
          <w:noProof/>
          <w:sz w:val="22"/>
        </w:rPr>
        <w:drawing>
          <wp:inline distT="0" distB="0" distL="0" distR="0" wp14:anchorId="5DF0EF4F" wp14:editId="7F19A002">
            <wp:extent cx="6115050" cy="1600200"/>
            <wp:effectExtent l="0" t="0" r="0" b="0"/>
            <wp:docPr id="318" name="Chart 318"/>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69"/>
              </a:graphicData>
            </a:graphic>
          </wp:inline>
        </w:drawing>
      </w:r>
    </w:p>
    <w:p w:rsidR="006F5F7D" w:rsidRPr="0064168E" w:rsidRDefault="00C23C7E" w:rsidP="006F5F7D">
      <w:pPr>
        <w:spacing w:line="276" w:lineRule="auto"/>
        <w:ind w:firstLine="720"/>
        <w:rPr>
          <w:rFonts w:asciiTheme="minorHAnsi" w:eastAsia="SimSun" w:hAnsiTheme="minorHAnsi"/>
          <w:i/>
          <w:sz w:val="20"/>
          <w:szCs w:val="20"/>
          <w:lang w:val="sq-AL"/>
        </w:rPr>
      </w:pPr>
      <w:r w:rsidRPr="0064168E">
        <w:rPr>
          <w:rFonts w:asciiTheme="minorHAnsi" w:eastAsia="SimSun" w:hAnsiTheme="minorHAnsi"/>
          <w:i/>
          <w:sz w:val="20"/>
          <w:szCs w:val="20"/>
          <w:lang w:val="sq-AL"/>
        </w:rPr>
        <w:t>Burimi: Ministria e Financave dhe Ekonomisë (2020)</w:t>
      </w:r>
    </w:p>
    <w:p w:rsidR="00342E35" w:rsidRPr="00342E35" w:rsidRDefault="00342E35" w:rsidP="0064168E">
      <w:pPr>
        <w:spacing w:before="120" w:line="276" w:lineRule="auto"/>
        <w:contextualSpacing/>
        <w:jc w:val="both"/>
        <w:rPr>
          <w:rFonts w:asciiTheme="minorHAnsi" w:hAnsiTheme="minorHAnsi"/>
          <w:sz w:val="12"/>
          <w:lang w:val="sq-AL"/>
        </w:rPr>
      </w:pPr>
    </w:p>
    <w:p w:rsidR="00562780" w:rsidRDefault="009853E5" w:rsidP="0064168E">
      <w:pPr>
        <w:spacing w:before="120" w:line="276" w:lineRule="auto"/>
        <w:contextualSpacing/>
        <w:jc w:val="both"/>
        <w:rPr>
          <w:rFonts w:asciiTheme="minorHAnsi" w:hAnsiTheme="minorHAnsi"/>
          <w:lang w:val="sq-AL"/>
        </w:rPr>
      </w:pPr>
      <w:r w:rsidRPr="002775F4">
        <w:rPr>
          <w:rFonts w:asciiTheme="minorHAnsi" w:hAnsiTheme="minorHAnsi"/>
          <w:lang w:val="sq-AL"/>
        </w:rPr>
        <w:t>Ministria e Financave dhe Ekonomisë i ka sugjeruar të gjitha njësive të auditimit të brendshëm në sektorin publik që në “</w:t>
      </w:r>
      <w:r w:rsidRPr="002775F4">
        <w:rPr>
          <w:rFonts w:asciiTheme="minorHAnsi" w:hAnsiTheme="minorHAnsi"/>
          <w:i/>
          <w:lang w:val="sq-AL"/>
        </w:rPr>
        <w:t>Planin strategjik dhe vjetor të veprimtarisë audituese për vitet 2018 – 2020</w:t>
      </w:r>
      <w:r w:rsidRPr="002775F4">
        <w:rPr>
          <w:rFonts w:asciiTheme="minorHAnsi" w:hAnsiTheme="minorHAnsi"/>
          <w:lang w:val="sq-AL"/>
        </w:rPr>
        <w:t xml:space="preserve">” të përfshijnë angazhime auditimi për analizimin dhe vlerësimin e situatës së detyrimeve të prapambetura të njësive publike. Kjo, përsa kohë që detyrimet e prapambetura janë përcaktuar si fushë me risk të lartë dhe duhet të trajtohen me përparësi nga auditimi i brendshëm i njësive publike, për të paraqituar gjendjen aktuale dhe për të dhënë rekomandime sa më të vlefshme për shlyerjen e tyre në afate të përcaktuara. </w:t>
      </w:r>
    </w:p>
    <w:p w:rsidR="0064168E" w:rsidRPr="0065598A" w:rsidRDefault="0064168E" w:rsidP="0064168E">
      <w:pPr>
        <w:spacing w:before="120" w:line="276" w:lineRule="auto"/>
        <w:contextualSpacing/>
        <w:jc w:val="both"/>
        <w:rPr>
          <w:rFonts w:asciiTheme="minorHAnsi" w:hAnsiTheme="minorHAnsi"/>
          <w:lang w:val="sq-AL"/>
        </w:rPr>
      </w:pPr>
    </w:p>
    <w:p w:rsidR="00562780" w:rsidRPr="0065598A" w:rsidRDefault="008705D0" w:rsidP="002334F6">
      <w:pPr>
        <w:pStyle w:val="Heading2"/>
      </w:pPr>
      <w:bookmarkStart w:id="124" w:name="_Toc44403620"/>
      <w:r w:rsidRPr="0065598A">
        <w:t>V.3</w:t>
      </w:r>
      <w:r w:rsidRPr="0065598A">
        <w:tab/>
      </w:r>
      <w:r w:rsidR="00562780" w:rsidRPr="0065598A">
        <w:t>Koncesionet/PPP-të</w:t>
      </w:r>
      <w:bookmarkEnd w:id="102"/>
      <w:bookmarkEnd w:id="103"/>
      <w:bookmarkEnd w:id="104"/>
      <w:bookmarkEnd w:id="124"/>
    </w:p>
    <w:p w:rsidR="0094272C" w:rsidRDefault="009853E5" w:rsidP="009853E5">
      <w:pPr>
        <w:spacing w:before="240" w:after="200" w:line="276" w:lineRule="auto"/>
        <w:contextualSpacing/>
        <w:jc w:val="both"/>
        <w:rPr>
          <w:rFonts w:asciiTheme="minorHAnsi" w:hAnsiTheme="minorHAnsi"/>
          <w:lang w:val="sq-AL"/>
        </w:rPr>
      </w:pPr>
      <w:r w:rsidRPr="004E355C">
        <w:rPr>
          <w:rFonts w:asciiTheme="minorHAnsi" w:hAnsiTheme="minorHAnsi"/>
          <w:lang w:val="sq-AL"/>
        </w:rPr>
        <w:t xml:space="preserve">Ministria e Financave dhe Ekonomisë (MFE) vlerëson dhe miraton paraprakisht të gjitha projektet koncesionare dhe të partneritetit publik privat (PPP), si edhe çdo ndryshim të tyre, nga pikëpamja e implikimeve individuale apo në grup, për shpenzimet buxhetore, deficitin buxhetor, qëndrueshmërinë e borxhit publik dhe detyrimet kontingjente eventuale. </w:t>
      </w:r>
    </w:p>
    <w:p w:rsidR="0094272C" w:rsidRPr="0094272C" w:rsidRDefault="0094272C" w:rsidP="009853E5">
      <w:pPr>
        <w:spacing w:before="240" w:after="200" w:line="276" w:lineRule="auto"/>
        <w:contextualSpacing/>
        <w:jc w:val="both"/>
        <w:rPr>
          <w:rFonts w:asciiTheme="minorHAnsi" w:hAnsiTheme="minorHAnsi"/>
          <w:sz w:val="8"/>
          <w:szCs w:val="8"/>
          <w:lang w:val="sq-AL"/>
        </w:rPr>
      </w:pPr>
    </w:p>
    <w:p w:rsidR="009853E5" w:rsidRPr="004E355C" w:rsidRDefault="009853E5" w:rsidP="009853E5">
      <w:pPr>
        <w:spacing w:before="240" w:after="200" w:line="276" w:lineRule="auto"/>
        <w:contextualSpacing/>
        <w:jc w:val="both"/>
        <w:rPr>
          <w:rFonts w:asciiTheme="minorHAnsi" w:hAnsiTheme="minorHAnsi"/>
          <w:lang w:val="sq-AL"/>
        </w:rPr>
      </w:pPr>
      <w:r w:rsidRPr="004E355C">
        <w:rPr>
          <w:rFonts w:asciiTheme="minorHAnsi" w:hAnsiTheme="minorHAnsi"/>
          <w:lang w:val="sq-AL"/>
        </w:rPr>
        <w:t>Shuma totale e pagesave vjetore neto, që kryhen nga njësitë e qeverisjes së përgjithshme, të cilat rezultojnë nga kontrata koncesionare apo partneriteti publik privat (PPP), si rregull, nuk duhet të tejkalojë kufirin prej 5 përqind të të ardhurave tatimore faktike të vitit paraardhës buxhetor. Në rast tejkalimi të këtij kufiri, Këshilli i Ministrave merr masa korrektuese në krahun e të ardhurave buxhetore, të nevojshme dhe të mjaftueshme, për t’u rikthyer brenda kufirit të lejuar, gjatë dy viteve të ardhshme buxhetore. Referuar përgjegjësive specifike të njësive monitoruese respektive në MFE, të gjitha njësitë e qeverisjes qendrore, ndërmarrjet shtetërore dhe autoritetet kontraktuese janë të detyruara të paraqesin:</w:t>
      </w:r>
    </w:p>
    <w:p w:rsidR="009051B3" w:rsidRPr="004E355C" w:rsidRDefault="009051B3" w:rsidP="00503465">
      <w:pPr>
        <w:numPr>
          <w:ilvl w:val="0"/>
          <w:numId w:val="5"/>
        </w:numPr>
        <w:spacing w:before="240" w:after="200" w:line="276" w:lineRule="auto"/>
        <w:ind w:left="450" w:hanging="270"/>
        <w:contextualSpacing/>
        <w:jc w:val="both"/>
        <w:rPr>
          <w:rFonts w:asciiTheme="minorHAnsi" w:eastAsia="Calibri" w:hAnsiTheme="minorHAnsi"/>
          <w:u w:val="single"/>
          <w:lang w:val="sq-AL"/>
        </w:rPr>
      </w:pPr>
      <w:r w:rsidRPr="004E355C">
        <w:rPr>
          <w:rFonts w:asciiTheme="minorHAnsi" w:eastAsia="Calibri" w:hAnsiTheme="minorHAnsi"/>
          <w:u w:val="single"/>
          <w:lang w:val="sq-AL"/>
        </w:rPr>
        <w:t>Pranë Sektorit të Risqeve Fiskale në MFE:</w:t>
      </w:r>
    </w:p>
    <w:p w:rsidR="009051B3" w:rsidRPr="004E355C" w:rsidRDefault="009051B3" w:rsidP="00503465">
      <w:pPr>
        <w:numPr>
          <w:ilvl w:val="0"/>
          <w:numId w:val="6"/>
        </w:numPr>
        <w:spacing w:after="200" w:line="276" w:lineRule="auto"/>
        <w:ind w:left="990"/>
        <w:contextualSpacing/>
        <w:jc w:val="both"/>
        <w:rPr>
          <w:rFonts w:asciiTheme="minorHAnsi" w:eastAsia="MS Mincho" w:hAnsiTheme="minorHAnsi"/>
          <w:i/>
          <w:lang w:val="sq-AL"/>
        </w:rPr>
      </w:pPr>
      <w:r w:rsidRPr="004E355C">
        <w:rPr>
          <w:rFonts w:asciiTheme="minorHAnsi" w:eastAsia="Calibri" w:hAnsiTheme="minorHAnsi"/>
          <w:i/>
          <w:lang w:val="sq-AL"/>
        </w:rPr>
        <w:t>Raportin periodik të detyrimeve të prapambetura dhe detyrimeve të krijuara rishtazi  në njësitë e qeverisjes qendrore;</w:t>
      </w:r>
    </w:p>
    <w:p w:rsidR="009051B3" w:rsidRPr="004E355C" w:rsidRDefault="009051B3" w:rsidP="00503465">
      <w:pPr>
        <w:numPr>
          <w:ilvl w:val="0"/>
          <w:numId w:val="6"/>
        </w:numPr>
        <w:spacing w:after="200" w:line="276" w:lineRule="auto"/>
        <w:ind w:left="990"/>
        <w:contextualSpacing/>
        <w:jc w:val="both"/>
        <w:rPr>
          <w:rFonts w:asciiTheme="minorHAnsi" w:eastAsia="MS Mincho" w:hAnsiTheme="minorHAnsi"/>
          <w:i/>
          <w:lang w:val="sq-AL"/>
        </w:rPr>
      </w:pPr>
      <w:r w:rsidRPr="004E355C">
        <w:rPr>
          <w:rFonts w:asciiTheme="minorHAnsi" w:eastAsia="Calibri" w:hAnsiTheme="minorHAnsi"/>
          <w:i/>
          <w:lang w:val="sq-AL"/>
        </w:rPr>
        <w:t>Raportin e detyrimeve të prapambetura të krijuara rishtazi për rimbursimin e TVSH-së;</w:t>
      </w:r>
    </w:p>
    <w:p w:rsidR="009051B3" w:rsidRPr="004E355C" w:rsidRDefault="009051B3" w:rsidP="00503465">
      <w:pPr>
        <w:numPr>
          <w:ilvl w:val="0"/>
          <w:numId w:val="6"/>
        </w:numPr>
        <w:spacing w:after="200" w:line="276" w:lineRule="auto"/>
        <w:ind w:left="990"/>
        <w:contextualSpacing/>
        <w:jc w:val="both"/>
        <w:rPr>
          <w:rFonts w:asciiTheme="minorHAnsi" w:eastAsia="MS Mincho" w:hAnsiTheme="minorHAnsi"/>
          <w:i/>
          <w:lang w:val="sq-AL"/>
        </w:rPr>
      </w:pPr>
      <w:r w:rsidRPr="004E355C">
        <w:rPr>
          <w:rFonts w:asciiTheme="minorHAnsi" w:eastAsia="Calibri" w:hAnsiTheme="minorHAnsi"/>
          <w:i/>
          <w:lang w:val="sq-AL"/>
        </w:rPr>
        <w:t>Skedulin e pagesave të detyrimeve të prapambetura;</w:t>
      </w:r>
    </w:p>
    <w:p w:rsidR="009051B3" w:rsidRPr="004E355C" w:rsidRDefault="009051B3" w:rsidP="00503465">
      <w:pPr>
        <w:numPr>
          <w:ilvl w:val="0"/>
          <w:numId w:val="6"/>
        </w:numPr>
        <w:spacing w:after="200" w:line="276" w:lineRule="auto"/>
        <w:ind w:left="990"/>
        <w:contextualSpacing/>
        <w:jc w:val="both"/>
        <w:rPr>
          <w:rFonts w:asciiTheme="minorHAnsi" w:eastAsia="MS Mincho" w:hAnsiTheme="minorHAnsi"/>
          <w:i/>
          <w:lang w:val="sq-AL"/>
        </w:rPr>
      </w:pPr>
      <w:r w:rsidRPr="004E355C">
        <w:rPr>
          <w:rFonts w:asciiTheme="minorHAnsi" w:eastAsia="Calibri" w:hAnsiTheme="minorHAnsi"/>
          <w:i/>
          <w:lang w:val="sq-AL"/>
        </w:rPr>
        <w:t>Ndërmarrjet shtetërore në sektorin e energjisë dërgojnë pasqyrat financiare tre mujore dhe ndërmarrjet e tjera shtetërore raportojnë lidhur me treguesit kryesorë financiarë sipas formateve të përcaktuara në udhëzimin e zbatimit të buxhetit 20</w:t>
      </w:r>
      <w:r>
        <w:rPr>
          <w:rFonts w:asciiTheme="minorHAnsi" w:eastAsia="Calibri" w:hAnsiTheme="minorHAnsi"/>
          <w:i/>
          <w:lang w:val="sq-AL"/>
        </w:rPr>
        <w:t>20</w:t>
      </w:r>
      <w:r w:rsidRPr="004E355C">
        <w:rPr>
          <w:rFonts w:asciiTheme="minorHAnsi" w:eastAsia="Calibri" w:hAnsiTheme="minorHAnsi"/>
          <w:i/>
          <w:lang w:val="sq-AL"/>
        </w:rPr>
        <w:t>;</w:t>
      </w:r>
    </w:p>
    <w:p w:rsidR="009051B3" w:rsidRPr="004E355C" w:rsidRDefault="009051B3" w:rsidP="00503465">
      <w:pPr>
        <w:numPr>
          <w:ilvl w:val="0"/>
          <w:numId w:val="6"/>
        </w:numPr>
        <w:spacing w:after="200" w:line="276" w:lineRule="auto"/>
        <w:ind w:left="990"/>
        <w:contextualSpacing/>
        <w:jc w:val="both"/>
        <w:rPr>
          <w:rFonts w:asciiTheme="minorHAnsi" w:eastAsia="MS Mincho" w:hAnsiTheme="minorHAnsi"/>
          <w:i/>
          <w:lang w:val="sq-AL"/>
        </w:rPr>
      </w:pPr>
      <w:r w:rsidRPr="004E355C">
        <w:rPr>
          <w:rFonts w:asciiTheme="minorHAnsi" w:eastAsia="MS Mincho" w:hAnsiTheme="minorHAnsi"/>
          <w:i/>
          <w:lang w:val="sq-AL"/>
        </w:rPr>
        <w:t>Raportin mujor mbi ecurinë e performancës financiare dhe jo financiare (treguesit e performancës) për kontratat e koncesioneve/PPP me mbështetje buxhetore.</w:t>
      </w:r>
    </w:p>
    <w:p w:rsidR="009051B3" w:rsidRPr="004E355C" w:rsidRDefault="009051B3" w:rsidP="00503465">
      <w:pPr>
        <w:numPr>
          <w:ilvl w:val="0"/>
          <w:numId w:val="5"/>
        </w:numPr>
        <w:spacing w:before="240" w:after="200" w:line="276" w:lineRule="auto"/>
        <w:ind w:left="450" w:hanging="270"/>
        <w:contextualSpacing/>
        <w:jc w:val="both"/>
        <w:rPr>
          <w:rFonts w:asciiTheme="minorHAnsi" w:eastAsia="Calibri" w:hAnsiTheme="minorHAnsi"/>
          <w:u w:val="single"/>
          <w:lang w:val="sq-AL"/>
        </w:rPr>
      </w:pPr>
      <w:r w:rsidRPr="004E355C">
        <w:rPr>
          <w:rFonts w:asciiTheme="minorHAnsi" w:eastAsia="Calibri" w:hAnsiTheme="minorHAnsi"/>
          <w:u w:val="single"/>
          <w:lang w:val="sq-AL"/>
        </w:rPr>
        <w:lastRenderedPageBreak/>
        <w:t>Pranë Drejtorisë së Konçesioneve në MFE:</w:t>
      </w:r>
    </w:p>
    <w:p w:rsidR="009051B3" w:rsidRPr="004E355C" w:rsidRDefault="009051B3" w:rsidP="00503465">
      <w:pPr>
        <w:numPr>
          <w:ilvl w:val="0"/>
          <w:numId w:val="6"/>
        </w:numPr>
        <w:spacing w:after="200" w:line="276" w:lineRule="auto"/>
        <w:ind w:left="990"/>
        <w:contextualSpacing/>
        <w:jc w:val="both"/>
        <w:rPr>
          <w:rFonts w:asciiTheme="minorHAnsi" w:eastAsia="Calibri" w:hAnsiTheme="minorHAnsi"/>
          <w:i/>
          <w:lang w:val="sq-AL"/>
        </w:rPr>
      </w:pPr>
      <w:r w:rsidRPr="004E355C">
        <w:rPr>
          <w:rFonts w:asciiTheme="minorHAnsi" w:eastAsia="Calibri" w:hAnsiTheme="minorHAnsi"/>
          <w:i/>
          <w:lang w:val="sq-AL"/>
        </w:rPr>
        <w:t>Raportin mbi ecurinë e termave të kontratës për të gjitha kontratat koncesionare/PPP;</w:t>
      </w:r>
    </w:p>
    <w:p w:rsidR="009051B3" w:rsidRPr="004E355C" w:rsidRDefault="009051B3" w:rsidP="00503465">
      <w:pPr>
        <w:numPr>
          <w:ilvl w:val="0"/>
          <w:numId w:val="6"/>
        </w:numPr>
        <w:spacing w:after="200" w:line="276" w:lineRule="auto"/>
        <w:ind w:left="990"/>
        <w:contextualSpacing/>
        <w:jc w:val="both"/>
        <w:rPr>
          <w:rFonts w:asciiTheme="minorHAnsi" w:eastAsia="Calibri" w:hAnsiTheme="minorHAnsi"/>
          <w:lang w:val="sq-AL"/>
        </w:rPr>
      </w:pPr>
      <w:r w:rsidRPr="004E355C">
        <w:rPr>
          <w:rFonts w:asciiTheme="minorHAnsi" w:eastAsia="Calibri" w:hAnsiTheme="minorHAnsi"/>
          <w:lang w:val="sq-AL"/>
        </w:rPr>
        <w:t>Raportin periodik të risqeve të përcaktuara në kontratë për të gjitha kontratat koncesionare/PPP.</w:t>
      </w:r>
    </w:p>
    <w:p w:rsidR="009051B3" w:rsidRPr="004E355C" w:rsidRDefault="009051B3" w:rsidP="009051B3">
      <w:pPr>
        <w:spacing w:before="240" w:after="200" w:line="276" w:lineRule="auto"/>
        <w:ind w:left="450"/>
        <w:contextualSpacing/>
        <w:jc w:val="both"/>
        <w:rPr>
          <w:rFonts w:asciiTheme="minorHAnsi" w:eastAsia="Calibri" w:hAnsiTheme="minorHAnsi"/>
          <w:sz w:val="8"/>
          <w:szCs w:val="8"/>
          <w:u w:val="single"/>
          <w:lang w:val="sq-AL"/>
        </w:rPr>
      </w:pPr>
    </w:p>
    <w:p w:rsidR="009051B3" w:rsidRPr="004E355C" w:rsidRDefault="009051B3" w:rsidP="00503465">
      <w:pPr>
        <w:numPr>
          <w:ilvl w:val="0"/>
          <w:numId w:val="5"/>
        </w:numPr>
        <w:spacing w:before="240" w:after="200" w:line="276" w:lineRule="auto"/>
        <w:ind w:left="450" w:hanging="270"/>
        <w:contextualSpacing/>
        <w:jc w:val="both"/>
        <w:rPr>
          <w:rFonts w:asciiTheme="minorHAnsi" w:eastAsia="Calibri" w:hAnsiTheme="minorHAnsi"/>
          <w:u w:val="single"/>
          <w:lang w:val="sq-AL"/>
        </w:rPr>
      </w:pPr>
      <w:r w:rsidRPr="004E355C">
        <w:rPr>
          <w:rFonts w:asciiTheme="minorHAnsi" w:eastAsia="Calibri" w:hAnsiTheme="minorHAnsi"/>
          <w:u w:val="single"/>
          <w:lang w:val="sq-AL"/>
        </w:rPr>
        <w:t>Pranë ATRAKO-s në MFE:</w:t>
      </w:r>
    </w:p>
    <w:p w:rsidR="009051B3" w:rsidRPr="004E355C" w:rsidRDefault="009051B3" w:rsidP="00503465">
      <w:pPr>
        <w:numPr>
          <w:ilvl w:val="0"/>
          <w:numId w:val="6"/>
        </w:numPr>
        <w:spacing w:after="200" w:line="276" w:lineRule="auto"/>
        <w:ind w:left="990"/>
        <w:contextualSpacing/>
        <w:jc w:val="both"/>
        <w:rPr>
          <w:rFonts w:asciiTheme="minorHAnsi" w:eastAsia="Calibri" w:hAnsiTheme="minorHAnsi"/>
          <w:lang w:val="sq-AL"/>
        </w:rPr>
      </w:pPr>
      <w:r w:rsidRPr="004E355C">
        <w:rPr>
          <w:rFonts w:asciiTheme="minorHAnsi" w:eastAsia="Calibri" w:hAnsiTheme="minorHAnsi"/>
          <w:lang w:val="sq-AL"/>
        </w:rPr>
        <w:t>Kontratat e lidhura nga Autoritetet Kontraktore me dhe pa mbështetje buxhetore.</w:t>
      </w:r>
    </w:p>
    <w:p w:rsidR="0094272C" w:rsidRPr="005260A8" w:rsidRDefault="0094272C" w:rsidP="00562780">
      <w:pPr>
        <w:spacing w:line="276" w:lineRule="auto"/>
        <w:jc w:val="both"/>
        <w:rPr>
          <w:rFonts w:asciiTheme="minorHAnsi" w:hAnsiTheme="minorHAnsi"/>
          <w:sz w:val="8"/>
          <w:szCs w:val="8"/>
          <w:lang w:val="sq-AL"/>
        </w:rPr>
      </w:pPr>
    </w:p>
    <w:p w:rsidR="00342E35" w:rsidRPr="00342E35" w:rsidRDefault="00342E35" w:rsidP="009051B3">
      <w:pPr>
        <w:spacing w:line="276" w:lineRule="auto"/>
        <w:jc w:val="both"/>
        <w:rPr>
          <w:rFonts w:asciiTheme="minorHAnsi" w:hAnsiTheme="minorHAnsi"/>
          <w:b/>
          <w:sz w:val="8"/>
          <w:lang w:val="sq-AL"/>
        </w:rPr>
      </w:pPr>
      <w:bookmarkStart w:id="125" w:name="_Toc11135141"/>
    </w:p>
    <w:p w:rsidR="009051B3" w:rsidRPr="00BC7035" w:rsidRDefault="009051B3" w:rsidP="009051B3">
      <w:pPr>
        <w:spacing w:line="276" w:lineRule="auto"/>
        <w:jc w:val="both"/>
        <w:rPr>
          <w:rFonts w:asciiTheme="minorHAnsi" w:hAnsiTheme="minorHAnsi"/>
          <w:lang w:val="sq-AL"/>
        </w:rPr>
      </w:pPr>
      <w:r w:rsidRPr="004E355C">
        <w:rPr>
          <w:rFonts w:asciiTheme="minorHAnsi" w:hAnsiTheme="minorHAnsi"/>
          <w:b/>
          <w:lang w:val="sq-AL"/>
        </w:rPr>
        <w:t>Në fund të periudhës 5 mujore të vitit 20</w:t>
      </w:r>
      <w:r>
        <w:rPr>
          <w:rFonts w:asciiTheme="minorHAnsi" w:hAnsiTheme="minorHAnsi"/>
          <w:b/>
          <w:lang w:val="sq-AL"/>
        </w:rPr>
        <w:t>20</w:t>
      </w:r>
      <w:r w:rsidRPr="004E355C">
        <w:rPr>
          <w:rFonts w:asciiTheme="minorHAnsi" w:hAnsiTheme="minorHAnsi"/>
          <w:lang w:val="sq-AL"/>
        </w:rPr>
        <w:t>, në nivel total rezultoi se</w:t>
      </w:r>
      <w:r>
        <w:rPr>
          <w:rFonts w:asciiTheme="minorHAnsi" w:hAnsiTheme="minorHAnsi"/>
          <w:lang w:val="sq-AL"/>
        </w:rPr>
        <w:t>, n</w:t>
      </w:r>
      <w:r w:rsidRPr="00BC7035">
        <w:rPr>
          <w:rFonts w:asciiTheme="minorHAnsi" w:hAnsiTheme="minorHAnsi"/>
          <w:lang w:val="sq-AL"/>
        </w:rPr>
        <w:t>ga 13 kontrata koncesionare/PPP me mbështetje buxhetore:</w:t>
      </w:r>
    </w:p>
    <w:p w:rsidR="009051B3" w:rsidRPr="004E355C" w:rsidRDefault="009051B3" w:rsidP="00503465">
      <w:pPr>
        <w:numPr>
          <w:ilvl w:val="0"/>
          <w:numId w:val="4"/>
        </w:numPr>
        <w:tabs>
          <w:tab w:val="left" w:pos="450"/>
        </w:tabs>
        <w:spacing w:before="120" w:line="276" w:lineRule="auto"/>
        <w:ind w:left="450" w:hanging="270"/>
        <w:contextualSpacing/>
        <w:jc w:val="both"/>
        <w:rPr>
          <w:rFonts w:asciiTheme="minorHAnsi" w:hAnsiTheme="minorHAnsi"/>
          <w:i/>
          <w:lang w:val="sq-AL"/>
        </w:rPr>
      </w:pPr>
      <w:r>
        <w:rPr>
          <w:rFonts w:asciiTheme="minorHAnsi" w:hAnsiTheme="minorHAnsi"/>
          <w:i/>
          <w:lang w:val="sq-AL"/>
        </w:rPr>
        <w:t>8</w:t>
      </w:r>
      <w:r w:rsidRPr="004E355C">
        <w:rPr>
          <w:rFonts w:asciiTheme="minorHAnsi" w:hAnsiTheme="minorHAnsi"/>
          <w:i/>
          <w:lang w:val="sq-AL"/>
        </w:rPr>
        <w:t xml:space="preserve"> kontrata koncesionare/PPP kanë pagesa faktike buxhetore, për periudhën 5 mujore, </w:t>
      </w:r>
    </w:p>
    <w:p w:rsidR="009051B3" w:rsidRDefault="009051B3" w:rsidP="00503465">
      <w:pPr>
        <w:numPr>
          <w:ilvl w:val="0"/>
          <w:numId w:val="4"/>
        </w:numPr>
        <w:tabs>
          <w:tab w:val="left" w:pos="450"/>
        </w:tabs>
        <w:spacing w:before="120" w:line="276" w:lineRule="auto"/>
        <w:ind w:left="450" w:hanging="270"/>
        <w:contextualSpacing/>
        <w:jc w:val="both"/>
        <w:rPr>
          <w:rFonts w:asciiTheme="minorHAnsi" w:hAnsiTheme="minorHAnsi"/>
          <w:i/>
          <w:lang w:val="sq-AL"/>
        </w:rPr>
      </w:pPr>
      <w:r w:rsidRPr="004E355C">
        <w:rPr>
          <w:rFonts w:asciiTheme="minorHAnsi" w:hAnsiTheme="minorHAnsi"/>
          <w:i/>
          <w:lang w:val="sq-AL"/>
        </w:rPr>
        <w:t xml:space="preserve">Për </w:t>
      </w:r>
      <w:r>
        <w:rPr>
          <w:rFonts w:asciiTheme="minorHAnsi" w:hAnsiTheme="minorHAnsi"/>
          <w:i/>
          <w:lang w:val="sq-AL"/>
        </w:rPr>
        <w:t>5</w:t>
      </w:r>
      <w:r w:rsidRPr="004E355C">
        <w:rPr>
          <w:rFonts w:asciiTheme="minorHAnsi" w:hAnsiTheme="minorHAnsi"/>
          <w:i/>
          <w:lang w:val="sq-AL"/>
        </w:rPr>
        <w:t xml:space="preserve"> kontrata nuk është kryer asnjë pagesë referuar periudhës 5 mujore. </w:t>
      </w:r>
    </w:p>
    <w:p w:rsidR="009051B3" w:rsidRPr="009051B3" w:rsidRDefault="009051B3" w:rsidP="009051B3">
      <w:pPr>
        <w:tabs>
          <w:tab w:val="left" w:pos="450"/>
        </w:tabs>
        <w:spacing w:before="120" w:line="276" w:lineRule="auto"/>
        <w:ind w:left="450"/>
        <w:contextualSpacing/>
        <w:jc w:val="both"/>
        <w:rPr>
          <w:rFonts w:asciiTheme="minorHAnsi" w:hAnsiTheme="minorHAnsi"/>
          <w:i/>
          <w:sz w:val="12"/>
          <w:lang w:val="sq-AL"/>
        </w:rPr>
      </w:pPr>
    </w:p>
    <w:p w:rsidR="009051B3" w:rsidRPr="00346E42" w:rsidRDefault="009051B3" w:rsidP="005260A8">
      <w:pPr>
        <w:spacing w:line="276" w:lineRule="auto"/>
        <w:jc w:val="both"/>
        <w:rPr>
          <w:rFonts w:asciiTheme="minorHAnsi" w:hAnsiTheme="minorHAnsi"/>
          <w:lang w:val="sq-AL"/>
        </w:rPr>
      </w:pPr>
      <w:r w:rsidRPr="004E355C">
        <w:rPr>
          <w:rFonts w:asciiTheme="minorHAnsi" w:hAnsiTheme="minorHAnsi"/>
          <w:lang w:val="sq-AL"/>
        </w:rPr>
        <w:t>Fondet buxhetore të planifikuara për vitin 20</w:t>
      </w:r>
      <w:r>
        <w:rPr>
          <w:rFonts w:asciiTheme="minorHAnsi" w:hAnsiTheme="minorHAnsi"/>
          <w:lang w:val="sq-AL"/>
        </w:rPr>
        <w:t>20</w:t>
      </w:r>
      <w:r w:rsidRPr="009051B3">
        <w:rPr>
          <w:rFonts w:asciiTheme="minorHAnsi" w:hAnsiTheme="minorHAnsi"/>
          <w:lang w:val="sq-AL"/>
        </w:rPr>
        <w:t xml:space="preserve"> </w:t>
      </w:r>
      <w:r w:rsidRPr="004E355C">
        <w:rPr>
          <w:rFonts w:asciiTheme="minorHAnsi" w:hAnsiTheme="minorHAnsi"/>
          <w:lang w:val="sq-AL"/>
        </w:rPr>
        <w:t xml:space="preserve">me destinacion mbështetjen nga buxheti për kontratat konçesionare/PPP, </w:t>
      </w:r>
      <w:r>
        <w:rPr>
          <w:rFonts w:asciiTheme="minorHAnsi" w:hAnsiTheme="minorHAnsi"/>
          <w:lang w:val="sq-AL"/>
        </w:rPr>
        <w:t>sipas planit vjetor të ndryshuar me Aktin Normativ nr.15 datë 15.04.2020,</w:t>
      </w:r>
      <w:r w:rsidRPr="004E355C">
        <w:rPr>
          <w:rFonts w:asciiTheme="minorHAnsi" w:hAnsiTheme="minorHAnsi"/>
          <w:lang w:val="sq-AL"/>
        </w:rPr>
        <w:t xml:space="preserve"> në total janë rreth </w:t>
      </w:r>
      <w:r>
        <w:rPr>
          <w:rFonts w:asciiTheme="minorHAnsi" w:hAnsiTheme="minorHAnsi"/>
          <w:lang w:val="sq-AL"/>
        </w:rPr>
        <w:t>7.58</w:t>
      </w:r>
      <w:r w:rsidRPr="004E355C">
        <w:rPr>
          <w:rFonts w:asciiTheme="minorHAnsi" w:hAnsiTheme="minorHAnsi"/>
          <w:lang w:val="sq-AL"/>
        </w:rPr>
        <w:t xml:space="preserve"> miliardë lekë. Nga këto, rreth </w:t>
      </w:r>
      <w:r>
        <w:rPr>
          <w:rFonts w:asciiTheme="minorHAnsi" w:hAnsiTheme="minorHAnsi"/>
          <w:lang w:val="sq-AL"/>
        </w:rPr>
        <w:t>2.88</w:t>
      </w:r>
      <w:r w:rsidRPr="004E355C">
        <w:rPr>
          <w:rFonts w:asciiTheme="minorHAnsi" w:hAnsiTheme="minorHAnsi"/>
          <w:lang w:val="sq-AL"/>
        </w:rPr>
        <w:t xml:space="preserve"> miliardë lekë janë investime dhe </w:t>
      </w:r>
      <w:r>
        <w:rPr>
          <w:rFonts w:asciiTheme="minorHAnsi" w:hAnsiTheme="minorHAnsi"/>
          <w:lang w:val="sq-AL"/>
        </w:rPr>
        <w:t>rreth 4.7</w:t>
      </w:r>
      <w:r w:rsidRPr="004E355C">
        <w:rPr>
          <w:rFonts w:asciiTheme="minorHAnsi" w:hAnsiTheme="minorHAnsi"/>
          <w:lang w:val="sq-AL"/>
        </w:rPr>
        <w:t xml:space="preserve"> miliardë lekë shpenzime korente. </w:t>
      </w:r>
      <w:r w:rsidRPr="00531B33">
        <w:rPr>
          <w:rFonts w:asciiTheme="minorHAnsi" w:hAnsiTheme="minorHAnsi"/>
          <w:lang w:val="sq-AL"/>
        </w:rPr>
        <w:t xml:space="preserve">Plani vjetor sipas Aktit Normativ nr.15 rezulton rreth 4.44 miliard lekë më pak se plani fillestar vjetor i vitit 2020. </w:t>
      </w:r>
      <w:r w:rsidRPr="004E355C">
        <w:rPr>
          <w:rFonts w:asciiTheme="minorHAnsi" w:hAnsiTheme="minorHAnsi"/>
          <w:lang w:val="sq-AL"/>
        </w:rPr>
        <w:t>Krahasuar me pagesat faktike të vitit 201</w:t>
      </w:r>
      <w:r>
        <w:rPr>
          <w:rFonts w:asciiTheme="minorHAnsi" w:hAnsiTheme="minorHAnsi"/>
          <w:lang w:val="sq-AL"/>
        </w:rPr>
        <w:t>9</w:t>
      </w:r>
      <w:r w:rsidRPr="004E355C">
        <w:rPr>
          <w:rFonts w:asciiTheme="minorHAnsi" w:hAnsiTheme="minorHAnsi"/>
          <w:lang w:val="sq-AL"/>
        </w:rPr>
        <w:t xml:space="preserve"> të cilat arritën vlerën </w:t>
      </w:r>
      <w:r>
        <w:rPr>
          <w:rFonts w:asciiTheme="minorHAnsi" w:hAnsiTheme="minorHAnsi"/>
          <w:lang w:val="sq-AL"/>
        </w:rPr>
        <w:t>13.7</w:t>
      </w:r>
      <w:r w:rsidRPr="004E355C">
        <w:rPr>
          <w:rFonts w:asciiTheme="minorHAnsi" w:hAnsiTheme="minorHAnsi"/>
          <w:lang w:val="sq-AL"/>
        </w:rPr>
        <w:t xml:space="preserve"> miliard lekë, pagesat e planifikuara për vitin 20</w:t>
      </w:r>
      <w:r>
        <w:rPr>
          <w:rFonts w:asciiTheme="minorHAnsi" w:hAnsiTheme="minorHAnsi"/>
          <w:lang w:val="sq-AL"/>
        </w:rPr>
        <w:t>20</w:t>
      </w:r>
      <w:r w:rsidRPr="004E355C">
        <w:rPr>
          <w:rFonts w:asciiTheme="minorHAnsi" w:hAnsiTheme="minorHAnsi"/>
          <w:lang w:val="sq-AL"/>
        </w:rPr>
        <w:t xml:space="preserve"> janë rreth </w:t>
      </w:r>
      <w:r>
        <w:rPr>
          <w:rFonts w:asciiTheme="minorHAnsi" w:hAnsiTheme="minorHAnsi"/>
          <w:lang w:val="sq-AL"/>
        </w:rPr>
        <w:t>6.1</w:t>
      </w:r>
      <w:r w:rsidRPr="004E355C">
        <w:rPr>
          <w:rFonts w:asciiTheme="minorHAnsi" w:hAnsiTheme="minorHAnsi"/>
          <w:lang w:val="sq-AL"/>
        </w:rPr>
        <w:t xml:space="preserve"> miliard lekë më të </w:t>
      </w:r>
      <w:r>
        <w:rPr>
          <w:rFonts w:asciiTheme="minorHAnsi" w:hAnsiTheme="minorHAnsi"/>
          <w:lang w:val="sq-AL"/>
        </w:rPr>
        <w:t>ulëta</w:t>
      </w:r>
      <w:r w:rsidRPr="004E355C">
        <w:rPr>
          <w:rFonts w:asciiTheme="minorHAnsi" w:hAnsiTheme="minorHAnsi"/>
          <w:lang w:val="sq-AL"/>
        </w:rPr>
        <w:t xml:space="preserve"> ose </w:t>
      </w:r>
      <w:r>
        <w:rPr>
          <w:rFonts w:asciiTheme="minorHAnsi" w:hAnsiTheme="minorHAnsi"/>
          <w:lang w:val="sq-AL"/>
        </w:rPr>
        <w:t>4</w:t>
      </w:r>
      <w:r w:rsidRPr="004E355C">
        <w:rPr>
          <w:rFonts w:asciiTheme="minorHAnsi" w:hAnsiTheme="minorHAnsi"/>
          <w:lang w:val="sq-AL"/>
        </w:rPr>
        <w:t>4.</w:t>
      </w:r>
      <w:r>
        <w:rPr>
          <w:rFonts w:asciiTheme="minorHAnsi" w:hAnsiTheme="minorHAnsi"/>
          <w:lang w:val="sq-AL"/>
        </w:rPr>
        <w:t>7</w:t>
      </w:r>
      <w:r w:rsidRPr="004E355C">
        <w:rPr>
          <w:rFonts w:asciiTheme="minorHAnsi" w:hAnsiTheme="minorHAnsi"/>
          <w:lang w:val="sq-AL"/>
        </w:rPr>
        <w:t xml:space="preserve"> përqind më </w:t>
      </w:r>
      <w:r>
        <w:rPr>
          <w:rFonts w:asciiTheme="minorHAnsi" w:hAnsiTheme="minorHAnsi"/>
          <w:lang w:val="sq-AL"/>
        </w:rPr>
        <w:t>pak</w:t>
      </w:r>
      <w:r w:rsidRPr="004E355C">
        <w:rPr>
          <w:rFonts w:asciiTheme="minorHAnsi" w:hAnsiTheme="minorHAnsi"/>
          <w:lang w:val="sq-AL"/>
        </w:rPr>
        <w:t>. Pagesat faktike për periudhën 5 mujore të vitit 20</w:t>
      </w:r>
      <w:r>
        <w:rPr>
          <w:rFonts w:asciiTheme="minorHAnsi" w:hAnsiTheme="minorHAnsi"/>
          <w:lang w:val="sq-AL"/>
        </w:rPr>
        <w:t>20</w:t>
      </w:r>
      <w:r w:rsidRPr="004E355C">
        <w:rPr>
          <w:rFonts w:asciiTheme="minorHAnsi" w:hAnsiTheme="minorHAnsi"/>
          <w:lang w:val="sq-AL"/>
        </w:rPr>
        <w:t xml:space="preserve">, në total rezultuan në rreth </w:t>
      </w:r>
      <w:r>
        <w:rPr>
          <w:rFonts w:asciiTheme="minorHAnsi" w:hAnsiTheme="minorHAnsi"/>
          <w:lang w:val="sq-AL"/>
        </w:rPr>
        <w:t>3.54</w:t>
      </w:r>
      <w:r w:rsidRPr="004E355C">
        <w:rPr>
          <w:rFonts w:asciiTheme="minorHAnsi" w:hAnsiTheme="minorHAnsi"/>
          <w:lang w:val="sq-AL"/>
        </w:rPr>
        <w:t xml:space="preserve"> miliardë lekë ose </w:t>
      </w:r>
      <w:r>
        <w:rPr>
          <w:rFonts w:asciiTheme="minorHAnsi" w:hAnsiTheme="minorHAnsi"/>
          <w:lang w:val="sq-AL"/>
        </w:rPr>
        <w:t>46.7</w:t>
      </w:r>
      <w:r w:rsidRPr="004E355C">
        <w:rPr>
          <w:rFonts w:asciiTheme="minorHAnsi" w:hAnsiTheme="minorHAnsi"/>
          <w:lang w:val="sq-AL"/>
        </w:rPr>
        <w:t>% e planit vjetor 20</w:t>
      </w:r>
      <w:r>
        <w:rPr>
          <w:rFonts w:asciiTheme="minorHAnsi" w:hAnsiTheme="minorHAnsi"/>
          <w:lang w:val="sq-AL"/>
        </w:rPr>
        <w:t>20</w:t>
      </w:r>
      <w:r w:rsidRPr="004E355C">
        <w:rPr>
          <w:rFonts w:asciiTheme="minorHAnsi" w:hAnsiTheme="minorHAnsi"/>
          <w:lang w:val="sq-AL"/>
        </w:rPr>
        <w:t xml:space="preserve">, </w:t>
      </w:r>
      <w:r>
        <w:rPr>
          <w:rFonts w:asciiTheme="minorHAnsi" w:hAnsiTheme="minorHAnsi"/>
          <w:lang w:val="sq-AL"/>
        </w:rPr>
        <w:t xml:space="preserve">ndërkohë që </w:t>
      </w:r>
      <w:r w:rsidRPr="004E355C">
        <w:rPr>
          <w:rFonts w:asciiTheme="minorHAnsi" w:hAnsiTheme="minorHAnsi"/>
          <w:lang w:val="sq-AL"/>
        </w:rPr>
        <w:t>në 5 mujorin e vitit 201</w:t>
      </w:r>
      <w:r>
        <w:rPr>
          <w:rFonts w:asciiTheme="minorHAnsi" w:hAnsiTheme="minorHAnsi"/>
          <w:lang w:val="sq-AL"/>
        </w:rPr>
        <w:t>9 këto pagesa arrinin nivelin 7.</w:t>
      </w:r>
      <w:r w:rsidRPr="004E355C">
        <w:rPr>
          <w:rFonts w:asciiTheme="minorHAnsi" w:hAnsiTheme="minorHAnsi"/>
          <w:lang w:val="sq-AL"/>
        </w:rPr>
        <w:t xml:space="preserve">7 miliardë </w:t>
      </w:r>
      <w:r w:rsidRPr="00346E42">
        <w:rPr>
          <w:rFonts w:asciiTheme="minorHAnsi" w:hAnsiTheme="minorHAnsi"/>
          <w:lang w:val="sq-AL"/>
        </w:rPr>
        <w:t xml:space="preserve">lekë ose 56% e planit vjetor 2019. </w:t>
      </w:r>
    </w:p>
    <w:p w:rsidR="009051B3" w:rsidRPr="0094272C" w:rsidRDefault="009051B3" w:rsidP="00503465">
      <w:pPr>
        <w:numPr>
          <w:ilvl w:val="0"/>
          <w:numId w:val="4"/>
        </w:numPr>
        <w:tabs>
          <w:tab w:val="left" w:pos="450"/>
        </w:tabs>
        <w:spacing w:before="120" w:line="276" w:lineRule="auto"/>
        <w:contextualSpacing/>
        <w:jc w:val="both"/>
        <w:rPr>
          <w:rFonts w:asciiTheme="minorHAnsi" w:hAnsiTheme="minorHAnsi"/>
          <w:i/>
          <w:sz w:val="22"/>
          <w:lang w:val="sq-AL"/>
        </w:rPr>
      </w:pPr>
      <w:r w:rsidRPr="00862162">
        <w:rPr>
          <w:rFonts w:asciiTheme="minorHAnsi" w:hAnsiTheme="minorHAnsi"/>
          <w:i/>
          <w:sz w:val="22"/>
          <w:lang w:val="sq-AL"/>
        </w:rPr>
        <w:t>Duhet mbajtur parasysh fakti se, në pagesat e vitit 2019 përfshihen edhe pagesat për kontratën  “Ndërtimi, Operimi dhe Transferimi (BOT) HEC mbi lumin Devoll, rimbursimi i ndërtimit të rrugëve zëvendësuese”, kontratë</w:t>
      </w:r>
      <w:r w:rsidRPr="00862162">
        <w:rPr>
          <w:rFonts w:asciiTheme="minorHAnsi" w:hAnsiTheme="minorHAnsi" w:hint="eastAsia"/>
          <w:i/>
          <w:sz w:val="22"/>
          <w:lang w:val="sq-AL"/>
        </w:rPr>
        <w:t xml:space="preserve"> e cila ka p</w:t>
      </w:r>
      <w:r w:rsidRPr="00862162">
        <w:rPr>
          <w:rFonts w:asciiTheme="minorHAnsi" w:hAnsiTheme="minorHAnsi"/>
          <w:i/>
          <w:sz w:val="22"/>
          <w:lang w:val="sq-AL"/>
        </w:rPr>
        <w:t>ërfunduar në vitin 2019.</w:t>
      </w:r>
      <w:r w:rsidRPr="00862162">
        <w:rPr>
          <w:rFonts w:ascii="Segoe UI Symbol" w:hAnsi="Segoe UI Symbol"/>
          <w:i/>
          <w:sz w:val="22"/>
          <w:lang w:val="sq-AL" w:eastAsia="ja-JP"/>
        </w:rPr>
        <w:t xml:space="preserve">  </w:t>
      </w:r>
    </w:p>
    <w:p w:rsidR="00342E35" w:rsidRPr="00342E35" w:rsidRDefault="00342E35" w:rsidP="00342E35">
      <w:pPr>
        <w:spacing w:line="276" w:lineRule="auto"/>
        <w:jc w:val="both"/>
        <w:rPr>
          <w:rFonts w:asciiTheme="minorHAnsi" w:hAnsiTheme="minorHAnsi"/>
          <w:sz w:val="8"/>
          <w:lang w:val="sq-AL"/>
        </w:rPr>
      </w:pPr>
    </w:p>
    <w:p w:rsidR="009051B3" w:rsidRDefault="009051B3" w:rsidP="00D67C19">
      <w:pPr>
        <w:spacing w:after="100" w:afterAutospacing="1" w:line="276" w:lineRule="auto"/>
        <w:jc w:val="both"/>
        <w:rPr>
          <w:rFonts w:asciiTheme="minorHAnsi" w:hAnsiTheme="minorHAnsi"/>
          <w:lang w:val="sq-AL"/>
        </w:rPr>
      </w:pPr>
      <w:r w:rsidRPr="00346E42">
        <w:rPr>
          <w:rFonts w:asciiTheme="minorHAnsi" w:hAnsiTheme="minorHAnsi"/>
          <w:lang w:val="sq-AL"/>
        </w:rPr>
        <w:t xml:space="preserve">Pagesat e muajit Maj </w:t>
      </w:r>
      <w:r w:rsidR="005260A8">
        <w:rPr>
          <w:rFonts w:asciiTheme="minorHAnsi" w:hAnsiTheme="minorHAnsi"/>
          <w:lang w:val="sq-AL"/>
        </w:rPr>
        <w:t xml:space="preserve">2020 </w:t>
      </w:r>
      <w:r w:rsidRPr="00346E42">
        <w:rPr>
          <w:rFonts w:asciiTheme="minorHAnsi" w:hAnsiTheme="minorHAnsi"/>
          <w:lang w:val="sq-AL"/>
        </w:rPr>
        <w:t>rezultuan</w:t>
      </w:r>
      <w:r w:rsidRPr="004E355C">
        <w:rPr>
          <w:rFonts w:asciiTheme="minorHAnsi" w:hAnsiTheme="minorHAnsi"/>
          <w:lang w:val="sq-AL"/>
        </w:rPr>
        <w:t xml:space="preserve"> në masën rreth </w:t>
      </w:r>
      <w:r>
        <w:rPr>
          <w:rFonts w:asciiTheme="minorHAnsi" w:hAnsiTheme="minorHAnsi"/>
          <w:lang w:val="sq-AL"/>
        </w:rPr>
        <w:t>418.95</w:t>
      </w:r>
      <w:r w:rsidRPr="004E355C">
        <w:rPr>
          <w:rFonts w:asciiTheme="minorHAnsi" w:hAnsiTheme="minorHAnsi"/>
          <w:lang w:val="sq-AL"/>
        </w:rPr>
        <w:t xml:space="preserve"> milion lekë ose </w:t>
      </w:r>
      <w:r>
        <w:rPr>
          <w:rFonts w:asciiTheme="minorHAnsi" w:hAnsiTheme="minorHAnsi"/>
          <w:lang w:val="sq-AL"/>
        </w:rPr>
        <w:t>rreth 43.9 milion</w:t>
      </w:r>
      <w:r w:rsidRPr="004E355C">
        <w:rPr>
          <w:rFonts w:asciiTheme="minorHAnsi" w:hAnsiTheme="minorHAnsi"/>
          <w:lang w:val="sq-AL"/>
        </w:rPr>
        <w:t xml:space="preserve"> lekë m</w:t>
      </w:r>
      <w:r>
        <w:rPr>
          <w:rFonts w:asciiTheme="minorHAnsi" w:hAnsiTheme="minorHAnsi"/>
          <w:lang w:val="sq-AL"/>
        </w:rPr>
        <w:t xml:space="preserve">ë pak se pagesat e muajit Prill. </w:t>
      </w:r>
      <w:r w:rsidRPr="004E355C">
        <w:rPr>
          <w:rFonts w:asciiTheme="minorHAnsi" w:hAnsiTheme="minorHAnsi"/>
          <w:lang w:val="sq-AL"/>
        </w:rPr>
        <w:t xml:space="preserve"> </w:t>
      </w:r>
      <w:r>
        <w:rPr>
          <w:rFonts w:asciiTheme="minorHAnsi" w:hAnsiTheme="minorHAnsi"/>
          <w:lang w:val="sq-AL"/>
        </w:rPr>
        <w:t>Pagesa më e lartë e realizuar në muajin Maj ësht</w:t>
      </w:r>
      <w:r w:rsidRPr="008502E7">
        <w:rPr>
          <w:rFonts w:asciiTheme="minorHAnsi" w:hAnsiTheme="minorHAnsi"/>
          <w:lang w:val="sq-AL"/>
        </w:rPr>
        <w:t>ë</w:t>
      </w:r>
      <w:r>
        <w:rPr>
          <w:rFonts w:asciiTheme="minorHAnsi" w:hAnsiTheme="minorHAnsi"/>
          <w:lang w:val="sq-AL"/>
        </w:rPr>
        <w:t xml:space="preserve"> pagesa</w:t>
      </w:r>
      <w:r w:rsidRPr="004E355C">
        <w:rPr>
          <w:rFonts w:asciiTheme="minorHAnsi" w:hAnsiTheme="minorHAnsi"/>
          <w:lang w:val="sq-AL"/>
        </w:rPr>
        <w:t xml:space="preserve"> </w:t>
      </w:r>
      <w:r>
        <w:rPr>
          <w:rFonts w:asciiTheme="minorHAnsi" w:hAnsiTheme="minorHAnsi"/>
          <w:lang w:val="sq-AL"/>
        </w:rPr>
        <w:t xml:space="preserve">prej </w:t>
      </w:r>
      <w:r w:rsidRPr="004E355C">
        <w:rPr>
          <w:rFonts w:asciiTheme="minorHAnsi" w:hAnsiTheme="minorHAnsi"/>
          <w:lang w:val="sq-AL"/>
        </w:rPr>
        <w:t xml:space="preserve">rreth </w:t>
      </w:r>
      <w:r>
        <w:rPr>
          <w:rFonts w:asciiTheme="minorHAnsi" w:hAnsiTheme="minorHAnsi"/>
          <w:lang w:val="sq-AL"/>
        </w:rPr>
        <w:t>130</w:t>
      </w:r>
      <w:r w:rsidRPr="004E355C">
        <w:rPr>
          <w:rFonts w:asciiTheme="minorHAnsi" w:hAnsiTheme="minorHAnsi"/>
          <w:lang w:val="sq-AL"/>
        </w:rPr>
        <w:t xml:space="preserve"> milion lekë për</w:t>
      </w:r>
      <w:r>
        <w:rPr>
          <w:rFonts w:asciiTheme="minorHAnsi" w:hAnsiTheme="minorHAnsi"/>
          <w:lang w:val="sq-AL"/>
        </w:rPr>
        <w:t xml:space="preserve"> kontratën e “</w:t>
      </w:r>
      <w:r w:rsidRPr="008502E7">
        <w:rPr>
          <w:rFonts w:asciiTheme="minorHAnsi" w:hAnsiTheme="minorHAnsi"/>
          <w:lang w:val="sq-AL"/>
        </w:rPr>
        <w:t>Shërbimi</w:t>
      </w:r>
      <w:r>
        <w:rPr>
          <w:rFonts w:asciiTheme="minorHAnsi" w:hAnsiTheme="minorHAnsi"/>
          <w:lang w:val="sq-AL"/>
        </w:rPr>
        <w:t>t</w:t>
      </w:r>
      <w:r w:rsidRPr="008502E7">
        <w:rPr>
          <w:rFonts w:asciiTheme="minorHAnsi" w:hAnsiTheme="minorHAnsi"/>
          <w:lang w:val="sq-AL"/>
        </w:rPr>
        <w:t xml:space="preserve"> </w:t>
      </w:r>
      <w:r>
        <w:rPr>
          <w:rFonts w:asciiTheme="minorHAnsi" w:hAnsiTheme="minorHAnsi"/>
          <w:lang w:val="sq-AL"/>
        </w:rPr>
        <w:t>të</w:t>
      </w:r>
      <w:r w:rsidRPr="008502E7">
        <w:rPr>
          <w:rFonts w:asciiTheme="minorHAnsi" w:hAnsiTheme="minorHAnsi"/>
          <w:lang w:val="sq-AL"/>
        </w:rPr>
        <w:t xml:space="preserve"> Skanimit në Dogana</w:t>
      </w:r>
      <w:r>
        <w:rPr>
          <w:rFonts w:asciiTheme="minorHAnsi" w:hAnsiTheme="minorHAnsi"/>
          <w:lang w:val="sq-AL"/>
        </w:rPr>
        <w:t>”</w:t>
      </w:r>
      <w:r w:rsidRPr="004E355C">
        <w:rPr>
          <w:rFonts w:asciiTheme="minorHAnsi" w:hAnsiTheme="minorHAnsi"/>
          <w:lang w:val="sq-AL"/>
        </w:rPr>
        <w:t xml:space="preserve">, pagesë e cila përbën </w:t>
      </w:r>
      <w:r>
        <w:rPr>
          <w:rFonts w:asciiTheme="minorHAnsi" w:hAnsiTheme="minorHAnsi"/>
          <w:lang w:val="sq-AL"/>
        </w:rPr>
        <w:t>31</w:t>
      </w:r>
      <w:r w:rsidRPr="004E355C">
        <w:rPr>
          <w:rFonts w:asciiTheme="minorHAnsi" w:hAnsiTheme="minorHAnsi"/>
          <w:lang w:val="sq-AL"/>
        </w:rPr>
        <w:t xml:space="preserve"> përqind e totali të pagesave për muajin Maj dhe rreth 1</w:t>
      </w:r>
      <w:r>
        <w:rPr>
          <w:rFonts w:asciiTheme="minorHAnsi" w:hAnsiTheme="minorHAnsi"/>
          <w:lang w:val="sq-AL"/>
        </w:rPr>
        <w:t>5.5</w:t>
      </w:r>
      <w:r w:rsidRPr="004E355C">
        <w:rPr>
          <w:rFonts w:asciiTheme="minorHAnsi" w:hAnsiTheme="minorHAnsi"/>
          <w:lang w:val="sq-AL"/>
        </w:rPr>
        <w:t xml:space="preserve"> përqind të planit total vjetor</w:t>
      </w:r>
      <w:r>
        <w:rPr>
          <w:rFonts w:asciiTheme="minorHAnsi" w:hAnsiTheme="minorHAnsi"/>
          <w:lang w:val="sq-AL"/>
        </w:rPr>
        <w:t>, të ndryshuar,</w:t>
      </w:r>
      <w:r w:rsidRPr="004E355C">
        <w:rPr>
          <w:rFonts w:asciiTheme="minorHAnsi" w:hAnsiTheme="minorHAnsi"/>
          <w:lang w:val="sq-AL"/>
        </w:rPr>
        <w:t xml:space="preserve"> për këtë kontratë. Për periudhën 5 mujore, niveli më i lartë i pagesave është realizuar në muajin </w:t>
      </w:r>
      <w:r>
        <w:rPr>
          <w:rFonts w:asciiTheme="minorHAnsi" w:hAnsiTheme="minorHAnsi"/>
          <w:lang w:val="sq-AL"/>
        </w:rPr>
        <w:t>Shkurt</w:t>
      </w:r>
      <w:r w:rsidRPr="004E355C">
        <w:rPr>
          <w:rFonts w:asciiTheme="minorHAnsi" w:hAnsiTheme="minorHAnsi"/>
          <w:lang w:val="sq-AL"/>
        </w:rPr>
        <w:t xml:space="preserve"> me rreth </w:t>
      </w:r>
      <w:r>
        <w:rPr>
          <w:rFonts w:asciiTheme="minorHAnsi" w:hAnsiTheme="minorHAnsi"/>
          <w:lang w:val="sq-AL"/>
        </w:rPr>
        <w:t>1.12</w:t>
      </w:r>
      <w:r w:rsidRPr="004E355C">
        <w:rPr>
          <w:rFonts w:asciiTheme="minorHAnsi" w:hAnsiTheme="minorHAnsi"/>
          <w:lang w:val="sq-AL"/>
        </w:rPr>
        <w:t xml:space="preserve"> miliardë lekë, ku veçojmë pagesën prej </w:t>
      </w:r>
      <w:r>
        <w:rPr>
          <w:rFonts w:asciiTheme="minorHAnsi" w:hAnsiTheme="minorHAnsi"/>
          <w:lang w:val="sq-AL"/>
        </w:rPr>
        <w:t>390 milion</w:t>
      </w:r>
      <w:r w:rsidRPr="004E355C">
        <w:rPr>
          <w:rFonts w:asciiTheme="minorHAnsi" w:hAnsiTheme="minorHAnsi"/>
          <w:lang w:val="sq-AL"/>
        </w:rPr>
        <w:t xml:space="preserve"> lekë për kontratë</w:t>
      </w:r>
      <w:r>
        <w:rPr>
          <w:rFonts w:asciiTheme="minorHAnsi" w:hAnsiTheme="minorHAnsi"/>
          <w:lang w:val="sq-AL"/>
        </w:rPr>
        <w:t>n e MIE “</w:t>
      </w:r>
      <w:r w:rsidRPr="00EE57BA">
        <w:rPr>
          <w:rFonts w:asciiTheme="minorHAnsi" w:hAnsiTheme="minorHAnsi"/>
          <w:lang w:val="sq-AL"/>
        </w:rPr>
        <w:t>Ndërtim, Operim dhe Mirëmbajtje e Rrugës Milot-Morinë</w:t>
      </w:r>
      <w:r>
        <w:rPr>
          <w:rFonts w:asciiTheme="minorHAnsi" w:hAnsiTheme="minorHAnsi"/>
          <w:lang w:val="sq-AL"/>
        </w:rPr>
        <w:t xml:space="preserve">”, </w:t>
      </w:r>
      <w:r w:rsidRPr="004E355C">
        <w:rPr>
          <w:rFonts w:asciiTheme="minorHAnsi" w:hAnsiTheme="minorHAnsi"/>
          <w:lang w:val="sq-AL"/>
        </w:rPr>
        <w:t xml:space="preserve">pagesë e cila </w:t>
      </w:r>
      <w:r>
        <w:rPr>
          <w:rFonts w:asciiTheme="minorHAnsi" w:hAnsiTheme="minorHAnsi"/>
          <w:lang w:val="sq-AL"/>
        </w:rPr>
        <w:t>përbën</w:t>
      </w:r>
      <w:r w:rsidRPr="004E355C">
        <w:rPr>
          <w:rFonts w:asciiTheme="minorHAnsi" w:hAnsiTheme="minorHAnsi"/>
          <w:lang w:val="sq-AL"/>
        </w:rPr>
        <w:t xml:space="preserve"> </w:t>
      </w:r>
      <w:r>
        <w:rPr>
          <w:rFonts w:asciiTheme="minorHAnsi" w:hAnsiTheme="minorHAnsi"/>
          <w:lang w:val="sq-AL"/>
        </w:rPr>
        <w:t xml:space="preserve">48 </w:t>
      </w:r>
      <w:r w:rsidRPr="004E355C">
        <w:rPr>
          <w:rFonts w:asciiTheme="minorHAnsi" w:hAnsiTheme="minorHAnsi"/>
          <w:lang w:val="sq-AL"/>
        </w:rPr>
        <w:t>përqind të planit vjetor 2</w:t>
      </w:r>
      <w:r>
        <w:rPr>
          <w:rFonts w:asciiTheme="minorHAnsi" w:hAnsiTheme="minorHAnsi"/>
          <w:lang w:val="sq-AL"/>
        </w:rPr>
        <w:t>020</w:t>
      </w:r>
      <w:r w:rsidRPr="004E355C">
        <w:rPr>
          <w:rFonts w:asciiTheme="minorHAnsi" w:hAnsiTheme="minorHAnsi"/>
          <w:lang w:val="sq-AL"/>
        </w:rPr>
        <w:t xml:space="preserve"> </w:t>
      </w:r>
      <w:r>
        <w:rPr>
          <w:rFonts w:asciiTheme="minorHAnsi" w:hAnsiTheme="minorHAnsi"/>
          <w:lang w:val="sq-AL"/>
        </w:rPr>
        <w:t>për këtë kontratë.</w:t>
      </w:r>
    </w:p>
    <w:p w:rsidR="00562780" w:rsidRPr="0065598A" w:rsidRDefault="0095480B" w:rsidP="0095480B">
      <w:pPr>
        <w:spacing w:line="276" w:lineRule="auto"/>
        <w:jc w:val="both"/>
        <w:rPr>
          <w:rFonts w:asciiTheme="minorHAnsi" w:hAnsiTheme="minorHAnsi"/>
          <w:b/>
          <w:lang w:val="sq-AL"/>
        </w:rPr>
      </w:pPr>
      <w:r w:rsidRPr="0065598A">
        <w:rPr>
          <w:rFonts w:asciiTheme="minorHAnsi" w:hAnsiTheme="minorHAnsi"/>
          <w:b/>
          <w:lang w:val="sq-AL"/>
        </w:rPr>
        <w:t>Respektimi i rregullit fiskal p</w:t>
      </w:r>
      <w:r w:rsidR="00C65B3F" w:rsidRPr="0065598A">
        <w:rPr>
          <w:rFonts w:asciiTheme="minorHAnsi" w:hAnsiTheme="minorHAnsi"/>
          <w:b/>
          <w:lang w:val="sq-AL"/>
        </w:rPr>
        <w:t>ë</w:t>
      </w:r>
      <w:r w:rsidRPr="0065598A">
        <w:rPr>
          <w:rFonts w:asciiTheme="minorHAnsi" w:hAnsiTheme="minorHAnsi"/>
          <w:b/>
          <w:lang w:val="sq-AL"/>
        </w:rPr>
        <w:t>r vitin 20</w:t>
      </w:r>
      <w:r w:rsidR="00D67C19">
        <w:rPr>
          <w:rFonts w:asciiTheme="minorHAnsi" w:hAnsiTheme="minorHAnsi"/>
          <w:b/>
          <w:lang w:val="sq-AL"/>
        </w:rPr>
        <w:t>20</w:t>
      </w:r>
      <w:r w:rsidRPr="0065598A">
        <w:rPr>
          <w:rFonts w:asciiTheme="minorHAnsi" w:hAnsiTheme="minorHAnsi"/>
          <w:b/>
          <w:lang w:val="sq-AL"/>
        </w:rPr>
        <w:t>:</w:t>
      </w:r>
    </w:p>
    <w:p w:rsidR="00AF49E0" w:rsidRDefault="00D67C19" w:rsidP="00D67C19">
      <w:pPr>
        <w:spacing w:line="276" w:lineRule="auto"/>
        <w:jc w:val="both"/>
        <w:rPr>
          <w:rFonts w:asciiTheme="minorHAnsi" w:hAnsiTheme="minorHAnsi"/>
          <w:lang w:val="sq-AL"/>
        </w:rPr>
      </w:pPr>
      <w:r w:rsidRPr="004E355C">
        <w:rPr>
          <w:rFonts w:asciiTheme="minorHAnsi" w:hAnsiTheme="minorHAnsi"/>
          <w:lang w:val="sq-AL"/>
        </w:rPr>
        <w:t>Kufiri i lejuar i pagesave neto për kontratat konçesionare/PPP</w:t>
      </w:r>
      <w:r w:rsidRPr="00D67C19">
        <w:rPr>
          <w:rFonts w:asciiTheme="minorHAnsi" w:hAnsiTheme="minorHAnsi"/>
          <w:lang w:val="sq-AL"/>
        </w:rPr>
        <w:t xml:space="preserve"> </w:t>
      </w:r>
      <w:r w:rsidRPr="004E355C">
        <w:rPr>
          <w:rFonts w:asciiTheme="minorHAnsi" w:hAnsiTheme="minorHAnsi"/>
          <w:lang w:val="sq-AL"/>
        </w:rPr>
        <w:t>për vitin 20</w:t>
      </w:r>
      <w:r>
        <w:rPr>
          <w:rFonts w:asciiTheme="minorHAnsi" w:hAnsiTheme="minorHAnsi"/>
          <w:lang w:val="sq-AL"/>
        </w:rPr>
        <w:t>20</w:t>
      </w:r>
      <w:r w:rsidRPr="004E355C">
        <w:rPr>
          <w:rFonts w:asciiTheme="minorHAnsi" w:hAnsiTheme="minorHAnsi"/>
          <w:lang w:val="sq-AL"/>
        </w:rPr>
        <w:t>, prej 5% i të ardhurave tatimore faktike të vitit 20</w:t>
      </w:r>
      <w:r>
        <w:rPr>
          <w:rFonts w:asciiTheme="minorHAnsi" w:hAnsiTheme="minorHAnsi"/>
          <w:lang w:val="sq-AL"/>
        </w:rPr>
        <w:t>19</w:t>
      </w:r>
      <w:r w:rsidRPr="004E355C">
        <w:rPr>
          <w:rFonts w:asciiTheme="minorHAnsi" w:hAnsiTheme="minorHAnsi"/>
          <w:lang w:val="sq-AL"/>
        </w:rPr>
        <w:t>, përllogaritet në rreth 21</w:t>
      </w:r>
      <w:r>
        <w:rPr>
          <w:rFonts w:asciiTheme="minorHAnsi" w:hAnsiTheme="minorHAnsi"/>
          <w:lang w:val="sq-AL"/>
        </w:rPr>
        <w:t>.3</w:t>
      </w:r>
      <w:r w:rsidRPr="004E355C">
        <w:rPr>
          <w:rFonts w:asciiTheme="minorHAnsi" w:hAnsiTheme="minorHAnsi"/>
          <w:lang w:val="sq-AL"/>
        </w:rPr>
        <w:t xml:space="preserve"> miliard lekë.</w:t>
      </w:r>
      <w:r>
        <w:rPr>
          <w:rFonts w:asciiTheme="minorHAnsi" w:hAnsiTheme="minorHAnsi"/>
          <w:lang w:val="sq-AL"/>
        </w:rPr>
        <w:t xml:space="preserve"> </w:t>
      </w:r>
      <w:r w:rsidRPr="004E355C">
        <w:rPr>
          <w:rFonts w:asciiTheme="minorHAnsi" w:hAnsiTheme="minorHAnsi"/>
          <w:lang w:val="sq-AL"/>
        </w:rPr>
        <w:t>Në nivel vjetor, pagesat e planifikuara për vitin 20</w:t>
      </w:r>
      <w:r>
        <w:rPr>
          <w:rFonts w:asciiTheme="minorHAnsi" w:hAnsiTheme="minorHAnsi"/>
          <w:lang w:val="sq-AL"/>
        </w:rPr>
        <w:t>20</w:t>
      </w:r>
      <w:r w:rsidRPr="004E355C">
        <w:rPr>
          <w:rFonts w:asciiTheme="minorHAnsi" w:hAnsiTheme="minorHAnsi"/>
          <w:lang w:val="sq-AL"/>
        </w:rPr>
        <w:t xml:space="preserve">, për kontratat koncesionare/PPP, përbëjnë rreth </w:t>
      </w:r>
      <w:r>
        <w:rPr>
          <w:rFonts w:asciiTheme="minorHAnsi" w:hAnsiTheme="minorHAnsi"/>
          <w:lang w:val="sq-AL"/>
        </w:rPr>
        <w:t>1</w:t>
      </w:r>
      <w:r w:rsidRPr="004E355C">
        <w:rPr>
          <w:rFonts w:asciiTheme="minorHAnsi" w:hAnsiTheme="minorHAnsi"/>
          <w:lang w:val="sq-AL"/>
        </w:rPr>
        <w:t>.</w:t>
      </w:r>
      <w:r>
        <w:rPr>
          <w:rFonts w:asciiTheme="minorHAnsi" w:hAnsiTheme="minorHAnsi"/>
          <w:lang w:val="sq-AL"/>
        </w:rPr>
        <w:t>7</w:t>
      </w:r>
      <w:r w:rsidRPr="004E355C">
        <w:rPr>
          <w:rFonts w:asciiTheme="minorHAnsi" w:hAnsiTheme="minorHAnsi"/>
          <w:lang w:val="sq-AL"/>
        </w:rPr>
        <w:t>8 përqind të totalit të të ardhurave tatimore faktike të vitit 201</w:t>
      </w:r>
      <w:r>
        <w:rPr>
          <w:rFonts w:asciiTheme="minorHAnsi" w:hAnsiTheme="minorHAnsi"/>
          <w:lang w:val="sq-AL"/>
        </w:rPr>
        <w:t>9</w:t>
      </w:r>
      <w:r w:rsidRPr="004E355C">
        <w:rPr>
          <w:rFonts w:asciiTheme="minorHAnsi" w:hAnsiTheme="minorHAnsi"/>
          <w:lang w:val="sq-AL"/>
        </w:rPr>
        <w:t>, duke respektuar në këtë mënyrë rregullin fiskal prej 5% të të ardhurave tatimore faktike të vitit paraardhës.</w:t>
      </w:r>
      <w:r>
        <w:rPr>
          <w:rFonts w:asciiTheme="minorHAnsi" w:hAnsiTheme="minorHAnsi"/>
          <w:lang w:val="sq-AL"/>
        </w:rPr>
        <w:t xml:space="preserve"> </w:t>
      </w:r>
      <w:r w:rsidRPr="004E355C">
        <w:rPr>
          <w:rFonts w:asciiTheme="minorHAnsi" w:hAnsiTheme="minorHAnsi"/>
          <w:lang w:val="sq-AL"/>
        </w:rPr>
        <w:t xml:space="preserve">Në nivel 5-mujor, pagesat neto të realizuara të kontratave koncesionare/PPP, përbëjnë vetëm </w:t>
      </w:r>
      <w:r>
        <w:rPr>
          <w:rFonts w:asciiTheme="minorHAnsi" w:hAnsiTheme="minorHAnsi"/>
          <w:lang w:val="sq-AL"/>
        </w:rPr>
        <w:t>0</w:t>
      </w:r>
      <w:r w:rsidRPr="004E355C">
        <w:rPr>
          <w:rFonts w:asciiTheme="minorHAnsi" w:hAnsiTheme="minorHAnsi"/>
          <w:lang w:val="sq-AL"/>
        </w:rPr>
        <w:t>.8</w:t>
      </w:r>
      <w:r>
        <w:rPr>
          <w:rFonts w:asciiTheme="minorHAnsi" w:hAnsiTheme="minorHAnsi"/>
          <w:lang w:val="sq-AL"/>
        </w:rPr>
        <w:t>3</w:t>
      </w:r>
      <w:r w:rsidRPr="004E355C">
        <w:rPr>
          <w:rFonts w:asciiTheme="minorHAnsi" w:hAnsiTheme="minorHAnsi"/>
          <w:lang w:val="sq-AL"/>
        </w:rPr>
        <w:t xml:space="preserve"> përqind të totalit të të ardhurave tatimore faktike të vitit 201</w:t>
      </w:r>
      <w:r>
        <w:rPr>
          <w:rFonts w:asciiTheme="minorHAnsi" w:hAnsiTheme="minorHAnsi"/>
          <w:lang w:val="sq-AL"/>
        </w:rPr>
        <w:t>9</w:t>
      </w:r>
      <w:r w:rsidRPr="004E355C">
        <w:rPr>
          <w:rFonts w:asciiTheme="minorHAnsi" w:hAnsiTheme="minorHAnsi"/>
          <w:lang w:val="sq-AL"/>
        </w:rPr>
        <w:t xml:space="preserve">, prej </w:t>
      </w:r>
      <w:r>
        <w:rPr>
          <w:rFonts w:asciiTheme="minorHAnsi" w:hAnsiTheme="minorHAnsi"/>
          <w:lang w:val="sq-AL"/>
        </w:rPr>
        <w:t xml:space="preserve">rreth </w:t>
      </w:r>
      <w:r w:rsidRPr="004E355C">
        <w:rPr>
          <w:rFonts w:asciiTheme="minorHAnsi" w:hAnsiTheme="minorHAnsi"/>
          <w:lang w:val="sq-AL"/>
        </w:rPr>
        <w:t>4</w:t>
      </w:r>
      <w:r>
        <w:rPr>
          <w:rFonts w:asciiTheme="minorHAnsi" w:hAnsiTheme="minorHAnsi"/>
          <w:lang w:val="sq-AL"/>
        </w:rPr>
        <w:t>26</w:t>
      </w:r>
      <w:r w:rsidRPr="004E355C">
        <w:rPr>
          <w:rFonts w:asciiTheme="minorHAnsi" w:hAnsiTheme="minorHAnsi"/>
          <w:lang w:val="sq-AL"/>
        </w:rPr>
        <w:t>.</w:t>
      </w:r>
      <w:r>
        <w:rPr>
          <w:rFonts w:asciiTheme="minorHAnsi" w:hAnsiTheme="minorHAnsi"/>
          <w:lang w:val="sq-AL"/>
        </w:rPr>
        <w:t>27</w:t>
      </w:r>
      <w:r w:rsidRPr="004E355C">
        <w:rPr>
          <w:rFonts w:asciiTheme="minorHAnsi" w:hAnsiTheme="minorHAnsi"/>
          <w:lang w:val="sq-AL"/>
        </w:rPr>
        <w:t xml:space="preserve"> miliard lekë.</w:t>
      </w:r>
    </w:p>
    <w:p w:rsidR="00AF49E0" w:rsidRDefault="00AF49E0" w:rsidP="00D67C19">
      <w:pPr>
        <w:spacing w:line="276" w:lineRule="auto"/>
        <w:jc w:val="both"/>
        <w:rPr>
          <w:rFonts w:asciiTheme="minorHAnsi" w:hAnsiTheme="minorHAnsi"/>
          <w:lang w:val="sq-AL"/>
        </w:rPr>
      </w:pPr>
    </w:p>
    <w:p w:rsidR="0094272C" w:rsidRPr="00F02D9D" w:rsidRDefault="0094272C" w:rsidP="001E6A9B">
      <w:pPr>
        <w:spacing w:after="240" w:line="276" w:lineRule="auto"/>
        <w:contextualSpacing/>
        <w:rPr>
          <w:rFonts w:asciiTheme="minorHAnsi" w:hAnsiTheme="minorHAnsi"/>
          <w:bCs/>
          <w:i/>
          <w:sz w:val="8"/>
          <w:szCs w:val="8"/>
          <w:lang w:val="sq-AL"/>
        </w:rPr>
      </w:pPr>
    </w:p>
    <w:p w:rsidR="001E6A9B" w:rsidRPr="0065598A" w:rsidRDefault="001E6A9B" w:rsidP="001E6A9B">
      <w:pPr>
        <w:spacing w:after="240" w:line="276" w:lineRule="auto"/>
        <w:contextualSpacing/>
        <w:rPr>
          <w:rFonts w:asciiTheme="minorHAnsi" w:hAnsiTheme="minorHAnsi"/>
          <w:b/>
          <w:bCs/>
          <w:sz w:val="8"/>
          <w:szCs w:val="8"/>
          <w:lang w:val="sq-AL"/>
        </w:rPr>
      </w:pPr>
      <w:bookmarkStart w:id="126" w:name="_Toc44404419"/>
      <w:r w:rsidRPr="0065598A">
        <w:rPr>
          <w:rFonts w:asciiTheme="minorHAnsi" w:hAnsiTheme="minorHAnsi"/>
          <w:bCs/>
          <w:i/>
          <w:lang w:val="sq-AL"/>
        </w:rPr>
        <w:lastRenderedPageBreak/>
        <w:t xml:space="preserve">Tabela </w:t>
      </w:r>
      <w:r w:rsidRPr="0065598A">
        <w:rPr>
          <w:rFonts w:asciiTheme="minorHAnsi" w:hAnsiTheme="minorHAnsi"/>
          <w:bCs/>
          <w:i/>
          <w:lang w:val="sq-AL"/>
        </w:rPr>
        <w:fldChar w:fldCharType="begin"/>
      </w:r>
      <w:r w:rsidRPr="0065598A">
        <w:rPr>
          <w:rFonts w:asciiTheme="minorHAnsi" w:hAnsiTheme="minorHAnsi"/>
          <w:bCs/>
          <w:i/>
          <w:lang w:val="sq-AL"/>
        </w:rPr>
        <w:instrText xml:space="preserve"> SEQ Tabela \* ARABIC </w:instrText>
      </w:r>
      <w:r w:rsidRPr="0065598A">
        <w:rPr>
          <w:rFonts w:asciiTheme="minorHAnsi" w:hAnsiTheme="minorHAnsi"/>
          <w:bCs/>
          <w:i/>
          <w:lang w:val="sq-AL"/>
        </w:rPr>
        <w:fldChar w:fldCharType="separate"/>
      </w:r>
      <w:r w:rsidR="00C342E2">
        <w:rPr>
          <w:rFonts w:asciiTheme="minorHAnsi" w:hAnsiTheme="minorHAnsi"/>
          <w:bCs/>
          <w:i/>
          <w:noProof/>
          <w:lang w:val="sq-AL"/>
        </w:rPr>
        <w:t>18</w:t>
      </w:r>
      <w:r w:rsidRPr="0065598A">
        <w:rPr>
          <w:rFonts w:asciiTheme="minorHAnsi" w:hAnsiTheme="minorHAnsi"/>
          <w:bCs/>
          <w:i/>
          <w:lang w:val="sq-AL"/>
        </w:rPr>
        <w:fldChar w:fldCharType="end"/>
      </w:r>
      <w:r w:rsidRPr="0065598A">
        <w:rPr>
          <w:rFonts w:asciiTheme="minorHAnsi" w:hAnsiTheme="minorHAnsi"/>
          <w:bCs/>
          <w:i/>
          <w:lang w:val="sq-AL"/>
        </w:rPr>
        <w:t xml:space="preserve">: </w:t>
      </w:r>
      <w:r w:rsidR="00562780" w:rsidRPr="0065598A">
        <w:rPr>
          <w:rFonts w:asciiTheme="minorHAnsi" w:hAnsiTheme="minorHAnsi"/>
          <w:bCs/>
          <w:i/>
          <w:lang w:val="sq-AL"/>
        </w:rPr>
        <w:t>Koncesionet/PPT-të aktive me mbështetje nga buxheti i shtetit (në mijë lekë)</w:t>
      </w:r>
      <w:bookmarkEnd w:id="125"/>
      <w:bookmarkEnd w:id="126"/>
    </w:p>
    <w:p w:rsidR="00562780" w:rsidRPr="0065598A" w:rsidRDefault="0094272C" w:rsidP="001E6A9B">
      <w:pPr>
        <w:spacing w:before="240" w:line="276" w:lineRule="auto"/>
        <w:ind w:left="-180"/>
        <w:contextualSpacing/>
        <w:jc w:val="center"/>
        <w:rPr>
          <w:rFonts w:asciiTheme="minorHAnsi" w:hAnsiTheme="minorHAnsi"/>
          <w:i/>
          <w:lang w:val="sq-AL"/>
        </w:rPr>
      </w:pPr>
      <w:r w:rsidRPr="005907AE">
        <w:rPr>
          <w:noProof/>
        </w:rPr>
        <w:drawing>
          <wp:inline distT="0" distB="0" distL="0" distR="0" wp14:anchorId="151C65AA" wp14:editId="7D74E4AD">
            <wp:extent cx="6315075" cy="4960620"/>
            <wp:effectExtent l="0" t="0" r="9525" b="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70" cstate="print">
                      <a:extLst>
                        <a:ext uri="{28A0092B-C50C-407E-A947-70E740481C1C}">
                          <a14:useLocalDpi xmlns:a14="http://schemas.microsoft.com/office/drawing/2010/main" val="0"/>
                        </a:ext>
                      </a:extLst>
                    </a:blip>
                    <a:srcRect/>
                    <a:stretch>
                      <a:fillRect/>
                    </a:stretch>
                  </pic:blipFill>
                  <pic:spPr bwMode="auto">
                    <a:xfrm>
                      <a:off x="0" y="0"/>
                      <a:ext cx="6329676" cy="4972089"/>
                    </a:xfrm>
                    <a:prstGeom prst="rect">
                      <a:avLst/>
                    </a:prstGeom>
                    <a:noFill/>
                    <a:ln>
                      <a:noFill/>
                    </a:ln>
                  </pic:spPr>
                </pic:pic>
              </a:graphicData>
            </a:graphic>
          </wp:inline>
        </w:drawing>
      </w:r>
    </w:p>
    <w:p w:rsidR="0094272C" w:rsidRPr="0094272C" w:rsidRDefault="0094272C" w:rsidP="00562780">
      <w:pPr>
        <w:spacing w:line="276" w:lineRule="auto"/>
        <w:ind w:firstLine="720"/>
        <w:rPr>
          <w:rFonts w:asciiTheme="minorHAnsi" w:eastAsia="SimSun" w:hAnsiTheme="minorHAnsi"/>
          <w:i/>
          <w:sz w:val="4"/>
          <w:szCs w:val="4"/>
          <w:lang w:val="sq-AL"/>
        </w:rPr>
      </w:pPr>
    </w:p>
    <w:p w:rsidR="00562780" w:rsidRDefault="00C23C7E" w:rsidP="00562780">
      <w:pPr>
        <w:spacing w:line="276" w:lineRule="auto"/>
        <w:ind w:firstLine="720"/>
        <w:rPr>
          <w:rFonts w:asciiTheme="minorHAnsi" w:eastAsia="SimSun" w:hAnsiTheme="minorHAnsi"/>
          <w:i/>
          <w:sz w:val="20"/>
          <w:lang w:val="sq-AL"/>
        </w:rPr>
      </w:pPr>
      <w:r>
        <w:rPr>
          <w:rFonts w:asciiTheme="minorHAnsi" w:eastAsia="SimSun" w:hAnsiTheme="minorHAnsi"/>
          <w:i/>
          <w:sz w:val="20"/>
          <w:lang w:val="sq-AL"/>
        </w:rPr>
        <w:t>Burimi: Ministria e Financave dhe Ekonomisë (2020)</w:t>
      </w:r>
    </w:p>
    <w:p w:rsidR="00342E35" w:rsidRDefault="00342E35" w:rsidP="00562780">
      <w:pPr>
        <w:spacing w:line="276" w:lineRule="auto"/>
        <w:ind w:firstLine="720"/>
        <w:rPr>
          <w:rFonts w:asciiTheme="minorHAnsi" w:eastAsia="SimSun" w:hAnsiTheme="minorHAnsi"/>
          <w:i/>
          <w:sz w:val="20"/>
          <w:lang w:val="sq-AL"/>
        </w:rPr>
      </w:pPr>
    </w:p>
    <w:p w:rsidR="00562780" w:rsidRPr="0065598A" w:rsidRDefault="00A36950" w:rsidP="002334F6">
      <w:pPr>
        <w:pStyle w:val="Heading2"/>
      </w:pPr>
      <w:bookmarkStart w:id="127" w:name="_Toc10033287"/>
      <w:bookmarkStart w:id="128" w:name="_Toc10721424"/>
      <w:bookmarkStart w:id="129" w:name="_Toc11134244"/>
      <w:bookmarkStart w:id="130" w:name="_Toc44403621"/>
      <w:r w:rsidRPr="00FF4AD5">
        <w:t>V.4</w:t>
      </w:r>
      <w:r w:rsidRPr="00FF4AD5">
        <w:tab/>
      </w:r>
      <w:r w:rsidR="00562780" w:rsidRPr="00FF4AD5">
        <w:t>Detyrime të tjera Kontigjente</w:t>
      </w:r>
      <w:bookmarkEnd w:id="127"/>
      <w:bookmarkEnd w:id="128"/>
      <w:bookmarkEnd w:id="129"/>
      <w:bookmarkEnd w:id="130"/>
    </w:p>
    <w:p w:rsidR="00562780" w:rsidRPr="0065598A" w:rsidRDefault="00A36950" w:rsidP="00A36950">
      <w:pPr>
        <w:spacing w:before="240" w:beforeAutospacing="1" w:line="276" w:lineRule="auto"/>
        <w:jc w:val="both"/>
        <w:rPr>
          <w:rFonts w:asciiTheme="minorHAnsi" w:hAnsiTheme="minorHAnsi"/>
          <w:b/>
          <w:i/>
          <w:color w:val="4F81BD" w:themeColor="accent1"/>
          <w:sz w:val="26"/>
          <w:szCs w:val="26"/>
          <w:lang w:val="sq-AL"/>
        </w:rPr>
      </w:pPr>
      <w:bookmarkStart w:id="131" w:name="_Toc11134245"/>
      <w:r w:rsidRPr="0065598A">
        <w:rPr>
          <w:rFonts w:asciiTheme="minorHAnsi" w:hAnsiTheme="minorHAnsi"/>
          <w:b/>
          <w:i/>
          <w:color w:val="4F81BD" w:themeColor="accent1"/>
          <w:sz w:val="26"/>
          <w:szCs w:val="26"/>
          <w:lang w:val="sq-AL"/>
        </w:rPr>
        <w:t>V.4.1</w:t>
      </w:r>
      <w:r w:rsidRPr="0065598A">
        <w:rPr>
          <w:rFonts w:asciiTheme="minorHAnsi" w:hAnsiTheme="minorHAnsi"/>
          <w:b/>
          <w:i/>
          <w:color w:val="4F81BD" w:themeColor="accent1"/>
          <w:sz w:val="26"/>
          <w:szCs w:val="26"/>
          <w:lang w:val="sq-AL"/>
        </w:rPr>
        <w:tab/>
      </w:r>
      <w:r w:rsidR="00562780" w:rsidRPr="0065598A">
        <w:rPr>
          <w:rFonts w:asciiTheme="minorHAnsi" w:hAnsiTheme="minorHAnsi"/>
          <w:b/>
          <w:i/>
          <w:color w:val="4F81BD" w:themeColor="accent1"/>
          <w:sz w:val="26"/>
          <w:szCs w:val="26"/>
          <w:lang w:val="sq-AL"/>
        </w:rPr>
        <w:t>Vendimet e Gjykatës së të Drejtave të Njeriut në Strasburg (GJEDNJ)</w:t>
      </w:r>
      <w:bookmarkEnd w:id="131"/>
      <w:r w:rsidR="00562780" w:rsidRPr="0065598A">
        <w:rPr>
          <w:rFonts w:asciiTheme="minorHAnsi" w:hAnsiTheme="minorHAnsi"/>
          <w:b/>
          <w:i/>
          <w:color w:val="4F81BD" w:themeColor="accent1"/>
          <w:sz w:val="26"/>
          <w:szCs w:val="26"/>
          <w:lang w:val="sq-AL"/>
        </w:rPr>
        <w:t xml:space="preserve"> </w:t>
      </w:r>
    </w:p>
    <w:p w:rsidR="00FF4AD5" w:rsidRPr="00FF4AD5" w:rsidRDefault="00FF4AD5" w:rsidP="00FF4AD5">
      <w:pPr>
        <w:spacing w:after="200" w:line="276" w:lineRule="auto"/>
        <w:contextualSpacing/>
        <w:jc w:val="both"/>
        <w:rPr>
          <w:rFonts w:asciiTheme="minorHAnsi" w:hAnsiTheme="minorHAnsi"/>
          <w:sz w:val="8"/>
          <w:szCs w:val="8"/>
          <w:lang w:val="sq-AL"/>
        </w:rPr>
      </w:pPr>
    </w:p>
    <w:p w:rsidR="00FF4AD5" w:rsidRPr="004678DB" w:rsidRDefault="00FF4AD5" w:rsidP="00FF4AD5">
      <w:pPr>
        <w:spacing w:after="200" w:line="276" w:lineRule="auto"/>
        <w:contextualSpacing/>
        <w:jc w:val="both"/>
        <w:rPr>
          <w:rFonts w:asciiTheme="minorHAnsi" w:hAnsiTheme="minorHAnsi"/>
          <w:lang w:val="sq-AL"/>
        </w:rPr>
      </w:pPr>
      <w:r w:rsidRPr="004678DB">
        <w:rPr>
          <w:rFonts w:asciiTheme="minorHAnsi" w:hAnsiTheme="minorHAnsi"/>
          <w:lang w:val="sq-AL"/>
        </w:rPr>
        <w:t xml:space="preserve">Këto vendime kanë të bëjnë kryesisht me çështje që lidhen me kthimin dhe kompensimin e pronave tek ish-pronarët. Sipas Avokaturës së Shtetit, risqet financiare që burojnë nga vendimet e GJEDNJ-së janë të karakterizuara nga një aftësi e dobët parashikuese, përsa kohë që kjo Gjykatë nuk funksionon me një kalendar të përcaktuar për komunikimin e çështjeve dhe nxjerrjen e vendimeve. Ministria e Financave dhe Ekonomisë ka respektuar në vazhdimësi të gjitha vendimet e miratuara nga GJEDNJ, përmes likujdimit të VKM-ve respektive miratuar në mbështetje të tyre, me përpikmëri dhe brenda afateve strikte të përcaktuara prej këtij organi. Kjo, duke konsideruar faktin se kur pagesat nuk kryhen brenda afatit tre mujor nga data kur vendimi përkatës merr formën e prerë, shteti shqiptar ngarkohet me pagesën e një kamatë-vonese për çdo ditë vonesë. </w:t>
      </w:r>
    </w:p>
    <w:p w:rsidR="00FF4AD5" w:rsidRPr="004678DB" w:rsidRDefault="00FF4AD5" w:rsidP="00FF4AD5">
      <w:pPr>
        <w:spacing w:after="200" w:line="276" w:lineRule="auto"/>
        <w:contextualSpacing/>
        <w:jc w:val="both"/>
        <w:rPr>
          <w:rFonts w:asciiTheme="minorHAnsi" w:hAnsiTheme="minorHAnsi"/>
          <w:lang w:val="sq-AL"/>
        </w:rPr>
      </w:pPr>
      <w:r w:rsidRPr="004678DB">
        <w:rPr>
          <w:rFonts w:asciiTheme="minorHAnsi" w:hAnsiTheme="minorHAnsi"/>
          <w:lang w:val="sq-AL"/>
        </w:rPr>
        <w:t xml:space="preserve">Sidoqoftë, për garantimin e shlyerjes në kohë të këtyre vendimeve, MFE ka rekomanduar vazhdimisht përdorimin e të gjitha kanaleve të mundshme institucionale dhe proceduriale, brenda hapësirave që siguron kuadri ligjor në fuqi, duke sugjeruar skedulimin e detyrimit financiar, sipas mundësive të buxhetit të shtetit me këste, në negocim me përfituesit. </w:t>
      </w:r>
    </w:p>
    <w:p w:rsidR="00FF4AD5" w:rsidRPr="004678DB" w:rsidRDefault="00FF4AD5" w:rsidP="00503465">
      <w:pPr>
        <w:numPr>
          <w:ilvl w:val="0"/>
          <w:numId w:val="24"/>
        </w:numPr>
        <w:spacing w:after="200" w:line="276" w:lineRule="auto"/>
        <w:contextualSpacing/>
        <w:jc w:val="both"/>
        <w:rPr>
          <w:rFonts w:asciiTheme="minorHAnsi" w:hAnsiTheme="minorHAnsi"/>
          <w:lang w:val="sq-AL"/>
        </w:rPr>
      </w:pPr>
      <w:r w:rsidRPr="004678DB">
        <w:rPr>
          <w:rFonts w:asciiTheme="minorHAnsi" w:hAnsiTheme="minorHAnsi"/>
          <w:lang w:val="sq-AL"/>
        </w:rPr>
        <w:lastRenderedPageBreak/>
        <w:t>Ndërkohë, hyrja në fuqi më datë 30.12.2018 e ndryshimeve në ligjin “Për Avokaturën e Shtetit”, përmban një kre të veçantë dedikuar ekzekutimit të vendimeve të GJEDNJ-së, ku specifikisht në nenin 19/4 përcaktohen 2 mënyra ekzekutimi të shpërblimit:</w:t>
      </w:r>
    </w:p>
    <w:p w:rsidR="00FF4AD5" w:rsidRPr="004678DB" w:rsidRDefault="00FF4AD5" w:rsidP="00FF4AD5">
      <w:pPr>
        <w:spacing w:after="200" w:line="276" w:lineRule="auto"/>
        <w:contextualSpacing/>
        <w:jc w:val="both"/>
        <w:rPr>
          <w:rFonts w:ascii="Calibri Light" w:eastAsia="MS Mincho" w:hAnsi="Calibri Light"/>
          <w:i/>
          <w:sz w:val="8"/>
          <w:szCs w:val="8"/>
          <w:lang w:val="sq-AL"/>
        </w:rPr>
      </w:pPr>
    </w:p>
    <w:p w:rsidR="00FF4AD5" w:rsidRPr="004678DB" w:rsidRDefault="00FF4AD5" w:rsidP="00503465">
      <w:pPr>
        <w:numPr>
          <w:ilvl w:val="0"/>
          <w:numId w:val="23"/>
        </w:numPr>
        <w:spacing w:after="200" w:line="276" w:lineRule="auto"/>
        <w:contextualSpacing/>
        <w:jc w:val="both"/>
        <w:rPr>
          <w:rFonts w:asciiTheme="minorHAnsi" w:eastAsia="MS Mincho" w:hAnsiTheme="minorHAnsi"/>
          <w:i/>
          <w:lang w:val="sq-AL"/>
        </w:rPr>
      </w:pPr>
      <w:r w:rsidRPr="004678DB">
        <w:rPr>
          <w:rFonts w:asciiTheme="minorHAnsi" w:eastAsia="MS Mincho" w:hAnsiTheme="minorHAnsi"/>
          <w:i/>
          <w:lang w:val="sq-AL"/>
        </w:rPr>
        <w:t>Vendimet me detyrim financiar mbi 10.000 EUR, implikojnë nxjerrjen e VKM-ve respektive për ekzekutimin e tyre.</w:t>
      </w:r>
    </w:p>
    <w:p w:rsidR="00FF4AD5" w:rsidRPr="004678DB" w:rsidRDefault="00FF4AD5" w:rsidP="00FF4AD5">
      <w:pPr>
        <w:spacing w:after="200" w:line="276" w:lineRule="auto"/>
        <w:contextualSpacing/>
        <w:jc w:val="both"/>
        <w:rPr>
          <w:rFonts w:asciiTheme="minorHAnsi" w:eastAsia="MS Mincho" w:hAnsiTheme="minorHAnsi"/>
          <w:i/>
          <w:sz w:val="8"/>
          <w:szCs w:val="8"/>
          <w:lang w:val="sq-AL"/>
        </w:rPr>
      </w:pPr>
    </w:p>
    <w:p w:rsidR="00FF4AD5" w:rsidRDefault="00FF4AD5" w:rsidP="00503465">
      <w:pPr>
        <w:numPr>
          <w:ilvl w:val="0"/>
          <w:numId w:val="23"/>
        </w:numPr>
        <w:spacing w:after="200" w:line="276" w:lineRule="auto"/>
        <w:contextualSpacing/>
        <w:jc w:val="both"/>
        <w:rPr>
          <w:rFonts w:asciiTheme="minorHAnsi" w:eastAsia="MS Mincho" w:hAnsiTheme="minorHAnsi"/>
          <w:i/>
          <w:lang w:val="sq-AL"/>
        </w:rPr>
      </w:pPr>
      <w:r w:rsidRPr="004678DB">
        <w:rPr>
          <w:rFonts w:asciiTheme="minorHAnsi" w:eastAsia="MS Mincho" w:hAnsiTheme="minorHAnsi"/>
          <w:i/>
          <w:lang w:val="sq-AL"/>
        </w:rPr>
        <w:t>Vendimet me detyrim financiar deri në 10.000 EUR, ekzekutohen drejtpërdrejtë nga Ministria e Financave dhe Ekonomisë, pas kërkesës zyrtare të Avokaturës së Shtetit.</w:t>
      </w:r>
    </w:p>
    <w:p w:rsidR="00FF4AD5" w:rsidRPr="00FF4AD5" w:rsidRDefault="00FF4AD5" w:rsidP="00FF4AD5">
      <w:pPr>
        <w:spacing w:after="200" w:line="276" w:lineRule="auto"/>
        <w:contextualSpacing/>
        <w:jc w:val="both"/>
        <w:rPr>
          <w:rFonts w:asciiTheme="minorHAnsi" w:eastAsia="MS Mincho" w:hAnsiTheme="minorHAnsi"/>
          <w:i/>
          <w:sz w:val="12"/>
          <w:lang w:val="sq-AL"/>
        </w:rPr>
      </w:pPr>
    </w:p>
    <w:p w:rsidR="00FF4AD5" w:rsidRPr="00DB5DD4" w:rsidRDefault="00FF4AD5" w:rsidP="00FF4AD5">
      <w:pPr>
        <w:spacing w:after="200" w:line="276" w:lineRule="auto"/>
        <w:contextualSpacing/>
        <w:jc w:val="both"/>
        <w:rPr>
          <w:rFonts w:asciiTheme="minorHAnsi" w:hAnsiTheme="minorHAnsi"/>
          <w:lang w:val="sq-AL"/>
        </w:rPr>
      </w:pPr>
      <w:r>
        <w:rPr>
          <w:rFonts w:asciiTheme="minorHAnsi" w:hAnsiTheme="minorHAnsi"/>
          <w:lang w:val="sq-AL"/>
        </w:rPr>
        <w:t xml:space="preserve">Per periudhen janar-qershor </w:t>
      </w:r>
      <w:r w:rsidRPr="004E355C">
        <w:rPr>
          <w:rFonts w:asciiTheme="minorHAnsi" w:hAnsiTheme="minorHAnsi"/>
          <w:lang w:val="sq-AL"/>
        </w:rPr>
        <w:t>20</w:t>
      </w:r>
      <w:r>
        <w:rPr>
          <w:rFonts w:asciiTheme="minorHAnsi" w:hAnsiTheme="minorHAnsi"/>
          <w:lang w:val="sq-AL"/>
        </w:rPr>
        <w:t>20</w:t>
      </w:r>
      <w:r w:rsidRPr="007E02CE">
        <w:rPr>
          <w:rFonts w:asciiTheme="minorHAnsi" w:hAnsiTheme="minorHAnsi"/>
          <w:lang w:val="sq-AL"/>
        </w:rPr>
        <w:t>, rezulton se</w:t>
      </w:r>
      <w:r>
        <w:rPr>
          <w:rFonts w:asciiTheme="minorHAnsi" w:hAnsiTheme="minorHAnsi"/>
          <w:lang w:val="sq-AL"/>
        </w:rPr>
        <w:t xml:space="preserve"> në MFE nuk ka ardhur asnjë projektvendim lidhur me pages</w:t>
      </w:r>
      <w:r w:rsidR="00AF578C">
        <w:rPr>
          <w:rFonts w:asciiTheme="minorHAnsi" w:hAnsiTheme="minorHAnsi"/>
          <w:lang w:val="sq-AL"/>
        </w:rPr>
        <w:t>ë</w:t>
      </w:r>
      <w:r>
        <w:rPr>
          <w:rFonts w:asciiTheme="minorHAnsi" w:hAnsiTheme="minorHAnsi"/>
          <w:lang w:val="sq-AL"/>
        </w:rPr>
        <w:t xml:space="preserve"> t</w:t>
      </w:r>
      <w:r w:rsidR="00AF578C">
        <w:rPr>
          <w:rFonts w:asciiTheme="minorHAnsi" w:hAnsiTheme="minorHAnsi"/>
          <w:lang w:val="sq-AL"/>
        </w:rPr>
        <w:t>ë</w:t>
      </w:r>
      <w:r>
        <w:rPr>
          <w:rFonts w:asciiTheme="minorHAnsi" w:hAnsiTheme="minorHAnsi"/>
          <w:lang w:val="sq-AL"/>
        </w:rPr>
        <w:t xml:space="preserve"> vendimeve të GJEDNJ-së, me detyrim financiar mbi 10.000 EUR dhe as vendime për ekzekutim nën këtë vlerë. Rrjedhimisht, nga fillimi i vitit 2020 e deri më tani, nga MFE nuk është kryer ndonj</w:t>
      </w:r>
      <w:r w:rsidR="00AF578C">
        <w:rPr>
          <w:rFonts w:asciiTheme="minorHAnsi" w:hAnsiTheme="minorHAnsi"/>
          <w:lang w:val="sq-AL"/>
        </w:rPr>
        <w:t>ë</w:t>
      </w:r>
      <w:r>
        <w:rPr>
          <w:rFonts w:asciiTheme="minorHAnsi" w:hAnsiTheme="minorHAnsi"/>
          <w:lang w:val="sq-AL"/>
        </w:rPr>
        <w:t xml:space="preserve"> pagesë për likujdim t</w:t>
      </w:r>
      <w:r w:rsidR="00AF578C">
        <w:rPr>
          <w:rFonts w:asciiTheme="minorHAnsi" w:hAnsiTheme="minorHAnsi"/>
          <w:lang w:val="sq-AL"/>
        </w:rPr>
        <w:t>ë</w:t>
      </w:r>
      <w:r>
        <w:rPr>
          <w:rFonts w:asciiTheme="minorHAnsi" w:hAnsiTheme="minorHAnsi"/>
          <w:lang w:val="sq-AL"/>
        </w:rPr>
        <w:t xml:space="preserve"> vendimeve të GJEDNJ-së. </w:t>
      </w:r>
    </w:p>
    <w:p w:rsidR="00562780" w:rsidRPr="0065598A" w:rsidRDefault="00562780" w:rsidP="00562780">
      <w:pPr>
        <w:spacing w:after="200" w:line="276" w:lineRule="auto"/>
        <w:contextualSpacing/>
        <w:jc w:val="both"/>
        <w:rPr>
          <w:rFonts w:asciiTheme="minorHAnsi" w:eastAsia="Calibri" w:hAnsiTheme="minorHAnsi"/>
          <w:i/>
          <w:sz w:val="12"/>
          <w:lang w:val="sq-AL"/>
        </w:rPr>
      </w:pPr>
    </w:p>
    <w:p w:rsidR="00666B9F" w:rsidRPr="0065598A" w:rsidRDefault="00666B9F" w:rsidP="00562780">
      <w:pPr>
        <w:spacing w:after="200" w:line="276" w:lineRule="auto"/>
        <w:contextualSpacing/>
        <w:jc w:val="both"/>
        <w:rPr>
          <w:rFonts w:asciiTheme="minorHAnsi" w:eastAsia="Calibri" w:hAnsiTheme="minorHAnsi"/>
          <w:i/>
          <w:sz w:val="12"/>
          <w:lang w:val="sq-AL"/>
        </w:rPr>
      </w:pPr>
    </w:p>
    <w:p w:rsidR="00562780" w:rsidRPr="0065598A" w:rsidRDefault="00F052E6" w:rsidP="00F052E6">
      <w:pPr>
        <w:spacing w:before="240" w:beforeAutospacing="1" w:line="276" w:lineRule="auto"/>
        <w:jc w:val="both"/>
        <w:rPr>
          <w:rFonts w:asciiTheme="minorHAnsi" w:hAnsiTheme="minorHAnsi"/>
          <w:b/>
          <w:color w:val="4F81BD" w:themeColor="accent1"/>
          <w:sz w:val="26"/>
          <w:szCs w:val="26"/>
          <w:lang w:val="sq-AL"/>
        </w:rPr>
      </w:pPr>
      <w:bookmarkStart w:id="132" w:name="_Toc11134246"/>
      <w:r w:rsidRPr="0065598A">
        <w:rPr>
          <w:rFonts w:asciiTheme="minorHAnsi" w:hAnsiTheme="minorHAnsi"/>
          <w:b/>
          <w:color w:val="4F81BD" w:themeColor="accent1"/>
          <w:sz w:val="26"/>
          <w:szCs w:val="26"/>
          <w:lang w:val="sq-AL"/>
        </w:rPr>
        <w:t>V.4.2</w:t>
      </w:r>
      <w:r w:rsidRPr="0065598A">
        <w:rPr>
          <w:rFonts w:asciiTheme="minorHAnsi" w:hAnsiTheme="minorHAnsi"/>
          <w:b/>
          <w:color w:val="4F81BD" w:themeColor="accent1"/>
          <w:sz w:val="26"/>
          <w:szCs w:val="26"/>
          <w:lang w:val="sq-AL"/>
        </w:rPr>
        <w:tab/>
      </w:r>
      <w:r w:rsidR="00562780" w:rsidRPr="0065598A">
        <w:rPr>
          <w:rFonts w:asciiTheme="minorHAnsi" w:hAnsiTheme="minorHAnsi"/>
          <w:b/>
          <w:color w:val="4F81BD" w:themeColor="accent1"/>
          <w:sz w:val="26"/>
          <w:szCs w:val="26"/>
          <w:lang w:val="sq-AL"/>
        </w:rPr>
        <w:t>Vendimet e Gjykatës Ndërkombëtare të ARBITRAZHIT</w:t>
      </w:r>
      <w:bookmarkEnd w:id="132"/>
      <w:r w:rsidR="00562780" w:rsidRPr="0065598A">
        <w:rPr>
          <w:rFonts w:asciiTheme="minorHAnsi" w:hAnsiTheme="minorHAnsi"/>
          <w:b/>
          <w:color w:val="4F81BD" w:themeColor="accent1"/>
          <w:sz w:val="26"/>
          <w:szCs w:val="26"/>
          <w:lang w:val="sq-AL"/>
        </w:rPr>
        <w:t xml:space="preserve"> </w:t>
      </w:r>
    </w:p>
    <w:p w:rsidR="00FF4AD5" w:rsidRPr="00FF4AD5" w:rsidRDefault="00FF4AD5" w:rsidP="00FF4AD5">
      <w:pPr>
        <w:spacing w:line="276" w:lineRule="auto"/>
        <w:contextualSpacing/>
        <w:jc w:val="both"/>
        <w:rPr>
          <w:rFonts w:asciiTheme="minorHAnsi" w:hAnsiTheme="minorHAnsi"/>
          <w:sz w:val="8"/>
          <w:szCs w:val="8"/>
          <w:lang w:val="sq-AL"/>
        </w:rPr>
      </w:pPr>
    </w:p>
    <w:p w:rsidR="008F207A" w:rsidRDefault="00FF4AD5" w:rsidP="008F207A">
      <w:pPr>
        <w:spacing w:line="276" w:lineRule="auto"/>
        <w:contextualSpacing/>
        <w:jc w:val="both"/>
        <w:rPr>
          <w:rFonts w:ascii="Calibri" w:hAnsi="Calibri"/>
          <w:lang w:val="sq-AL"/>
        </w:rPr>
      </w:pPr>
      <w:r w:rsidRPr="004A11B3">
        <w:rPr>
          <w:rFonts w:asciiTheme="minorHAnsi" w:hAnsiTheme="minorHAnsi"/>
          <w:lang w:val="sq-AL"/>
        </w:rPr>
        <w:t xml:space="preserve">Ato kanë të bëjnë me vendimet e formës së prerë për zgjidhjen e konflikteve në mosmarrëveshjet dy ose shumëpalëshe, në ngarkim të shtetit shqiptar. Duke patur parasysh efektet e qënësishme financiare që rëndom shoqërojnë këto vendime, ato vlerësohen me risk të konsiderueshëm për buxhetin e shtetit. Në pjesën më të madhe, efektet financiare që rrjedhin nga zbatimi i këtyre vendimeve janë përballuar nga buxheti i vetë institucioneve buxhetore (kryesisht ministri linje), të cilat kanë qenë edhe palë e paditur në gjykimet respektive. Ndërkohë që, në rastet kur palë e paditur cilësohet ‘shteti shqiptar’ apo ‘qeveria shqiptare’, këto vendime likujdohen përmes buxhetit të </w:t>
      </w:r>
      <w:r w:rsidR="008F207A">
        <w:rPr>
          <w:rFonts w:asciiTheme="minorHAnsi" w:hAnsiTheme="minorHAnsi"/>
          <w:lang w:val="sq-AL"/>
        </w:rPr>
        <w:t>MFE dhe/ose Fondit R</w:t>
      </w:r>
      <w:r w:rsidRPr="004A11B3">
        <w:rPr>
          <w:rFonts w:asciiTheme="minorHAnsi" w:hAnsiTheme="minorHAnsi"/>
          <w:lang w:val="sq-AL"/>
        </w:rPr>
        <w:t xml:space="preserve">ezervë të buxhetit të shtetit, nëse lind nevoja. </w:t>
      </w:r>
      <w:r w:rsidR="008F207A">
        <w:rPr>
          <w:rFonts w:asciiTheme="minorHAnsi" w:hAnsiTheme="minorHAnsi"/>
          <w:lang w:val="sq-AL"/>
        </w:rPr>
        <w:t>MFE</w:t>
      </w:r>
      <w:r w:rsidRPr="00DE3687">
        <w:rPr>
          <w:rFonts w:asciiTheme="minorHAnsi" w:hAnsiTheme="minorHAnsi"/>
          <w:lang w:val="sq-AL"/>
        </w:rPr>
        <w:t>, në vazhdimësi dhe me këmbëngulje, ka rekomanduar forcimin e rolit negociues të institucioneve buxhetore dhe Avokaturës së Shtetit në çështjet e kësaj natyre, si edhe disiplinimin e proçesit të shlyerjes financiare të përfituesve. Kjo, me qëllimin final të lehtësimit, reduktimit dhe/ose shmangies së barrës financiare mbi buxhetin e shtetit.</w:t>
      </w:r>
      <w:r w:rsidR="008F207A">
        <w:rPr>
          <w:rFonts w:asciiTheme="minorHAnsi" w:hAnsiTheme="minorHAnsi"/>
          <w:lang w:val="sq-AL"/>
        </w:rPr>
        <w:t xml:space="preserve"> </w:t>
      </w:r>
      <w:r w:rsidR="008F207A" w:rsidRPr="006D7D46">
        <w:rPr>
          <w:rFonts w:ascii="Calibri" w:hAnsi="Calibri"/>
          <w:lang w:val="sq-AL"/>
        </w:rPr>
        <w:t>P</w:t>
      </w:r>
      <w:r w:rsidR="008F207A">
        <w:rPr>
          <w:rFonts w:ascii="Calibri" w:hAnsi="Calibri"/>
          <w:lang w:val="sq-AL"/>
        </w:rPr>
        <w:t>ë</w:t>
      </w:r>
      <w:r w:rsidR="008F207A" w:rsidRPr="006D7D46">
        <w:rPr>
          <w:rFonts w:ascii="Calibri" w:hAnsi="Calibri"/>
          <w:lang w:val="sq-AL"/>
        </w:rPr>
        <w:t>r periudh</w:t>
      </w:r>
      <w:r w:rsidR="008F207A">
        <w:rPr>
          <w:rFonts w:ascii="Calibri" w:hAnsi="Calibri"/>
          <w:lang w:val="sq-AL"/>
        </w:rPr>
        <w:t>ë</w:t>
      </w:r>
      <w:r w:rsidR="008F207A" w:rsidRPr="006D7D46">
        <w:rPr>
          <w:rFonts w:ascii="Calibri" w:hAnsi="Calibri"/>
          <w:lang w:val="sq-AL"/>
        </w:rPr>
        <w:t xml:space="preserve">n janar-qershor 2020, nga institucionet buxhetore është raportuar se nuk </w:t>
      </w:r>
      <w:r w:rsidR="008F207A">
        <w:rPr>
          <w:rFonts w:ascii="Calibri" w:hAnsi="Calibri"/>
          <w:lang w:val="sq-AL"/>
        </w:rPr>
        <w:t>jan</w:t>
      </w:r>
      <w:r w:rsidR="008F207A" w:rsidRPr="006D7D46">
        <w:rPr>
          <w:rFonts w:ascii="Calibri" w:hAnsi="Calibri"/>
          <w:lang w:val="sq-AL"/>
        </w:rPr>
        <w:t>ë kryer pages</w:t>
      </w:r>
      <w:r w:rsidR="008F207A">
        <w:rPr>
          <w:rFonts w:ascii="Calibri" w:hAnsi="Calibri"/>
          <w:lang w:val="sq-AL"/>
        </w:rPr>
        <w:t>a</w:t>
      </w:r>
      <w:r w:rsidR="008F207A" w:rsidRPr="006D7D46">
        <w:rPr>
          <w:rFonts w:ascii="Calibri" w:hAnsi="Calibri"/>
          <w:lang w:val="sq-AL"/>
        </w:rPr>
        <w:t xml:space="preserve"> </w:t>
      </w:r>
      <w:r w:rsidR="008F207A">
        <w:rPr>
          <w:rFonts w:ascii="Calibri" w:hAnsi="Calibri"/>
          <w:lang w:val="sq-AL"/>
        </w:rPr>
        <w:t xml:space="preserve">për vendime Arbitrazhi. Detyrimi total i akumuluar për </w:t>
      </w:r>
      <w:r w:rsidR="008F207A" w:rsidRPr="006D7D46">
        <w:rPr>
          <w:rFonts w:ascii="Calibri" w:hAnsi="Calibri"/>
          <w:lang w:val="sq-AL"/>
        </w:rPr>
        <w:t>Arbitrazh</w:t>
      </w:r>
      <w:r w:rsidR="008F207A">
        <w:rPr>
          <w:rFonts w:ascii="Calibri" w:hAnsi="Calibri"/>
          <w:lang w:val="sq-AL"/>
        </w:rPr>
        <w:t>e</w:t>
      </w:r>
      <w:r w:rsidR="008F207A" w:rsidRPr="006D7D46">
        <w:rPr>
          <w:rFonts w:ascii="Calibri" w:hAnsi="Calibri"/>
          <w:lang w:val="sq-AL"/>
        </w:rPr>
        <w:t>t Ndërkombëtar</w:t>
      </w:r>
      <w:r w:rsidR="008F207A">
        <w:rPr>
          <w:rFonts w:ascii="Calibri" w:hAnsi="Calibri"/>
          <w:lang w:val="sq-AL"/>
        </w:rPr>
        <w:t>e, rezulton në rreth 109.5milion EUR.</w:t>
      </w:r>
    </w:p>
    <w:p w:rsidR="00AF49E0" w:rsidRDefault="00AF49E0" w:rsidP="008F207A">
      <w:pPr>
        <w:spacing w:after="240" w:line="276" w:lineRule="auto"/>
        <w:contextualSpacing/>
        <w:rPr>
          <w:rFonts w:ascii="Calibri" w:hAnsi="Calibri"/>
          <w:bCs/>
          <w:i/>
          <w:lang w:val="sq-AL"/>
        </w:rPr>
      </w:pPr>
    </w:p>
    <w:p w:rsidR="008F207A" w:rsidRPr="00BE3859" w:rsidRDefault="008F207A" w:rsidP="008F207A">
      <w:pPr>
        <w:spacing w:after="240" w:line="276" w:lineRule="auto"/>
        <w:contextualSpacing/>
        <w:rPr>
          <w:rFonts w:ascii="Calibri" w:hAnsi="Calibri"/>
          <w:lang w:val="sq-AL"/>
        </w:rPr>
      </w:pPr>
      <w:bookmarkStart w:id="133" w:name="_Toc44404420"/>
      <w:r w:rsidRPr="006D7D46">
        <w:rPr>
          <w:rFonts w:ascii="Calibri" w:hAnsi="Calibri"/>
          <w:bCs/>
          <w:i/>
          <w:lang w:val="sq-AL"/>
        </w:rPr>
        <w:t xml:space="preserve">Tabela </w:t>
      </w:r>
      <w:r w:rsidRPr="006D7D46">
        <w:rPr>
          <w:rFonts w:ascii="Calibri" w:hAnsi="Calibri"/>
          <w:bCs/>
          <w:i/>
          <w:lang w:val="sq-AL"/>
        </w:rPr>
        <w:fldChar w:fldCharType="begin"/>
      </w:r>
      <w:r w:rsidRPr="006D7D46">
        <w:rPr>
          <w:rFonts w:ascii="Calibri" w:hAnsi="Calibri"/>
          <w:bCs/>
          <w:i/>
          <w:lang w:val="sq-AL"/>
        </w:rPr>
        <w:instrText xml:space="preserve"> SEQ Tabela \* ARABIC </w:instrText>
      </w:r>
      <w:r w:rsidRPr="006D7D46">
        <w:rPr>
          <w:rFonts w:ascii="Calibri" w:hAnsi="Calibri"/>
          <w:bCs/>
          <w:i/>
          <w:lang w:val="sq-AL"/>
        </w:rPr>
        <w:fldChar w:fldCharType="separate"/>
      </w:r>
      <w:r w:rsidR="00C342E2">
        <w:rPr>
          <w:rFonts w:ascii="Calibri" w:hAnsi="Calibri"/>
          <w:bCs/>
          <w:i/>
          <w:noProof/>
          <w:lang w:val="sq-AL"/>
        </w:rPr>
        <w:t>19</w:t>
      </w:r>
      <w:r w:rsidRPr="006D7D46">
        <w:rPr>
          <w:rFonts w:ascii="Calibri" w:hAnsi="Calibri"/>
          <w:bCs/>
          <w:i/>
          <w:lang w:val="sq-AL"/>
        </w:rPr>
        <w:fldChar w:fldCharType="end"/>
      </w:r>
      <w:r w:rsidRPr="006D7D46">
        <w:rPr>
          <w:rFonts w:ascii="Calibri" w:hAnsi="Calibri"/>
          <w:bCs/>
          <w:i/>
          <w:lang w:val="sq-AL"/>
        </w:rPr>
        <w:t xml:space="preserve">: </w:t>
      </w:r>
      <w:r w:rsidRPr="00BE3859">
        <w:rPr>
          <w:rFonts w:ascii="Calibri" w:hAnsi="Calibri"/>
          <w:i/>
          <w:lang w:val="sq-AL"/>
        </w:rPr>
        <w:t>Detyrime për vendimet e Arbitrazhit Ndërkombëtar</w:t>
      </w:r>
      <w:r>
        <w:rPr>
          <w:rFonts w:ascii="Calibri" w:hAnsi="Calibri"/>
          <w:lang w:val="sq-AL"/>
        </w:rPr>
        <w:t xml:space="preserve"> (n</w:t>
      </w:r>
      <w:r w:rsidR="002323A5">
        <w:rPr>
          <w:rFonts w:ascii="Calibri" w:hAnsi="Calibri"/>
          <w:lang w:val="sq-AL"/>
        </w:rPr>
        <w:t>ë</w:t>
      </w:r>
      <w:r>
        <w:rPr>
          <w:rFonts w:ascii="Calibri" w:hAnsi="Calibri"/>
          <w:lang w:val="sq-AL"/>
        </w:rPr>
        <w:t xml:space="preserve"> EUR)</w:t>
      </w:r>
      <w:bookmarkEnd w:id="133"/>
      <w:r>
        <w:rPr>
          <w:rFonts w:ascii="Calibri" w:hAnsi="Calibri"/>
          <w:lang w:val="sq-AL"/>
        </w:rPr>
        <w:t xml:space="preserve">                                                                    </w:t>
      </w:r>
    </w:p>
    <w:p w:rsidR="00FF4AD5" w:rsidRDefault="008F207A" w:rsidP="008F207A">
      <w:pPr>
        <w:jc w:val="center"/>
        <w:rPr>
          <w:rFonts w:asciiTheme="minorHAnsi" w:hAnsiTheme="minorHAnsi"/>
          <w:i/>
          <w:sz w:val="22"/>
          <w:lang w:val="sq-AL"/>
        </w:rPr>
      </w:pPr>
      <w:r w:rsidRPr="00EC7F19">
        <w:rPr>
          <w:noProof/>
        </w:rPr>
        <w:drawing>
          <wp:inline distT="0" distB="0" distL="0" distR="0" wp14:anchorId="0875AA5A" wp14:editId="2514E895">
            <wp:extent cx="6115050" cy="2004060"/>
            <wp:effectExtent l="0" t="0" r="0" b="0"/>
            <wp:docPr id="319" name="Picture 3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71">
                      <a:extLst>
                        <a:ext uri="{28A0092B-C50C-407E-A947-70E740481C1C}">
                          <a14:useLocalDpi xmlns:a14="http://schemas.microsoft.com/office/drawing/2010/main" val="0"/>
                        </a:ext>
                      </a:extLst>
                    </a:blip>
                    <a:srcRect/>
                    <a:stretch>
                      <a:fillRect/>
                    </a:stretch>
                  </pic:blipFill>
                  <pic:spPr bwMode="auto">
                    <a:xfrm>
                      <a:off x="0" y="0"/>
                      <a:ext cx="6119334" cy="2005464"/>
                    </a:xfrm>
                    <a:prstGeom prst="rect">
                      <a:avLst/>
                    </a:prstGeom>
                    <a:noFill/>
                    <a:ln>
                      <a:noFill/>
                    </a:ln>
                  </pic:spPr>
                </pic:pic>
              </a:graphicData>
            </a:graphic>
          </wp:inline>
        </w:drawing>
      </w:r>
    </w:p>
    <w:p w:rsidR="008F207A" w:rsidRDefault="008F207A" w:rsidP="008F207A">
      <w:pPr>
        <w:spacing w:line="276" w:lineRule="auto"/>
        <w:ind w:firstLine="720"/>
        <w:rPr>
          <w:rFonts w:asciiTheme="minorHAnsi" w:eastAsia="SimSun" w:hAnsiTheme="minorHAnsi"/>
          <w:i/>
          <w:sz w:val="20"/>
          <w:lang w:val="sq-AL"/>
        </w:rPr>
      </w:pPr>
      <w:r>
        <w:rPr>
          <w:rFonts w:asciiTheme="minorHAnsi" w:eastAsia="SimSun" w:hAnsiTheme="minorHAnsi"/>
          <w:i/>
          <w:sz w:val="20"/>
          <w:lang w:val="sq-AL"/>
        </w:rPr>
        <w:t>Burimi: Ministria e Financave dhe Ekonomisë (2020)</w:t>
      </w:r>
    </w:p>
    <w:p w:rsidR="00AF49E0" w:rsidRDefault="00AF49E0" w:rsidP="008F207A">
      <w:pPr>
        <w:spacing w:line="276" w:lineRule="auto"/>
        <w:ind w:firstLine="720"/>
        <w:rPr>
          <w:rFonts w:asciiTheme="minorHAnsi" w:eastAsia="SimSun" w:hAnsiTheme="minorHAnsi"/>
          <w:i/>
          <w:sz w:val="20"/>
          <w:lang w:val="sq-AL"/>
        </w:rPr>
      </w:pPr>
    </w:p>
    <w:p w:rsidR="00F02D9D" w:rsidRDefault="00F02D9D" w:rsidP="008F207A">
      <w:pPr>
        <w:spacing w:line="276" w:lineRule="auto"/>
        <w:ind w:firstLine="720"/>
        <w:rPr>
          <w:rFonts w:asciiTheme="minorHAnsi" w:eastAsia="SimSun" w:hAnsiTheme="minorHAnsi"/>
          <w:i/>
          <w:sz w:val="20"/>
          <w:lang w:val="sq-AL"/>
        </w:rPr>
      </w:pPr>
    </w:p>
    <w:p w:rsidR="00F02D9D" w:rsidRPr="00F02D9D" w:rsidRDefault="00F02D9D" w:rsidP="008F207A">
      <w:pPr>
        <w:spacing w:line="276" w:lineRule="auto"/>
        <w:ind w:firstLine="720"/>
        <w:rPr>
          <w:rFonts w:asciiTheme="minorHAnsi" w:eastAsia="SimSun" w:hAnsiTheme="minorHAnsi"/>
          <w:i/>
          <w:sz w:val="4"/>
          <w:lang w:val="sq-AL"/>
        </w:rPr>
      </w:pPr>
    </w:p>
    <w:p w:rsidR="00880BDE" w:rsidRPr="0065598A" w:rsidRDefault="00765663" w:rsidP="00F02D9D">
      <w:pPr>
        <w:pStyle w:val="Heading1"/>
        <w:numPr>
          <w:ilvl w:val="0"/>
          <w:numId w:val="1"/>
        </w:numPr>
        <w:spacing w:before="0" w:line="276" w:lineRule="auto"/>
        <w:ind w:left="720"/>
        <w:jc w:val="both"/>
        <w:rPr>
          <w:sz w:val="32"/>
          <w:u w:val="none"/>
        </w:rPr>
      </w:pPr>
      <w:bookmarkStart w:id="134" w:name="_Toc44403622"/>
      <w:r w:rsidRPr="0065598A">
        <w:rPr>
          <w:sz w:val="32"/>
          <w:u w:val="none"/>
        </w:rPr>
        <w:lastRenderedPageBreak/>
        <w:t>KONKLUZIONE DHE PROPOZIME</w:t>
      </w:r>
      <w:bookmarkEnd w:id="134"/>
    </w:p>
    <w:p w:rsidR="00F02D9D" w:rsidRPr="00F02D9D" w:rsidRDefault="00F02D9D" w:rsidP="00C74FE0">
      <w:pPr>
        <w:spacing w:line="276" w:lineRule="auto"/>
        <w:jc w:val="both"/>
        <w:rPr>
          <w:rFonts w:ascii="Calibri" w:hAnsi="Calibri"/>
          <w:i/>
          <w:sz w:val="8"/>
          <w:szCs w:val="8"/>
          <w:lang w:val="sq-AL"/>
        </w:rPr>
      </w:pPr>
    </w:p>
    <w:p w:rsidR="00C74FE0" w:rsidRDefault="00F02D9D" w:rsidP="00C74FE0">
      <w:pPr>
        <w:spacing w:line="276" w:lineRule="auto"/>
        <w:jc w:val="both"/>
        <w:rPr>
          <w:rFonts w:ascii="Calibri" w:hAnsi="Calibri"/>
          <w:lang w:val="sq-AL"/>
        </w:rPr>
      </w:pPr>
      <w:r w:rsidRPr="00F02D9D">
        <w:rPr>
          <w:rFonts w:ascii="Calibri" w:hAnsi="Calibri"/>
          <w:i/>
          <w:lang w:val="sq-AL"/>
        </w:rPr>
        <w:t>Parashikimi i rritjes ekonomike</w:t>
      </w:r>
      <w:r w:rsidRPr="00FF4AD5">
        <w:rPr>
          <w:rFonts w:ascii="Calibri" w:hAnsi="Calibri"/>
          <w:lang w:val="sq-AL"/>
        </w:rPr>
        <w:t>, apo më saktë recensionit ekonomik për vitin 2020, si dhe të gjithë variablave të tjerë makroekonomikë, do të jetë subjekt rishikimesh në vijimësi të qartësimit të dinamikës së situatës</w:t>
      </w:r>
      <w:r>
        <w:rPr>
          <w:rFonts w:ascii="Calibri" w:hAnsi="Calibri"/>
          <w:lang w:val="sq-AL"/>
        </w:rPr>
        <w:t xml:space="preserve">. </w:t>
      </w:r>
      <w:r w:rsidR="00FF4AD5" w:rsidRPr="00FF4AD5">
        <w:rPr>
          <w:rFonts w:ascii="Calibri" w:hAnsi="Calibri"/>
          <w:lang w:val="sq-AL"/>
        </w:rPr>
        <w:t xml:space="preserve">Parashikimet kuantitative për impaktin negativ të COVID-19 në ekonomi, deri më tani, mbeten të rrethuara nga një marzh i lartë paqartësie. Pritet që impaktin më të lartë negativ ta kenë aktivitetet ekonomike që lidhen me sektorët e turizmit, transportit dhe tregtisë. Po gjithashtu pritet të preken konsiderueshëm edhe sektorët e industrisë përpunuese, industrisë nxjerrëse, shërbimeve të tjera dhe ndërtimit. Mundet që njëkohësisht disa sektorë të tjerë të kenë një impakt neto pozitiv, si p.sh. sektori i bujqësisë, kryesisht për shkak të efektit të zëvendësimit të mallrave të importit me ato të prodhuara në vend. Ndërkohë nga pikëpamja e kërkesës agregate, impakti më i lartë negativ pritet në eksportet totale, sidomos ato të shërbimeve, dhe në konsumin  final, por gjithashtu edhe investimet totale pritet të kenë një impakt negativ, ndonëse më të zbutur se sa dy komponentët e parë. Ndërsa, tkurrja në të njëjtën kohë e importeve, si të mallrave ashtu edhe të shërbimeve, pritet të zbusë në një masë të caktuar efektin neto negativ në rritjen reale të PBB.. </w:t>
      </w:r>
    </w:p>
    <w:p w:rsidR="00C74FE0" w:rsidRPr="00C74FE0" w:rsidRDefault="00C74FE0" w:rsidP="00C74FE0">
      <w:pPr>
        <w:shd w:val="clear" w:color="auto" w:fill="FFFFFF"/>
        <w:spacing w:line="276" w:lineRule="auto"/>
        <w:jc w:val="both"/>
        <w:rPr>
          <w:rFonts w:asciiTheme="minorHAnsi" w:hAnsiTheme="minorHAnsi"/>
          <w:i/>
          <w:sz w:val="8"/>
          <w:szCs w:val="8"/>
          <w:highlight w:val="yellow"/>
          <w:lang w:val="sq-AL"/>
        </w:rPr>
      </w:pPr>
    </w:p>
    <w:p w:rsidR="00C74FE0" w:rsidRPr="00C74FE0" w:rsidRDefault="0078470D" w:rsidP="00C74FE0">
      <w:pPr>
        <w:shd w:val="clear" w:color="auto" w:fill="FFFFFF"/>
        <w:spacing w:line="276" w:lineRule="auto"/>
        <w:jc w:val="both"/>
        <w:rPr>
          <w:rFonts w:asciiTheme="minorHAnsi" w:hAnsiTheme="minorHAnsi" w:cstheme="minorHAnsi"/>
          <w:color w:val="212121"/>
          <w:lang w:val="sq-AL"/>
        </w:rPr>
      </w:pPr>
      <w:r w:rsidRPr="00C74FE0">
        <w:rPr>
          <w:rFonts w:asciiTheme="minorHAnsi" w:hAnsiTheme="minorHAnsi"/>
          <w:i/>
          <w:lang w:val="sq-AL"/>
        </w:rPr>
        <w:t>Zërat e të ardhurave buxhetore</w:t>
      </w:r>
      <w:r w:rsidRPr="00C74FE0">
        <w:rPr>
          <w:rFonts w:asciiTheme="minorHAnsi" w:hAnsiTheme="minorHAnsi"/>
          <w:lang w:val="sq-AL"/>
        </w:rPr>
        <w:t xml:space="preserve">, </w:t>
      </w:r>
      <w:r w:rsidR="00C74FE0" w:rsidRPr="00E32642">
        <w:rPr>
          <w:rFonts w:asciiTheme="minorHAnsi" w:hAnsiTheme="minorHAnsi" w:cstheme="minorHAnsi"/>
          <w:color w:val="212121"/>
          <w:lang w:val="sq-AL"/>
        </w:rPr>
        <w:t>që administrohen nga DPT dhe DPD, përfshirë kontributet e sigurimeve shoqërore dhe shëndetësore</w:t>
      </w:r>
      <w:r w:rsidR="00C74FE0">
        <w:rPr>
          <w:rFonts w:asciiTheme="minorHAnsi" w:hAnsiTheme="minorHAnsi" w:cstheme="minorHAnsi"/>
          <w:color w:val="212121"/>
          <w:lang w:val="sq-AL"/>
        </w:rPr>
        <w:t>,</w:t>
      </w:r>
      <w:r w:rsidR="00C74FE0" w:rsidRPr="00C74FE0">
        <w:rPr>
          <w:rFonts w:asciiTheme="minorHAnsi" w:hAnsiTheme="minorHAnsi" w:cstheme="minorHAnsi"/>
          <w:color w:val="212121"/>
          <w:lang w:val="sq-AL"/>
        </w:rPr>
        <w:t xml:space="preserve"> </w:t>
      </w:r>
      <w:r w:rsidR="00C74FE0">
        <w:rPr>
          <w:rFonts w:asciiTheme="minorHAnsi" w:hAnsiTheme="minorHAnsi" w:cstheme="minorHAnsi"/>
          <w:color w:val="212121"/>
          <w:lang w:val="sq-AL"/>
        </w:rPr>
        <w:t>b</w:t>
      </w:r>
      <w:r w:rsidR="00C74FE0" w:rsidRPr="00C74FE0">
        <w:rPr>
          <w:rFonts w:asciiTheme="minorHAnsi" w:hAnsiTheme="minorHAnsi" w:cstheme="minorHAnsi"/>
          <w:color w:val="212121"/>
          <w:lang w:val="sq-AL"/>
        </w:rPr>
        <w:t>azuar në performancën e 5 mujorit Janar-Maj 2020 si dhe në</w:t>
      </w:r>
      <w:r w:rsidR="00C74FE0" w:rsidRPr="00E32642">
        <w:rPr>
          <w:rFonts w:asciiTheme="minorHAnsi" w:hAnsiTheme="minorHAnsi" w:cstheme="minorHAnsi"/>
          <w:color w:val="212121"/>
          <w:lang w:val="sq-AL"/>
        </w:rPr>
        <w:t xml:space="preserve"> analizën e faktorëve që mund të impaktojnë realizimin e të ardhurave tatimore dhe doganore në 7 mujorin në vijim të vitit 2020, </w:t>
      </w:r>
      <w:r w:rsidR="00C74FE0">
        <w:rPr>
          <w:rFonts w:asciiTheme="minorHAnsi" w:hAnsiTheme="minorHAnsi" w:cstheme="minorHAnsi"/>
          <w:color w:val="212121"/>
          <w:lang w:val="sq-AL"/>
        </w:rPr>
        <w:t>pritet të realizohen në nivelin</w:t>
      </w:r>
      <w:r w:rsidR="00C74FE0" w:rsidRPr="00E32642">
        <w:rPr>
          <w:rFonts w:asciiTheme="minorHAnsi" w:hAnsiTheme="minorHAnsi" w:cstheme="minorHAnsi"/>
          <w:color w:val="212121"/>
          <w:lang w:val="sq-AL"/>
        </w:rPr>
        <w:t xml:space="preserve"> </w:t>
      </w:r>
      <w:r w:rsidR="00C74FE0">
        <w:rPr>
          <w:rFonts w:asciiTheme="minorHAnsi" w:hAnsiTheme="minorHAnsi" w:cstheme="minorHAnsi"/>
          <w:color w:val="212121"/>
          <w:lang w:val="sq-AL"/>
        </w:rPr>
        <w:t xml:space="preserve">83,3% krahasuar </w:t>
      </w:r>
      <w:r w:rsidR="00C74FE0" w:rsidRPr="00E32642">
        <w:rPr>
          <w:rFonts w:asciiTheme="minorHAnsi" w:hAnsiTheme="minorHAnsi" w:cstheme="minorHAnsi"/>
          <w:color w:val="212121"/>
          <w:lang w:val="sq-AL"/>
        </w:rPr>
        <w:t xml:space="preserve">me buxhetin fillestar </w:t>
      </w:r>
      <w:r w:rsidR="00C74FE0">
        <w:rPr>
          <w:rFonts w:asciiTheme="minorHAnsi" w:hAnsiTheme="minorHAnsi" w:cstheme="minorHAnsi"/>
          <w:color w:val="212121"/>
          <w:lang w:val="sq-AL"/>
        </w:rPr>
        <w:t>2020</w:t>
      </w:r>
      <w:r w:rsidR="00C74FE0" w:rsidRPr="00E32642">
        <w:rPr>
          <w:rFonts w:asciiTheme="minorHAnsi" w:hAnsiTheme="minorHAnsi" w:cstheme="minorHAnsi"/>
          <w:color w:val="212121"/>
          <w:lang w:val="sq-AL"/>
        </w:rPr>
        <w:t>.</w:t>
      </w:r>
      <w:r w:rsidR="00C74FE0">
        <w:rPr>
          <w:rFonts w:asciiTheme="minorHAnsi" w:hAnsiTheme="minorHAnsi" w:cstheme="minorHAnsi"/>
          <w:color w:val="212121"/>
          <w:lang w:val="sq-AL"/>
        </w:rPr>
        <w:t xml:space="preserve"> </w:t>
      </w:r>
      <w:r w:rsidR="00C74FE0" w:rsidRPr="00E32642">
        <w:rPr>
          <w:rFonts w:asciiTheme="minorHAnsi" w:hAnsiTheme="minorHAnsi" w:cstheme="minorHAnsi"/>
          <w:color w:val="212121"/>
          <w:lang w:val="sq-AL"/>
        </w:rPr>
        <w:t>Pra</w:t>
      </w:r>
      <w:r w:rsidR="00C74FE0">
        <w:rPr>
          <w:rFonts w:asciiTheme="minorHAnsi" w:hAnsiTheme="minorHAnsi" w:cstheme="minorHAnsi"/>
          <w:color w:val="212121"/>
          <w:lang w:val="sq-AL"/>
        </w:rPr>
        <w:t>,</w:t>
      </w:r>
      <w:r w:rsidR="00C74FE0" w:rsidRPr="00E32642">
        <w:rPr>
          <w:rFonts w:asciiTheme="minorHAnsi" w:hAnsiTheme="minorHAnsi" w:cstheme="minorHAnsi"/>
          <w:color w:val="212121"/>
          <w:lang w:val="sq-AL"/>
        </w:rPr>
        <w:t xml:space="preserve"> parashikohet deficit ne te ardhurat tatimore nga tatimet dhe doganat pr</w:t>
      </w:r>
      <w:r w:rsidR="00C74FE0">
        <w:rPr>
          <w:rFonts w:asciiTheme="minorHAnsi" w:hAnsiTheme="minorHAnsi" w:cstheme="minorHAnsi"/>
          <w:color w:val="212121"/>
          <w:lang w:val="sq-AL"/>
        </w:rPr>
        <w:t>ej -19,6</w:t>
      </w:r>
      <w:r w:rsidR="00C74FE0" w:rsidRPr="00E32642">
        <w:rPr>
          <w:rFonts w:asciiTheme="minorHAnsi" w:hAnsiTheme="minorHAnsi" w:cstheme="minorHAnsi"/>
          <w:color w:val="212121"/>
          <w:lang w:val="sq-AL"/>
        </w:rPr>
        <w:t>% ose</w:t>
      </w:r>
      <w:r w:rsidR="00C74FE0">
        <w:rPr>
          <w:rFonts w:asciiTheme="minorHAnsi" w:hAnsiTheme="minorHAnsi" w:cstheme="minorHAnsi"/>
          <w:color w:val="212121"/>
          <w:lang w:val="sq-AL"/>
        </w:rPr>
        <w:t xml:space="preserve"> </w:t>
      </w:r>
      <w:r w:rsidR="00C74FE0" w:rsidRPr="00E32642">
        <w:rPr>
          <w:rFonts w:asciiTheme="minorHAnsi" w:hAnsiTheme="minorHAnsi" w:cstheme="minorHAnsi"/>
          <w:color w:val="212121"/>
          <w:lang w:val="sq-AL"/>
        </w:rPr>
        <w:t>-64 miliard leke dhe ne kontributet e sigurimeve shoqerore dhe shendetsore p</w:t>
      </w:r>
      <w:r w:rsidR="00C74FE0">
        <w:rPr>
          <w:rFonts w:asciiTheme="minorHAnsi" w:hAnsiTheme="minorHAnsi" w:cstheme="minorHAnsi"/>
          <w:color w:val="212121"/>
          <w:lang w:val="sq-AL"/>
        </w:rPr>
        <w:t>rej</w:t>
      </w:r>
      <w:r w:rsidR="00C74FE0" w:rsidRPr="00E32642">
        <w:rPr>
          <w:rFonts w:asciiTheme="minorHAnsi" w:hAnsiTheme="minorHAnsi" w:cstheme="minorHAnsi"/>
          <w:color w:val="212121"/>
          <w:lang w:val="sq-AL"/>
        </w:rPr>
        <w:t xml:space="preserve"> -8,73% ose -9 miliard lek</w:t>
      </w:r>
      <w:r w:rsidR="00C74FE0">
        <w:rPr>
          <w:rFonts w:asciiTheme="minorHAnsi" w:hAnsiTheme="minorHAnsi" w:cstheme="minorHAnsi"/>
          <w:color w:val="212121"/>
          <w:lang w:val="sq-AL"/>
        </w:rPr>
        <w:t xml:space="preserve">ë. </w:t>
      </w:r>
      <w:r w:rsidR="00C74FE0" w:rsidRPr="00E32642">
        <w:rPr>
          <w:rFonts w:asciiTheme="minorHAnsi" w:hAnsiTheme="minorHAnsi" w:cstheme="minorHAnsi"/>
          <w:color w:val="212121"/>
          <w:lang w:val="sq-AL"/>
        </w:rPr>
        <w:t>Ndër faktorët kryesorë të cilët do të ndikojnë në realizimin e  pritshëm të të ardhurave deri në fund të vitit 2020</w:t>
      </w:r>
      <w:r w:rsidR="00C74FE0">
        <w:rPr>
          <w:rFonts w:asciiTheme="minorHAnsi" w:hAnsiTheme="minorHAnsi" w:cstheme="minorHAnsi"/>
          <w:color w:val="212121"/>
          <w:lang w:val="sq-AL"/>
        </w:rPr>
        <w:t>,</w:t>
      </w:r>
      <w:r w:rsidR="00C74FE0" w:rsidRPr="00E32642">
        <w:rPr>
          <w:rFonts w:asciiTheme="minorHAnsi" w:hAnsiTheme="minorHAnsi" w:cstheme="minorHAnsi"/>
          <w:color w:val="212121"/>
          <w:lang w:val="sq-AL"/>
        </w:rPr>
        <w:t xml:space="preserve"> janë:</w:t>
      </w:r>
    </w:p>
    <w:p w:rsidR="00C74FE0" w:rsidRPr="00F720EE" w:rsidRDefault="00C74FE0" w:rsidP="00C74FE0">
      <w:pPr>
        <w:pStyle w:val="ListParagraph"/>
        <w:widowControl w:val="0"/>
        <w:numPr>
          <w:ilvl w:val="0"/>
          <w:numId w:val="20"/>
        </w:numPr>
        <w:spacing w:line="276" w:lineRule="auto"/>
        <w:ind w:left="540"/>
        <w:jc w:val="both"/>
        <w:rPr>
          <w:rFonts w:asciiTheme="minorHAnsi" w:hAnsiTheme="minorHAnsi" w:cstheme="minorHAnsi"/>
          <w:i/>
          <w:lang w:val="sq-AL"/>
        </w:rPr>
      </w:pPr>
      <w:r w:rsidRPr="00F720EE">
        <w:rPr>
          <w:rFonts w:asciiTheme="minorHAnsi" w:hAnsiTheme="minorHAnsi" w:cstheme="minorHAnsi"/>
          <w:i/>
          <w:lang w:val="sq-AL"/>
        </w:rPr>
        <w:t>Efektet në ekonomi nga Pandemia e Covid-19 do të jenë një nga faktorët kryesorë ndikues në mungesën e performancës së të ardhurave, për shkak të ndikimit direkt  ne uljen e qarkullimit dhe te konsumit, duke reduktuar  të ardhurat nga Tatimi mbi Fitimin, Tatimin mbi të Ardhurat Personale,  Tatimi mbi Vlerën e Shtuar, Taksat, Kontrubutet etj.</w:t>
      </w:r>
    </w:p>
    <w:p w:rsidR="00C74FE0" w:rsidRPr="00F720EE" w:rsidRDefault="00C74FE0" w:rsidP="00C74FE0">
      <w:pPr>
        <w:pStyle w:val="ListParagraph"/>
        <w:widowControl w:val="0"/>
        <w:numPr>
          <w:ilvl w:val="0"/>
          <w:numId w:val="20"/>
        </w:numPr>
        <w:spacing w:line="276" w:lineRule="auto"/>
        <w:ind w:left="540"/>
        <w:jc w:val="both"/>
        <w:rPr>
          <w:rFonts w:asciiTheme="minorHAnsi" w:hAnsiTheme="minorHAnsi" w:cstheme="minorHAnsi"/>
          <w:i/>
          <w:lang w:val="sq-AL"/>
        </w:rPr>
      </w:pPr>
      <w:r w:rsidRPr="00F720EE">
        <w:rPr>
          <w:rFonts w:asciiTheme="minorHAnsi" w:hAnsiTheme="minorHAnsi" w:cstheme="minorHAnsi"/>
          <w:i/>
          <w:lang w:val="sq-AL"/>
        </w:rPr>
        <w:t>Çmimi i mineraleve kryesisht naftes por edhe ulja e kursit te kembimit te monedhave te huaja kundrejt lekut, kane ndikuar dhe do ndikojne ne reduktimin e bazes se llogaritjes se detyrimeve tatimore per mallrat e importit.</w:t>
      </w:r>
    </w:p>
    <w:p w:rsidR="00C74FE0" w:rsidRPr="00F720EE" w:rsidRDefault="00C74FE0" w:rsidP="00C74FE0">
      <w:pPr>
        <w:pStyle w:val="ListParagraph"/>
        <w:widowControl w:val="0"/>
        <w:numPr>
          <w:ilvl w:val="0"/>
          <w:numId w:val="20"/>
        </w:numPr>
        <w:spacing w:line="276" w:lineRule="auto"/>
        <w:ind w:left="540"/>
        <w:jc w:val="both"/>
        <w:rPr>
          <w:rFonts w:asciiTheme="minorHAnsi" w:hAnsiTheme="minorHAnsi" w:cstheme="minorHAnsi"/>
          <w:i/>
          <w:lang w:val="sq-AL"/>
        </w:rPr>
      </w:pPr>
      <w:r w:rsidRPr="00F720EE">
        <w:rPr>
          <w:rFonts w:asciiTheme="minorHAnsi" w:hAnsiTheme="minorHAnsi" w:cstheme="minorHAnsi"/>
          <w:i/>
          <w:lang w:val="sq-AL"/>
        </w:rPr>
        <w:t>Shtyrja e pagesave te kesteve te tatimit mbi fitimin per vitin 2020 per shume industri do reduktoje të ardhurat në këtë ze.</w:t>
      </w:r>
    </w:p>
    <w:p w:rsidR="00C74FE0" w:rsidRPr="00F720EE" w:rsidRDefault="00C74FE0" w:rsidP="00C74FE0">
      <w:pPr>
        <w:pStyle w:val="ListParagraph"/>
        <w:widowControl w:val="0"/>
        <w:numPr>
          <w:ilvl w:val="0"/>
          <w:numId w:val="20"/>
        </w:numPr>
        <w:spacing w:line="276" w:lineRule="auto"/>
        <w:ind w:left="540"/>
        <w:jc w:val="both"/>
        <w:rPr>
          <w:rFonts w:asciiTheme="minorHAnsi" w:hAnsiTheme="minorHAnsi" w:cstheme="minorHAnsi"/>
          <w:i/>
          <w:lang w:val="sq-AL"/>
        </w:rPr>
      </w:pPr>
      <w:r w:rsidRPr="00F720EE">
        <w:rPr>
          <w:rFonts w:asciiTheme="minorHAnsi" w:hAnsiTheme="minorHAnsi" w:cstheme="minorHAnsi"/>
          <w:i/>
          <w:lang w:val="sq-AL"/>
        </w:rPr>
        <w:t>Efektet negative mbi ekonominë e vendit të situatave konfliktuale politike. Kjo situatë reflektohet në sjelljen e tatimpaguesve dhe nivelin e zbatimit vullnetar të ligjit nga ana e tyre.</w:t>
      </w:r>
    </w:p>
    <w:p w:rsidR="00F02D9D" w:rsidRPr="00F02D9D" w:rsidRDefault="00F02D9D" w:rsidP="00F02D9D">
      <w:pPr>
        <w:spacing w:line="276" w:lineRule="auto"/>
        <w:jc w:val="both"/>
        <w:rPr>
          <w:rFonts w:asciiTheme="minorHAnsi" w:hAnsiTheme="minorHAnsi"/>
          <w:sz w:val="16"/>
          <w:lang w:val="sq-AL"/>
        </w:rPr>
      </w:pPr>
    </w:p>
    <w:p w:rsidR="00F02D9D" w:rsidRPr="00F02D9D" w:rsidRDefault="00F02D9D" w:rsidP="00F02D9D">
      <w:pPr>
        <w:spacing w:line="276" w:lineRule="auto"/>
        <w:jc w:val="both"/>
        <w:rPr>
          <w:rFonts w:asciiTheme="minorHAnsi" w:hAnsiTheme="minorHAnsi"/>
          <w:lang w:val="sq-AL"/>
        </w:rPr>
      </w:pPr>
      <w:r w:rsidRPr="00F02D9D">
        <w:rPr>
          <w:rFonts w:asciiTheme="minorHAnsi" w:hAnsiTheme="minorHAnsi"/>
          <w:i/>
          <w:lang w:val="sq-AL"/>
        </w:rPr>
        <w:t>Pritshmëria për ecurinë e shpenzimeve buxhetore</w:t>
      </w:r>
      <w:r w:rsidRPr="00F02D9D">
        <w:rPr>
          <w:rFonts w:asciiTheme="minorHAnsi" w:hAnsiTheme="minorHAnsi"/>
          <w:lang w:val="sq-AL"/>
        </w:rPr>
        <w:t>, në kushtet e situatës së vështirë dhe atipike socio-financiare të shkaktuar nga Pandemia Covid-19, është ende në proces vlerësimi intensiv nga MFE.</w:t>
      </w:r>
      <w:r>
        <w:rPr>
          <w:rFonts w:asciiTheme="minorHAnsi" w:hAnsiTheme="minorHAnsi"/>
          <w:lang w:val="sq-AL"/>
        </w:rPr>
        <w:t xml:space="preserve"> </w:t>
      </w:r>
      <w:r w:rsidRPr="00F02D9D">
        <w:rPr>
          <w:rFonts w:asciiTheme="minorHAnsi" w:hAnsiTheme="minorHAnsi"/>
          <w:lang w:val="sq-AL"/>
        </w:rPr>
        <w:t xml:space="preserve">Në cdo rast, nisur nga ngadalësimi i performancës së shpenzimeve buxhetore gjatë gjysmës së parë të vitit 2020, si pasojë e ngadalësimit të veprimtarisë së njësive të qeverisjes së përgjithshme, pritshmëritë janë për një realizim më të ulët të shpenzimeve normale të institucioneve buxhetore (krahasuar me trendin vjetor), të cilat në cdo rast (në linjë me dy AN e miratuara tashmë) do të </w:t>
      </w:r>
      <w:r>
        <w:rPr>
          <w:rFonts w:asciiTheme="minorHAnsi" w:hAnsiTheme="minorHAnsi"/>
          <w:lang w:val="sq-AL"/>
        </w:rPr>
        <w:t>r</w:t>
      </w:r>
      <w:r w:rsidRPr="00F02D9D">
        <w:rPr>
          <w:rFonts w:asciiTheme="minorHAnsi" w:hAnsiTheme="minorHAnsi"/>
          <w:lang w:val="sq-AL"/>
        </w:rPr>
        <w:t>i-orientohen padiskutim drejt masave sociale dhe financiare anti-</w:t>
      </w:r>
      <w:r w:rsidRPr="00F02D9D">
        <w:rPr>
          <w:rFonts w:asciiTheme="minorHAnsi" w:hAnsiTheme="minorHAnsi"/>
          <w:lang w:val="sq-AL"/>
        </w:rPr>
        <w:lastRenderedPageBreak/>
        <w:t xml:space="preserve">Covid19, në mbështetje të qytetarëve, bizneseve dhe rimëkëmbjes së sektorëve kyç të ekonomisë në tërësi, me objektiv primar përmirësimin gradual të treguesve makro-fiskal e buxhetorë dhe ruajtjen e qendrueshmerise fiskale. </w:t>
      </w:r>
    </w:p>
    <w:p w:rsidR="00F02D9D" w:rsidRPr="00F02D9D" w:rsidRDefault="00F02D9D" w:rsidP="00C74FE0">
      <w:pPr>
        <w:tabs>
          <w:tab w:val="left" w:pos="2730"/>
        </w:tabs>
        <w:spacing w:line="276" w:lineRule="auto"/>
        <w:jc w:val="both"/>
        <w:rPr>
          <w:rFonts w:asciiTheme="minorHAnsi" w:hAnsiTheme="minorHAnsi"/>
          <w:i/>
          <w:sz w:val="16"/>
          <w:szCs w:val="8"/>
          <w:lang w:val="sq-AL"/>
        </w:rPr>
      </w:pPr>
    </w:p>
    <w:p w:rsidR="00417DCB" w:rsidRPr="0065598A" w:rsidRDefault="0046055E" w:rsidP="00C74FE0">
      <w:pPr>
        <w:tabs>
          <w:tab w:val="left" w:pos="2730"/>
        </w:tabs>
        <w:spacing w:line="276" w:lineRule="auto"/>
        <w:jc w:val="both"/>
        <w:rPr>
          <w:rFonts w:asciiTheme="minorHAnsi" w:hAnsiTheme="minorHAnsi"/>
          <w:lang w:val="sq-AL"/>
        </w:rPr>
      </w:pPr>
      <w:r w:rsidRPr="00C74FE0">
        <w:rPr>
          <w:rFonts w:asciiTheme="minorHAnsi" w:hAnsiTheme="minorHAnsi"/>
          <w:i/>
          <w:lang w:val="sq-AL"/>
        </w:rPr>
        <w:t>N</w:t>
      </w:r>
      <w:r w:rsidR="00417DCB" w:rsidRPr="00C74FE0">
        <w:rPr>
          <w:rFonts w:asciiTheme="minorHAnsi" w:hAnsiTheme="minorHAnsi"/>
          <w:i/>
          <w:lang w:val="sq-AL"/>
        </w:rPr>
        <w:t>iveli i borxhit publik</w:t>
      </w:r>
      <w:r w:rsidR="00417DCB" w:rsidRPr="00C74FE0">
        <w:rPr>
          <w:rFonts w:asciiTheme="minorHAnsi" w:hAnsiTheme="minorHAnsi"/>
          <w:lang w:val="sq-AL"/>
        </w:rPr>
        <w:t xml:space="preserve"> </w:t>
      </w:r>
      <w:r w:rsidR="00C74FE0" w:rsidRPr="00C74FE0">
        <w:rPr>
          <w:rFonts w:asciiTheme="minorHAnsi" w:hAnsiTheme="minorHAnsi"/>
          <w:lang w:val="sq-AL"/>
        </w:rPr>
        <w:t>në raport me PBB parashikohet me rritje për fundin e vitit 2020. Kjo, nisur</w:t>
      </w:r>
      <w:r w:rsidR="00C74FE0" w:rsidRPr="00125DA8">
        <w:rPr>
          <w:rFonts w:asciiTheme="minorHAnsi" w:hAnsiTheme="minorHAnsi"/>
          <w:lang w:val="sq-AL"/>
        </w:rPr>
        <w:t xml:space="preserve"> nga nevojat buxhetore në rritje të krijuara nga masat e qeverisë në kuadër të menaxhimit të </w:t>
      </w:r>
      <w:r w:rsidR="00C74FE0">
        <w:rPr>
          <w:rFonts w:asciiTheme="minorHAnsi" w:hAnsiTheme="minorHAnsi"/>
          <w:lang w:val="sq-AL"/>
        </w:rPr>
        <w:t>P</w:t>
      </w:r>
      <w:r w:rsidR="00C74FE0" w:rsidRPr="00125DA8">
        <w:rPr>
          <w:rFonts w:asciiTheme="minorHAnsi" w:hAnsiTheme="minorHAnsi"/>
          <w:lang w:val="sq-AL"/>
        </w:rPr>
        <w:t>a</w:t>
      </w:r>
      <w:r w:rsidR="00C74FE0">
        <w:rPr>
          <w:rFonts w:asciiTheme="minorHAnsi" w:hAnsiTheme="minorHAnsi"/>
          <w:lang w:val="sq-AL"/>
        </w:rPr>
        <w:t>ndemisë COVID</w:t>
      </w:r>
      <w:r w:rsidR="00C74FE0" w:rsidRPr="00125DA8">
        <w:rPr>
          <w:rFonts w:asciiTheme="minorHAnsi" w:hAnsiTheme="minorHAnsi"/>
          <w:lang w:val="sq-AL"/>
        </w:rPr>
        <w:t xml:space="preserve">19, parashikimi </w:t>
      </w:r>
      <w:r w:rsidR="00C74FE0">
        <w:rPr>
          <w:rFonts w:asciiTheme="minorHAnsi" w:hAnsiTheme="minorHAnsi"/>
          <w:lang w:val="sq-AL"/>
        </w:rPr>
        <w:t>në</w:t>
      </w:r>
      <w:r w:rsidR="00C74FE0" w:rsidRPr="00125DA8">
        <w:rPr>
          <w:rFonts w:asciiTheme="minorHAnsi" w:hAnsiTheme="minorHAnsi"/>
          <w:lang w:val="sq-AL"/>
        </w:rPr>
        <w:t xml:space="preserve"> rënie i të ardhurave si dhe parashikimi në rënie i PBB. Gjatë periudhës së mbetur të vitit 20</w:t>
      </w:r>
      <w:r w:rsidR="00C74FE0">
        <w:rPr>
          <w:rFonts w:asciiTheme="minorHAnsi" w:hAnsiTheme="minorHAnsi"/>
          <w:lang w:val="sq-AL"/>
        </w:rPr>
        <w:t>20</w:t>
      </w:r>
      <w:r w:rsidR="00C74FE0" w:rsidRPr="00125DA8">
        <w:rPr>
          <w:rFonts w:asciiTheme="minorHAnsi" w:hAnsiTheme="minorHAnsi"/>
          <w:lang w:val="sq-AL"/>
        </w:rPr>
        <w:t xml:space="preserve">, menaxhimi i borxhit do të ketë në fokus përmirësimin e mëtejshëm të strukturës së borxhit </w:t>
      </w:r>
      <w:r w:rsidR="00C74FE0" w:rsidRPr="00125DA8">
        <w:rPr>
          <w:rFonts w:asciiTheme="minorHAnsi" w:hAnsiTheme="minorHAnsi"/>
          <w:i/>
          <w:lang w:val="sq-AL"/>
        </w:rPr>
        <w:t>(kryesisht strukturën e portofolit të borxhit të brendshëm)</w:t>
      </w:r>
      <w:r w:rsidR="00C74FE0" w:rsidRPr="00125DA8">
        <w:rPr>
          <w:rFonts w:asciiTheme="minorHAnsi" w:hAnsiTheme="minorHAnsi"/>
          <w:lang w:val="sq-AL"/>
        </w:rPr>
        <w:t xml:space="preserve"> në drejtim të uljes së ekspozimit ndaj risqeve, megjithëse nevojat në rritje për huamarrje e vështirësojnë procesin e realizimit të këtij objektivi</w:t>
      </w:r>
    </w:p>
    <w:p w:rsidR="0078470D" w:rsidRDefault="0078470D" w:rsidP="0078470D">
      <w:pPr>
        <w:spacing w:before="240" w:after="240" w:line="276" w:lineRule="auto"/>
        <w:jc w:val="both"/>
        <w:rPr>
          <w:rFonts w:asciiTheme="minorHAnsi" w:hAnsiTheme="minorHAnsi"/>
          <w:i/>
          <w:noProof/>
          <w:lang w:val="sq-AL"/>
        </w:rPr>
      </w:pPr>
      <w:r w:rsidRPr="0065598A">
        <w:rPr>
          <w:rFonts w:asciiTheme="minorHAnsi" w:hAnsiTheme="minorHAnsi"/>
          <w:i/>
          <w:noProof/>
          <w:lang w:val="sq-AL"/>
        </w:rPr>
        <w:t>Në përfundim, nën dritën e analizës së mësipërme mbi ecurinë 5-mujore dhe pritshmëritë deri n</w:t>
      </w:r>
      <w:r w:rsidR="00CB2AA1" w:rsidRPr="0065598A">
        <w:rPr>
          <w:rFonts w:asciiTheme="minorHAnsi" w:hAnsiTheme="minorHAnsi"/>
          <w:i/>
          <w:noProof/>
          <w:lang w:val="sq-AL"/>
        </w:rPr>
        <w:t>ë</w:t>
      </w:r>
      <w:r w:rsidRPr="0065598A">
        <w:rPr>
          <w:rFonts w:asciiTheme="minorHAnsi" w:hAnsiTheme="minorHAnsi"/>
          <w:i/>
          <w:noProof/>
          <w:lang w:val="sq-AL"/>
        </w:rPr>
        <w:t xml:space="preserve"> fund t</w:t>
      </w:r>
      <w:r w:rsidR="00CB2AA1" w:rsidRPr="0065598A">
        <w:rPr>
          <w:rFonts w:asciiTheme="minorHAnsi" w:hAnsiTheme="minorHAnsi"/>
          <w:i/>
          <w:noProof/>
          <w:lang w:val="sq-AL"/>
        </w:rPr>
        <w:t>ë</w:t>
      </w:r>
      <w:r w:rsidRPr="0065598A">
        <w:rPr>
          <w:rFonts w:asciiTheme="minorHAnsi" w:hAnsiTheme="minorHAnsi"/>
          <w:i/>
          <w:noProof/>
          <w:lang w:val="sq-AL"/>
        </w:rPr>
        <w:t xml:space="preserve"> vitit fiskal 20</w:t>
      </w:r>
      <w:r w:rsidR="00FF4AD5">
        <w:rPr>
          <w:rFonts w:asciiTheme="minorHAnsi" w:hAnsiTheme="minorHAnsi"/>
          <w:i/>
          <w:noProof/>
          <w:lang w:val="sq-AL"/>
        </w:rPr>
        <w:t>20</w:t>
      </w:r>
      <w:r w:rsidRPr="0065598A">
        <w:rPr>
          <w:rFonts w:asciiTheme="minorHAnsi" w:hAnsiTheme="minorHAnsi"/>
          <w:i/>
          <w:noProof/>
          <w:lang w:val="sq-AL"/>
        </w:rPr>
        <w:t xml:space="preserve">, Ministria e Financave dhe Ekonomisë gjykon se vlerësimi i performancës          7-mujore të ecurisë së treguesve të konsoliduar makro-fiskal dhe buxhetorë, si të të ardhurave ashtu edhe të shpenzimeve, do të jetë vendimtar në drejtim të </w:t>
      </w:r>
      <w:r w:rsidR="00417DCB" w:rsidRPr="0065598A">
        <w:rPr>
          <w:rFonts w:asciiTheme="minorHAnsi" w:hAnsiTheme="minorHAnsi"/>
          <w:i/>
          <w:noProof/>
          <w:lang w:val="sq-AL"/>
        </w:rPr>
        <w:t>angazhimit</w:t>
      </w:r>
      <w:r w:rsidRPr="0065598A">
        <w:rPr>
          <w:rFonts w:asciiTheme="minorHAnsi" w:hAnsiTheme="minorHAnsi"/>
          <w:i/>
          <w:noProof/>
          <w:lang w:val="sq-AL"/>
        </w:rPr>
        <w:t xml:space="preserve"> për një rishikim eventual të </w:t>
      </w:r>
      <w:r w:rsidR="00417DCB" w:rsidRPr="0065598A">
        <w:rPr>
          <w:rFonts w:asciiTheme="minorHAnsi" w:hAnsiTheme="minorHAnsi"/>
          <w:i/>
          <w:noProof/>
          <w:lang w:val="sq-AL"/>
        </w:rPr>
        <w:t>ligjit t</w:t>
      </w:r>
      <w:r w:rsidR="000D1394" w:rsidRPr="0065598A">
        <w:rPr>
          <w:rFonts w:asciiTheme="minorHAnsi" w:hAnsiTheme="minorHAnsi"/>
          <w:i/>
          <w:noProof/>
          <w:lang w:val="sq-AL"/>
        </w:rPr>
        <w:t>ë</w:t>
      </w:r>
      <w:r w:rsidR="00417DCB" w:rsidRPr="0065598A">
        <w:rPr>
          <w:rFonts w:asciiTheme="minorHAnsi" w:hAnsiTheme="minorHAnsi"/>
          <w:i/>
          <w:noProof/>
          <w:lang w:val="sq-AL"/>
        </w:rPr>
        <w:t xml:space="preserve"> </w:t>
      </w:r>
      <w:r w:rsidRPr="0065598A">
        <w:rPr>
          <w:rFonts w:asciiTheme="minorHAnsi" w:hAnsiTheme="minorHAnsi"/>
          <w:i/>
          <w:noProof/>
          <w:lang w:val="sq-AL"/>
        </w:rPr>
        <w:t xml:space="preserve">buxhetit të </w:t>
      </w:r>
      <w:r w:rsidR="00417DCB" w:rsidRPr="0065598A">
        <w:rPr>
          <w:rFonts w:asciiTheme="minorHAnsi" w:hAnsiTheme="minorHAnsi"/>
          <w:i/>
          <w:noProof/>
          <w:lang w:val="sq-AL"/>
        </w:rPr>
        <w:t>vitit</w:t>
      </w:r>
      <w:r w:rsidRPr="0065598A">
        <w:rPr>
          <w:rFonts w:asciiTheme="minorHAnsi" w:hAnsiTheme="minorHAnsi"/>
          <w:i/>
          <w:noProof/>
          <w:lang w:val="sq-AL"/>
        </w:rPr>
        <w:t xml:space="preserve"> 20</w:t>
      </w:r>
      <w:r w:rsidR="00FF4AD5">
        <w:rPr>
          <w:rFonts w:asciiTheme="minorHAnsi" w:hAnsiTheme="minorHAnsi"/>
          <w:i/>
          <w:noProof/>
          <w:lang w:val="sq-AL"/>
        </w:rPr>
        <w:t>20</w:t>
      </w:r>
      <w:r w:rsidRPr="0065598A">
        <w:rPr>
          <w:rFonts w:asciiTheme="minorHAnsi" w:hAnsiTheme="minorHAnsi"/>
          <w:i/>
          <w:noProof/>
          <w:lang w:val="sq-AL"/>
        </w:rPr>
        <w:t>.</w:t>
      </w:r>
    </w:p>
    <w:p w:rsidR="00F02D9D" w:rsidRDefault="00F02D9D" w:rsidP="0078470D">
      <w:pPr>
        <w:spacing w:before="240" w:after="240" w:line="276" w:lineRule="auto"/>
        <w:jc w:val="both"/>
        <w:rPr>
          <w:rFonts w:asciiTheme="minorHAnsi" w:hAnsiTheme="minorHAnsi"/>
          <w:i/>
          <w:noProof/>
          <w:lang w:val="sq-AL"/>
        </w:rPr>
      </w:pPr>
    </w:p>
    <w:p w:rsidR="00F02D9D" w:rsidRDefault="00F02D9D" w:rsidP="0078470D">
      <w:pPr>
        <w:spacing w:before="240" w:after="240" w:line="276" w:lineRule="auto"/>
        <w:jc w:val="both"/>
        <w:rPr>
          <w:rFonts w:asciiTheme="minorHAnsi" w:hAnsiTheme="minorHAnsi"/>
          <w:i/>
          <w:noProof/>
          <w:lang w:val="sq-AL"/>
        </w:rPr>
      </w:pPr>
    </w:p>
    <w:p w:rsidR="00534682" w:rsidRDefault="00534682" w:rsidP="0078470D">
      <w:pPr>
        <w:spacing w:before="240" w:after="240" w:line="276" w:lineRule="auto"/>
        <w:jc w:val="both"/>
        <w:rPr>
          <w:rFonts w:asciiTheme="minorHAnsi" w:hAnsiTheme="minorHAnsi"/>
          <w:i/>
          <w:noProof/>
          <w:lang w:val="sq-AL"/>
        </w:rPr>
      </w:pPr>
    </w:p>
    <w:p w:rsidR="00F02D9D" w:rsidRDefault="00F02D9D" w:rsidP="0078470D">
      <w:pPr>
        <w:spacing w:before="240" w:after="240" w:line="276" w:lineRule="auto"/>
        <w:jc w:val="both"/>
        <w:rPr>
          <w:rFonts w:asciiTheme="minorHAnsi" w:hAnsiTheme="minorHAnsi"/>
          <w:i/>
          <w:noProof/>
          <w:lang w:val="sq-AL"/>
        </w:rPr>
      </w:pPr>
    </w:p>
    <w:p w:rsidR="00AF49E0" w:rsidRDefault="00AF49E0" w:rsidP="0078470D">
      <w:pPr>
        <w:spacing w:before="240" w:after="240" w:line="276" w:lineRule="auto"/>
        <w:jc w:val="both"/>
        <w:rPr>
          <w:rFonts w:asciiTheme="minorHAnsi" w:hAnsiTheme="minorHAnsi"/>
          <w:i/>
          <w:noProof/>
          <w:lang w:val="sq-AL"/>
        </w:rPr>
      </w:pPr>
    </w:p>
    <w:p w:rsidR="00AF49E0" w:rsidRDefault="00AF49E0" w:rsidP="0078470D">
      <w:pPr>
        <w:spacing w:before="240" w:after="240" w:line="276" w:lineRule="auto"/>
        <w:jc w:val="both"/>
        <w:rPr>
          <w:rFonts w:asciiTheme="minorHAnsi" w:hAnsiTheme="minorHAnsi"/>
          <w:i/>
          <w:noProof/>
          <w:lang w:val="sq-AL"/>
        </w:rPr>
      </w:pPr>
    </w:p>
    <w:p w:rsidR="00AF49E0" w:rsidRDefault="00AF49E0" w:rsidP="0078470D">
      <w:pPr>
        <w:spacing w:before="240" w:after="240" w:line="276" w:lineRule="auto"/>
        <w:jc w:val="both"/>
        <w:rPr>
          <w:rFonts w:asciiTheme="minorHAnsi" w:hAnsiTheme="minorHAnsi"/>
          <w:i/>
          <w:noProof/>
          <w:lang w:val="sq-AL"/>
        </w:rPr>
      </w:pPr>
    </w:p>
    <w:p w:rsidR="00AF49E0" w:rsidRDefault="00AF49E0" w:rsidP="0078470D">
      <w:pPr>
        <w:spacing w:before="240" w:after="240" w:line="276" w:lineRule="auto"/>
        <w:jc w:val="both"/>
        <w:rPr>
          <w:rFonts w:asciiTheme="minorHAnsi" w:hAnsiTheme="minorHAnsi"/>
          <w:i/>
          <w:noProof/>
          <w:lang w:val="sq-AL"/>
        </w:rPr>
      </w:pPr>
    </w:p>
    <w:p w:rsidR="00AF49E0" w:rsidRDefault="00AF49E0" w:rsidP="0078470D">
      <w:pPr>
        <w:spacing w:before="240" w:after="240" w:line="276" w:lineRule="auto"/>
        <w:jc w:val="both"/>
        <w:rPr>
          <w:rFonts w:asciiTheme="minorHAnsi" w:hAnsiTheme="minorHAnsi"/>
          <w:i/>
          <w:noProof/>
          <w:lang w:val="sq-AL"/>
        </w:rPr>
      </w:pPr>
    </w:p>
    <w:p w:rsidR="00AF49E0" w:rsidRDefault="00AF49E0" w:rsidP="0078470D">
      <w:pPr>
        <w:spacing w:before="240" w:after="240" w:line="276" w:lineRule="auto"/>
        <w:jc w:val="both"/>
        <w:rPr>
          <w:rFonts w:asciiTheme="minorHAnsi" w:hAnsiTheme="minorHAnsi"/>
          <w:i/>
          <w:noProof/>
          <w:lang w:val="sq-AL"/>
        </w:rPr>
      </w:pPr>
    </w:p>
    <w:p w:rsidR="00AF49E0" w:rsidRDefault="00AF49E0" w:rsidP="0078470D">
      <w:pPr>
        <w:spacing w:before="240" w:after="240" w:line="276" w:lineRule="auto"/>
        <w:jc w:val="both"/>
        <w:rPr>
          <w:rFonts w:asciiTheme="minorHAnsi" w:hAnsiTheme="minorHAnsi"/>
          <w:i/>
          <w:noProof/>
          <w:lang w:val="sq-AL"/>
        </w:rPr>
      </w:pPr>
    </w:p>
    <w:p w:rsidR="00AF49E0" w:rsidRDefault="00AF49E0" w:rsidP="0078470D">
      <w:pPr>
        <w:spacing w:before="240" w:after="240" w:line="276" w:lineRule="auto"/>
        <w:jc w:val="both"/>
        <w:rPr>
          <w:rFonts w:asciiTheme="minorHAnsi" w:hAnsiTheme="minorHAnsi"/>
          <w:i/>
          <w:noProof/>
          <w:lang w:val="sq-AL"/>
        </w:rPr>
      </w:pPr>
    </w:p>
    <w:p w:rsidR="00AF49E0" w:rsidRDefault="00AF49E0" w:rsidP="0078470D">
      <w:pPr>
        <w:spacing w:before="240" w:after="240" w:line="276" w:lineRule="auto"/>
        <w:jc w:val="both"/>
        <w:rPr>
          <w:rFonts w:asciiTheme="minorHAnsi" w:hAnsiTheme="minorHAnsi"/>
          <w:i/>
          <w:noProof/>
          <w:lang w:val="sq-AL"/>
        </w:rPr>
      </w:pPr>
    </w:p>
    <w:p w:rsidR="00AF49E0" w:rsidRPr="0065598A" w:rsidRDefault="00AF49E0" w:rsidP="0078470D">
      <w:pPr>
        <w:spacing w:before="240" w:after="240" w:line="276" w:lineRule="auto"/>
        <w:jc w:val="both"/>
        <w:rPr>
          <w:rFonts w:asciiTheme="minorHAnsi" w:hAnsiTheme="minorHAnsi"/>
          <w:i/>
          <w:noProof/>
          <w:lang w:val="sq-AL"/>
        </w:rPr>
      </w:pPr>
    </w:p>
    <w:p w:rsidR="000A1A4D" w:rsidRPr="0065598A" w:rsidRDefault="00D3619E" w:rsidP="00B95810">
      <w:pPr>
        <w:pStyle w:val="Heading1"/>
        <w:numPr>
          <w:ilvl w:val="0"/>
          <w:numId w:val="1"/>
        </w:numPr>
        <w:spacing w:line="276" w:lineRule="auto"/>
        <w:ind w:left="720"/>
        <w:jc w:val="both"/>
        <w:rPr>
          <w:sz w:val="32"/>
          <w:u w:val="none"/>
        </w:rPr>
      </w:pPr>
      <w:bookmarkStart w:id="135" w:name="_Toc44403623"/>
      <w:r w:rsidRPr="0065598A">
        <w:rPr>
          <w:sz w:val="32"/>
          <w:u w:val="none"/>
        </w:rPr>
        <w:lastRenderedPageBreak/>
        <w:t>SHTOJCAT</w:t>
      </w:r>
      <w:bookmarkEnd w:id="135"/>
    </w:p>
    <w:p w:rsidR="000A1A4D" w:rsidRPr="0065598A" w:rsidRDefault="000A1A4D" w:rsidP="002334F6">
      <w:pPr>
        <w:pStyle w:val="Heading2"/>
      </w:pPr>
      <w:bookmarkStart w:id="136" w:name="_Toc44403624"/>
      <w:r w:rsidRPr="0065598A">
        <w:t>VI.1</w:t>
      </w:r>
      <w:r w:rsidRPr="0065598A">
        <w:tab/>
        <w:t xml:space="preserve">Ecuria e </w:t>
      </w:r>
      <w:r w:rsidR="003D082B" w:rsidRPr="0065598A">
        <w:t xml:space="preserve">detajuar e </w:t>
      </w:r>
      <w:r w:rsidRPr="0065598A">
        <w:t>treguesve makroekonomik</w:t>
      </w:r>
      <w:r w:rsidR="00CB4E18" w:rsidRPr="0065598A">
        <w:t>ë</w:t>
      </w:r>
      <w:r w:rsidRPr="0065598A">
        <w:t xml:space="preserve"> gjat</w:t>
      </w:r>
      <w:r w:rsidR="00CB4E18" w:rsidRPr="0065598A">
        <w:t>ë</w:t>
      </w:r>
      <w:r w:rsidRPr="0065598A">
        <w:t xml:space="preserve"> janar-maj 20</w:t>
      </w:r>
      <w:r w:rsidR="001F417D" w:rsidRPr="0065598A">
        <w:t>20</w:t>
      </w:r>
      <w:r w:rsidR="00302A6A" w:rsidRPr="0065598A">
        <w:rPr>
          <w:rStyle w:val="FootnoteReference"/>
        </w:rPr>
        <w:footnoteReference w:id="4"/>
      </w:r>
      <w:bookmarkEnd w:id="136"/>
    </w:p>
    <w:p w:rsidR="000A1A4D" w:rsidRPr="0065598A" w:rsidRDefault="000A1A4D" w:rsidP="000A1A4D">
      <w:pPr>
        <w:autoSpaceDE w:val="0"/>
        <w:autoSpaceDN w:val="0"/>
        <w:adjustRightInd w:val="0"/>
        <w:spacing w:line="276" w:lineRule="auto"/>
        <w:contextualSpacing/>
        <w:jc w:val="both"/>
        <w:rPr>
          <w:rFonts w:asciiTheme="minorHAnsi" w:hAnsiTheme="minorHAnsi"/>
          <w:b/>
          <w:i/>
          <w:noProof/>
          <w:sz w:val="8"/>
          <w:lang w:val="sq-AL"/>
        </w:rPr>
      </w:pPr>
    </w:p>
    <w:p w:rsidR="001F417D" w:rsidRPr="004872EF" w:rsidRDefault="001F417D" w:rsidP="001F417D">
      <w:pPr>
        <w:autoSpaceDE w:val="0"/>
        <w:autoSpaceDN w:val="0"/>
        <w:adjustRightInd w:val="0"/>
        <w:spacing w:line="276" w:lineRule="auto"/>
        <w:contextualSpacing/>
        <w:jc w:val="both"/>
        <w:rPr>
          <w:rFonts w:ascii="Calibri" w:hAnsi="Calibri"/>
          <w:i/>
          <w:noProof/>
          <w:u w:val="single"/>
          <w:lang w:val="sq-AL"/>
        </w:rPr>
      </w:pPr>
      <w:r w:rsidRPr="004872EF">
        <w:rPr>
          <w:rFonts w:ascii="Calibri" w:hAnsi="Calibri"/>
          <w:i/>
          <w:noProof/>
          <w:u w:val="single"/>
          <w:lang w:val="sq-AL"/>
        </w:rPr>
        <w:t xml:space="preserve">Sektori real  </w:t>
      </w:r>
    </w:p>
    <w:p w:rsidR="001F417D" w:rsidRPr="0065598A" w:rsidRDefault="001F417D" w:rsidP="002257B4">
      <w:pPr>
        <w:spacing w:before="120" w:line="276" w:lineRule="auto"/>
        <w:jc w:val="both"/>
        <w:rPr>
          <w:rFonts w:ascii="Calibri" w:hAnsi="Calibri"/>
          <w:noProof/>
          <w:lang w:val="sq-AL"/>
        </w:rPr>
      </w:pPr>
      <w:r w:rsidRPr="0065598A">
        <w:rPr>
          <w:rFonts w:ascii="Calibri" w:hAnsi="Calibri"/>
          <w:noProof/>
          <w:lang w:val="sq-AL"/>
        </w:rPr>
        <w:t xml:space="preserve">Bazuar në statistikat dhe informacionin më të fundit të disponueshëm, rezulton se ekonomia është prekur nga pandemia Covid-19, e cila u përhap në fillim të muajit </w:t>
      </w:r>
      <w:r w:rsidR="002257B4">
        <w:rPr>
          <w:rFonts w:ascii="Calibri" w:hAnsi="Calibri"/>
          <w:noProof/>
          <w:lang w:val="sq-AL"/>
        </w:rPr>
        <w:t>M</w:t>
      </w:r>
      <w:r w:rsidRPr="0065598A">
        <w:rPr>
          <w:rFonts w:ascii="Calibri" w:hAnsi="Calibri"/>
          <w:noProof/>
          <w:lang w:val="sq-AL"/>
        </w:rPr>
        <w:t xml:space="preserve">ars në Shqipëri dhe më 11 </w:t>
      </w:r>
      <w:r w:rsidR="002257B4">
        <w:rPr>
          <w:rFonts w:ascii="Calibri" w:hAnsi="Calibri"/>
          <w:noProof/>
          <w:lang w:val="sq-AL"/>
        </w:rPr>
        <w:t>M</w:t>
      </w:r>
      <w:r w:rsidRPr="0065598A">
        <w:rPr>
          <w:rFonts w:ascii="Calibri" w:hAnsi="Calibri"/>
          <w:noProof/>
          <w:lang w:val="sq-AL"/>
        </w:rPr>
        <w:t xml:space="preserve">ars </w:t>
      </w:r>
      <w:r w:rsidR="002257B4">
        <w:rPr>
          <w:rFonts w:ascii="Calibri" w:hAnsi="Calibri"/>
          <w:noProof/>
          <w:lang w:val="sq-AL"/>
        </w:rPr>
        <w:t>Q</w:t>
      </w:r>
      <w:r w:rsidRPr="0065598A">
        <w:rPr>
          <w:rFonts w:ascii="Calibri" w:hAnsi="Calibri"/>
          <w:noProof/>
          <w:lang w:val="sq-AL"/>
        </w:rPr>
        <w:t>everia vendosi kufizime lëvizshmërie, të cilat impaktojnë indikatorët ekonomik.</w:t>
      </w:r>
    </w:p>
    <w:p w:rsidR="001F417D" w:rsidRPr="0065598A" w:rsidRDefault="001F417D" w:rsidP="002257B4">
      <w:pPr>
        <w:spacing w:line="276" w:lineRule="auto"/>
        <w:jc w:val="both"/>
        <w:rPr>
          <w:rFonts w:ascii="Calibri" w:hAnsi="Calibri"/>
          <w:noProof/>
          <w:lang w:val="sq-AL"/>
        </w:rPr>
      </w:pPr>
      <w:r w:rsidRPr="0065598A">
        <w:rPr>
          <w:rFonts w:ascii="Calibri" w:hAnsi="Calibri"/>
          <w:noProof/>
          <w:lang w:val="sq-AL"/>
        </w:rPr>
        <w:t xml:space="preserve">Tendencat e punësimit dhe papunësisë, sipas vlerësimeve të INSTAT për </w:t>
      </w:r>
      <w:r w:rsidR="007030D4">
        <w:rPr>
          <w:rFonts w:ascii="Calibri" w:hAnsi="Calibri"/>
          <w:noProof/>
          <w:lang w:val="sq-AL"/>
        </w:rPr>
        <w:t>tre</w:t>
      </w:r>
      <w:r w:rsidRPr="0065598A">
        <w:rPr>
          <w:rFonts w:ascii="Calibri" w:hAnsi="Calibri"/>
          <w:noProof/>
          <w:lang w:val="sq-AL"/>
        </w:rPr>
        <w:t xml:space="preserve">mujorin e parë 2020, tregojnë vlera të qëndrueshme pranë mesatareve pozitive të viteve të fundit, ku ende nuk janë pasqyruar efektet e pandemisë. Përgjatë </w:t>
      </w:r>
      <w:r w:rsidR="002257B4">
        <w:rPr>
          <w:rFonts w:ascii="Calibri" w:hAnsi="Calibri"/>
          <w:noProof/>
          <w:lang w:val="sq-AL"/>
        </w:rPr>
        <w:t>3</w:t>
      </w:r>
      <w:r w:rsidRPr="0065598A">
        <w:rPr>
          <w:rFonts w:ascii="Calibri" w:hAnsi="Calibri"/>
          <w:noProof/>
          <w:lang w:val="sq-AL"/>
        </w:rPr>
        <w:t xml:space="preserve">mujorit të parë 2020 punësimi vijoi trendin pozitiv të rritjes së tij, të rezultuar edhe pёrgjatё vitit 2019. Pёr </w:t>
      </w:r>
      <w:r w:rsidR="002257B4">
        <w:rPr>
          <w:rFonts w:ascii="Calibri" w:hAnsi="Calibri"/>
          <w:noProof/>
          <w:lang w:val="sq-AL"/>
        </w:rPr>
        <w:t>3</w:t>
      </w:r>
      <w:r w:rsidRPr="0065598A">
        <w:rPr>
          <w:rFonts w:ascii="Calibri" w:hAnsi="Calibri"/>
          <w:noProof/>
          <w:lang w:val="sq-AL"/>
        </w:rPr>
        <w:t xml:space="preserve">mujorin e parё 2020, shkalla zyrtare e papunёsisё pёr grup-moshёn 15 vjeç e lart regjistroi vlerёn 11.4%, ndërsa për grupmoshën 15-64 vjeç shkalla zyrtare e papunësisë ishte 11.9%. Krahasuar me </w:t>
      </w:r>
      <w:r w:rsidR="002257B4">
        <w:rPr>
          <w:rFonts w:ascii="Calibri" w:hAnsi="Calibri"/>
          <w:noProof/>
          <w:lang w:val="sq-AL"/>
        </w:rPr>
        <w:t>3</w:t>
      </w:r>
      <w:r w:rsidRPr="0065598A">
        <w:rPr>
          <w:rFonts w:ascii="Calibri" w:hAnsi="Calibri"/>
          <w:noProof/>
          <w:lang w:val="sq-AL"/>
        </w:rPr>
        <w:t xml:space="preserve">mujorin e mëparshëm (T4-2019), shkalla e papunësisë pësoi rritje prej 0.28 pikë përqindje. Ndërsa krahasuar me të njëjtin </w:t>
      </w:r>
      <w:r w:rsidR="002257B4">
        <w:rPr>
          <w:rFonts w:ascii="Calibri" w:hAnsi="Calibri"/>
          <w:noProof/>
          <w:lang w:val="sq-AL"/>
        </w:rPr>
        <w:t>3</w:t>
      </w:r>
      <w:r w:rsidRPr="0065598A">
        <w:rPr>
          <w:rFonts w:ascii="Calibri" w:hAnsi="Calibri"/>
          <w:noProof/>
          <w:lang w:val="sq-AL"/>
        </w:rPr>
        <w:t xml:space="preserve">mujor të një viti më parë (T1-2019), shkalla e papunësisë u ul me 0.67 pikë përqindje. Numri i tё punёsuarve pёr </w:t>
      </w:r>
      <w:r w:rsidR="002257B4">
        <w:rPr>
          <w:rFonts w:ascii="Calibri" w:hAnsi="Calibri"/>
          <w:noProof/>
          <w:lang w:val="sq-AL"/>
        </w:rPr>
        <w:t>3</w:t>
      </w:r>
      <w:r w:rsidRPr="0065598A">
        <w:rPr>
          <w:rFonts w:ascii="Calibri" w:hAnsi="Calibri"/>
          <w:noProof/>
          <w:lang w:val="sq-AL"/>
        </w:rPr>
        <w:t xml:space="preserve">mujorin e parё 2020 u rrit me 0.74% nё terma vjetor pёr grup-moshёn 15-64 vjeç. Trendin pozitiv e ka mbajtur edhe shkalla e punёsimit duke arritur vlerёn 61.4% pёr grupmoshёn 15-64 vjeç, duke qëndruar rreth mesatares mё tё lartё nё dhjetё vitet e fundit. Krahasuar me </w:t>
      </w:r>
      <w:r w:rsidR="002257B4">
        <w:rPr>
          <w:rFonts w:ascii="Calibri" w:hAnsi="Calibri"/>
          <w:noProof/>
          <w:lang w:val="sq-AL"/>
        </w:rPr>
        <w:t>3</w:t>
      </w:r>
      <w:r w:rsidRPr="0065598A">
        <w:rPr>
          <w:rFonts w:ascii="Calibri" w:hAnsi="Calibri"/>
          <w:noProof/>
          <w:lang w:val="sq-AL"/>
        </w:rPr>
        <w:t>mujorin e mëparshëm ajo pësoi renie me 0.2 pikë përqindje.</w:t>
      </w:r>
    </w:p>
    <w:p w:rsidR="001F417D" w:rsidRPr="0065598A" w:rsidRDefault="001F417D" w:rsidP="002257B4">
      <w:pPr>
        <w:spacing w:line="276" w:lineRule="auto"/>
        <w:jc w:val="both"/>
        <w:rPr>
          <w:rFonts w:ascii="Calibri" w:hAnsi="Calibri"/>
          <w:noProof/>
          <w:lang w:val="sq-AL"/>
        </w:rPr>
      </w:pPr>
      <w:r w:rsidRPr="0065598A">
        <w:rPr>
          <w:rFonts w:ascii="Calibri" w:hAnsi="Calibri"/>
          <w:noProof/>
          <w:lang w:val="sq-AL"/>
        </w:rPr>
        <w:t xml:space="preserve">Një tjetër tregues i rëndësishëm që jep sinjale mbi rritjen ekonomike është treguesi i ndjesisë ekonomike (TNE) që në përputhje me metodologjinë, rezultatet e vrojtimeve të besimit për </w:t>
      </w:r>
      <w:r w:rsidR="00A55825">
        <w:rPr>
          <w:rFonts w:ascii="Calibri" w:hAnsi="Calibri"/>
          <w:noProof/>
          <w:lang w:val="sq-AL"/>
        </w:rPr>
        <w:t>3</w:t>
      </w:r>
      <w:r w:rsidRPr="0065598A">
        <w:rPr>
          <w:rFonts w:ascii="Calibri" w:hAnsi="Calibri"/>
          <w:noProof/>
          <w:lang w:val="sq-AL"/>
        </w:rPr>
        <w:t>mujorin e parë të vitit 2020 i takojnë informacionit të marrë në periudhën 1</w:t>
      </w:r>
      <w:r w:rsidR="00A55825">
        <w:rPr>
          <w:rFonts w:ascii="Calibri" w:hAnsi="Calibri"/>
          <w:noProof/>
          <w:lang w:val="sq-AL"/>
        </w:rPr>
        <w:t>-</w:t>
      </w:r>
      <w:r w:rsidRPr="0065598A">
        <w:rPr>
          <w:rFonts w:ascii="Calibri" w:hAnsi="Calibri"/>
          <w:noProof/>
          <w:lang w:val="sq-AL"/>
        </w:rPr>
        <w:t xml:space="preserve">10 </w:t>
      </w:r>
      <w:r w:rsidR="002257B4">
        <w:rPr>
          <w:rFonts w:ascii="Calibri" w:hAnsi="Calibri"/>
          <w:noProof/>
          <w:lang w:val="sq-AL"/>
        </w:rPr>
        <w:t>M</w:t>
      </w:r>
      <w:r w:rsidRPr="0065598A">
        <w:rPr>
          <w:rFonts w:ascii="Calibri" w:hAnsi="Calibri"/>
          <w:noProof/>
          <w:lang w:val="sq-AL"/>
        </w:rPr>
        <w:t xml:space="preserve">ars, para se </w:t>
      </w:r>
      <w:r w:rsidR="00A55825">
        <w:rPr>
          <w:rFonts w:ascii="Calibri" w:hAnsi="Calibri"/>
          <w:noProof/>
          <w:lang w:val="sq-AL"/>
        </w:rPr>
        <w:t>P</w:t>
      </w:r>
      <w:r w:rsidRPr="0065598A">
        <w:rPr>
          <w:rFonts w:ascii="Calibri" w:hAnsi="Calibri"/>
          <w:noProof/>
          <w:lang w:val="sq-AL"/>
        </w:rPr>
        <w:t xml:space="preserve">andemia COVID-19 të prekte Shqipërinë dhe </w:t>
      </w:r>
      <w:r w:rsidR="00A55825">
        <w:rPr>
          <w:rFonts w:ascii="Calibri" w:hAnsi="Calibri"/>
          <w:noProof/>
          <w:lang w:val="sq-AL"/>
        </w:rPr>
        <w:t>Q</w:t>
      </w:r>
      <w:r w:rsidRPr="0065598A">
        <w:rPr>
          <w:rFonts w:ascii="Calibri" w:hAnsi="Calibri"/>
          <w:noProof/>
          <w:lang w:val="sq-AL"/>
        </w:rPr>
        <w:t xml:space="preserve">everia të shpallte masat parandaluese ndaj përhapjes së saj. Për këtë arsye, treguesit e besimit, e më në veçanti në sektorin e shërbimeve, nuk reflektojnë ndikimin negativ të </w:t>
      </w:r>
      <w:r w:rsidR="002257B4">
        <w:rPr>
          <w:rFonts w:ascii="Calibri" w:hAnsi="Calibri"/>
          <w:noProof/>
          <w:lang w:val="sq-AL"/>
        </w:rPr>
        <w:t>P</w:t>
      </w:r>
      <w:r w:rsidRPr="0065598A">
        <w:rPr>
          <w:rFonts w:ascii="Calibri" w:hAnsi="Calibri"/>
          <w:noProof/>
          <w:lang w:val="sq-AL"/>
        </w:rPr>
        <w:t xml:space="preserve">andemisë në ekonomi. Treguesi i ndjesisë ekonomike (TNE) shënoi nivelin 103.3 në T1-2020 duke pësuar një rritje prej 8.5 pikësh nga </w:t>
      </w:r>
      <w:r w:rsidR="007030D4">
        <w:rPr>
          <w:rFonts w:ascii="Calibri" w:hAnsi="Calibri"/>
          <w:noProof/>
          <w:lang w:val="sq-AL"/>
        </w:rPr>
        <w:t>tre</w:t>
      </w:r>
      <w:r w:rsidRPr="0065598A">
        <w:rPr>
          <w:rFonts w:ascii="Calibri" w:hAnsi="Calibri"/>
          <w:noProof/>
          <w:lang w:val="sq-AL"/>
        </w:rPr>
        <w:t>mujori i kaluar dhe një rënie me 2.1 pikë përqindje në krahasim me T1-2019. Niveli aktual i TNE-së qëndron 3.3 pikë mbi mesataren afatgjatë dhe rreth 0.1 pikë përqindje nën mesataren e 6 viteve të fundit. Rritja e nivelit të TNE-së i atribuohet vetëm përmirësimit të besimit në sektorin e shërbimeve. Besimi në sektorin e tregtisë rezultoi pothuajse i njëjtë me një tremujor më parë, ndërkohë që besimi në sektorët e industrisë, ndërtimit dhe besimi konsumator, shënoi rënie.</w:t>
      </w:r>
    </w:p>
    <w:p w:rsidR="001F417D" w:rsidRPr="0065598A" w:rsidRDefault="001F417D" w:rsidP="002257B4">
      <w:pPr>
        <w:spacing w:line="276" w:lineRule="auto"/>
        <w:jc w:val="both"/>
        <w:rPr>
          <w:rFonts w:ascii="Calibri" w:hAnsi="Calibri"/>
          <w:noProof/>
          <w:lang w:val="sq-AL"/>
        </w:rPr>
      </w:pPr>
      <w:r w:rsidRPr="0065598A">
        <w:rPr>
          <w:rFonts w:ascii="Calibri" w:hAnsi="Calibri"/>
          <w:noProof/>
          <w:lang w:val="sq-AL"/>
        </w:rPr>
        <w:t xml:space="preserve">Treguesi i besimit në sektorin e industrisë (TBI) shënoi nivelin -4.8 në T1-2020 (-3.4 pikë përqindje më pak krahasuar me T1-2019), duke pësuar një rënie </w:t>
      </w:r>
      <w:r w:rsidR="007030D4">
        <w:rPr>
          <w:rFonts w:ascii="Calibri" w:hAnsi="Calibri"/>
          <w:noProof/>
          <w:lang w:val="sq-AL"/>
        </w:rPr>
        <w:t>tre</w:t>
      </w:r>
      <w:r w:rsidRPr="0065598A">
        <w:rPr>
          <w:rFonts w:ascii="Calibri" w:hAnsi="Calibri"/>
          <w:noProof/>
          <w:lang w:val="sq-AL"/>
        </w:rPr>
        <w:t xml:space="preserve">mujore prej 3.1 pikë përqindje. Treguesi i besimit në sektorin e ndërtimit (TBN) shënoi nivelin -30 në T1-2020 (9 pikë përqindje më pak krahasuar me T1-2019), duke pësuar një rënie </w:t>
      </w:r>
      <w:r w:rsidR="007030D4">
        <w:rPr>
          <w:rFonts w:ascii="Calibri" w:hAnsi="Calibri"/>
          <w:noProof/>
          <w:lang w:val="sq-AL"/>
        </w:rPr>
        <w:t>tre</w:t>
      </w:r>
      <w:r w:rsidRPr="0065598A">
        <w:rPr>
          <w:rFonts w:ascii="Calibri" w:hAnsi="Calibri"/>
          <w:noProof/>
          <w:lang w:val="sq-AL"/>
        </w:rPr>
        <w:t xml:space="preserve">mujore prej 0.5 pikë përqindje. Treguesi i besimit në shërbime (TBSH) shënoi nivelin 12.4 në T1-2020 (6.4 pikë përqindje më shumë krahasuar me T1-2019), duke pësuar një rritje </w:t>
      </w:r>
      <w:r w:rsidR="007030D4">
        <w:rPr>
          <w:rFonts w:ascii="Calibri" w:hAnsi="Calibri"/>
          <w:noProof/>
          <w:lang w:val="sq-AL"/>
        </w:rPr>
        <w:t>tre</w:t>
      </w:r>
      <w:r w:rsidRPr="0065598A">
        <w:rPr>
          <w:rFonts w:ascii="Calibri" w:hAnsi="Calibri"/>
          <w:noProof/>
          <w:lang w:val="sq-AL"/>
        </w:rPr>
        <w:t xml:space="preserve">mujore me rreth 16.1 pikë përqindje. Treguesi i besimit të tregtisë </w:t>
      </w:r>
      <w:r w:rsidR="002257B4">
        <w:rPr>
          <w:rFonts w:ascii="Calibri" w:hAnsi="Calibri"/>
          <w:noProof/>
          <w:lang w:val="sq-AL"/>
        </w:rPr>
        <w:t>n</w:t>
      </w:r>
      <w:r w:rsidRPr="0065598A">
        <w:rPr>
          <w:rFonts w:ascii="Calibri" w:hAnsi="Calibri"/>
          <w:noProof/>
          <w:lang w:val="sq-AL"/>
        </w:rPr>
        <w:t xml:space="preserve">ë T1-2020 ishte në nivelin -8.5, duke pësuar një rënie vjetore prej 3.4 pikë përqindje. Treguesi i besimit të konsumatorëve (TBK) shënoi nivelin -15.1 në T1-2020 (5.8 pikë përqindje më pak krahasuar me T1-2019) duke pësuar rënie </w:t>
      </w:r>
      <w:r w:rsidR="007030D4">
        <w:rPr>
          <w:rFonts w:ascii="Calibri" w:hAnsi="Calibri"/>
          <w:noProof/>
          <w:lang w:val="sq-AL"/>
        </w:rPr>
        <w:t>tre</w:t>
      </w:r>
      <w:r w:rsidRPr="0065598A">
        <w:rPr>
          <w:rFonts w:ascii="Calibri" w:hAnsi="Calibri"/>
          <w:noProof/>
          <w:lang w:val="sq-AL"/>
        </w:rPr>
        <w:t xml:space="preserve">mujore me 1.5 pikë përqindje. </w:t>
      </w:r>
    </w:p>
    <w:p w:rsidR="001F417D" w:rsidRPr="004872EF" w:rsidRDefault="001F417D" w:rsidP="001F417D">
      <w:pPr>
        <w:spacing w:line="276" w:lineRule="auto"/>
        <w:jc w:val="both"/>
        <w:rPr>
          <w:rFonts w:ascii="Calibri" w:hAnsi="Calibri"/>
          <w:i/>
          <w:noProof/>
          <w:u w:val="single"/>
          <w:lang w:val="sq-AL"/>
        </w:rPr>
      </w:pPr>
      <w:r w:rsidRPr="004872EF">
        <w:rPr>
          <w:rFonts w:ascii="Calibri" w:hAnsi="Calibri"/>
          <w:i/>
          <w:noProof/>
          <w:u w:val="single"/>
          <w:lang w:val="sq-AL"/>
        </w:rPr>
        <w:lastRenderedPageBreak/>
        <w:t xml:space="preserve">Sektori i jashtëm  </w:t>
      </w:r>
    </w:p>
    <w:p w:rsidR="001F417D" w:rsidRPr="0065598A" w:rsidRDefault="001F417D" w:rsidP="001F417D">
      <w:pPr>
        <w:spacing w:before="240" w:after="120" w:line="276" w:lineRule="auto"/>
        <w:jc w:val="both"/>
        <w:rPr>
          <w:rFonts w:ascii="Calibri" w:hAnsi="Calibri"/>
          <w:noProof/>
          <w:lang w:val="sq-AL"/>
        </w:rPr>
      </w:pPr>
      <w:r w:rsidRPr="0065598A">
        <w:rPr>
          <w:rFonts w:ascii="Calibri" w:hAnsi="Calibri"/>
          <w:i/>
          <w:noProof/>
          <w:lang w:val="sq-AL"/>
        </w:rPr>
        <w:t>Eksportet e mallrave</w:t>
      </w:r>
      <w:r w:rsidRPr="0065598A">
        <w:rPr>
          <w:rFonts w:ascii="Calibri" w:hAnsi="Calibri"/>
          <w:noProof/>
          <w:lang w:val="sq-AL"/>
        </w:rPr>
        <w:t xml:space="preserve"> për periudhёn janar - maj 2020 shënuan rënie prej -19.4% krahasuar me një vit më parë. Gjithashtu vetëm pёr muajin maj 2020 eksportet shёnuan rënie prej -22.7% nё krahasim mё muajin maj 2019. Në maj 2020 eksportet e mallrave arritën vlerën 21 mld lekë, ndërsa në pesëmujorin e parë të vitit 2020 eksportet e mallrave arritën vlerën 102 mld lekë, duke u ulur me 19.4 %, krahasuar me një vit më parë. Rënia vjetore e eksporteve prej 22.7% këtë muaj është ndikuar nga grupet: “Minerale, lëndë djegëse, energji elektrike” me -8.6 pikë përqindje, “Tekstile dhe këpucë” me -8.0 pikë përqindje etj. Në ndryshimin vjetor të eksporteve ka ndikuar pozitivisht grupi: “Ushqim, pije, duhan” me +2.6 pikë përqindje. Zhvillimet sipas kategorive kryesore të mallrave të eksportit, si dhe kontributi i tyre në totalin e eksporteve, paraqiten në tabelën e mëposhtme.</w:t>
      </w:r>
    </w:p>
    <w:p w:rsidR="001F417D" w:rsidRPr="004872EF" w:rsidRDefault="001F417D" w:rsidP="001F417D">
      <w:pPr>
        <w:keepNext/>
        <w:spacing w:before="240"/>
        <w:jc w:val="both"/>
        <w:rPr>
          <w:rFonts w:asciiTheme="minorHAnsi" w:hAnsiTheme="minorHAnsi"/>
          <w:i/>
          <w:noProof/>
        </w:rPr>
      </w:pPr>
      <w:bookmarkStart w:id="137" w:name="_Toc44404421"/>
      <w:r w:rsidRPr="004872EF">
        <w:rPr>
          <w:rFonts w:asciiTheme="minorHAnsi" w:hAnsiTheme="minorHAnsi"/>
          <w:i/>
          <w:noProof/>
        </w:rPr>
        <w:t xml:space="preserve">Tabela </w:t>
      </w:r>
      <w:r w:rsidRPr="004872EF">
        <w:rPr>
          <w:rFonts w:asciiTheme="minorHAnsi" w:hAnsiTheme="minorHAnsi"/>
          <w:i/>
          <w:noProof/>
        </w:rPr>
        <w:fldChar w:fldCharType="begin"/>
      </w:r>
      <w:r w:rsidRPr="004872EF">
        <w:rPr>
          <w:rFonts w:asciiTheme="minorHAnsi" w:hAnsiTheme="minorHAnsi"/>
          <w:i/>
          <w:noProof/>
        </w:rPr>
        <w:instrText xml:space="preserve"> SEQ Tabela \* ARABIC </w:instrText>
      </w:r>
      <w:r w:rsidRPr="004872EF">
        <w:rPr>
          <w:rFonts w:asciiTheme="minorHAnsi" w:hAnsiTheme="minorHAnsi"/>
          <w:i/>
          <w:noProof/>
        </w:rPr>
        <w:fldChar w:fldCharType="separate"/>
      </w:r>
      <w:r w:rsidR="00C342E2">
        <w:rPr>
          <w:rFonts w:asciiTheme="minorHAnsi" w:hAnsiTheme="minorHAnsi"/>
          <w:i/>
          <w:noProof/>
        </w:rPr>
        <w:t>20</w:t>
      </w:r>
      <w:r w:rsidRPr="004872EF">
        <w:rPr>
          <w:rFonts w:asciiTheme="minorHAnsi" w:hAnsiTheme="minorHAnsi"/>
          <w:i/>
          <w:noProof/>
        </w:rPr>
        <w:fldChar w:fldCharType="end"/>
      </w:r>
      <w:r w:rsidRPr="004872EF">
        <w:rPr>
          <w:rFonts w:asciiTheme="minorHAnsi" w:hAnsiTheme="minorHAnsi"/>
          <w:i/>
          <w:noProof/>
        </w:rPr>
        <w:t>: Rritja e eksportit të mallrave, sipas kategorive kryesore.</w:t>
      </w:r>
      <w:bookmarkEnd w:id="137"/>
    </w:p>
    <w:p w:rsidR="001F417D" w:rsidRPr="0065598A" w:rsidRDefault="001F417D" w:rsidP="001F417D">
      <w:pPr>
        <w:spacing w:before="120" w:after="120" w:line="276" w:lineRule="auto"/>
        <w:jc w:val="center"/>
        <w:rPr>
          <w:rFonts w:ascii="Calibri" w:hAnsi="Calibri"/>
          <w:noProof/>
          <w:lang w:val="sq-AL"/>
        </w:rPr>
      </w:pPr>
      <w:r w:rsidRPr="0065598A">
        <w:rPr>
          <w:noProof/>
        </w:rPr>
        <w:drawing>
          <wp:inline distT="0" distB="0" distL="0" distR="0" wp14:anchorId="2E2B6436" wp14:editId="51B03B6A">
            <wp:extent cx="5725795" cy="1516380"/>
            <wp:effectExtent l="0" t="0" r="8255" b="762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2">
                      <a:extLst>
                        <a:ext uri="{28A0092B-C50C-407E-A947-70E740481C1C}">
                          <a14:useLocalDpi xmlns:a14="http://schemas.microsoft.com/office/drawing/2010/main" val="0"/>
                        </a:ext>
                      </a:extLst>
                    </a:blip>
                    <a:srcRect/>
                    <a:stretch>
                      <a:fillRect/>
                    </a:stretch>
                  </pic:blipFill>
                  <pic:spPr bwMode="auto">
                    <a:xfrm>
                      <a:off x="0" y="0"/>
                      <a:ext cx="5725958" cy="1516423"/>
                    </a:xfrm>
                    <a:prstGeom prst="rect">
                      <a:avLst/>
                    </a:prstGeom>
                    <a:noFill/>
                    <a:ln>
                      <a:noFill/>
                    </a:ln>
                  </pic:spPr>
                </pic:pic>
              </a:graphicData>
            </a:graphic>
          </wp:inline>
        </w:drawing>
      </w:r>
    </w:p>
    <w:p w:rsidR="001F417D" w:rsidRPr="0065598A" w:rsidRDefault="001F417D" w:rsidP="001F417D">
      <w:pPr>
        <w:spacing w:before="240" w:line="276" w:lineRule="auto"/>
        <w:rPr>
          <w:rFonts w:ascii="Calibri" w:hAnsi="Calibri"/>
          <w:noProof/>
          <w:lang w:val="sq-AL"/>
        </w:rPr>
      </w:pPr>
      <w:r w:rsidRPr="0065598A">
        <w:rPr>
          <w:rFonts w:ascii="Calibri" w:hAnsi="Calibri"/>
          <w:noProof/>
          <w:lang w:val="sq-AL"/>
        </w:rPr>
        <w:t xml:space="preserve">Në grafikun e mëposhtëm paraqitet rritja mujore e totalit të eksporteve në përqindje, kundrejt të njëjtit muaj të një viti më parë. </w:t>
      </w:r>
    </w:p>
    <w:p w:rsidR="001F417D" w:rsidRPr="004872EF" w:rsidRDefault="001F417D" w:rsidP="001F417D">
      <w:pPr>
        <w:spacing w:before="240" w:line="276" w:lineRule="auto"/>
        <w:rPr>
          <w:rFonts w:asciiTheme="minorHAnsi" w:hAnsiTheme="minorHAnsi"/>
          <w:i/>
          <w:noProof/>
        </w:rPr>
      </w:pPr>
      <w:bookmarkStart w:id="138" w:name="_Toc44404486"/>
      <w:r w:rsidRPr="004872EF">
        <w:rPr>
          <w:rFonts w:asciiTheme="minorHAnsi" w:hAnsiTheme="minorHAnsi"/>
          <w:i/>
          <w:noProof/>
        </w:rPr>
        <w:t xml:space="preserve">Grafiku </w:t>
      </w:r>
      <w:r w:rsidRPr="004872EF">
        <w:rPr>
          <w:rFonts w:asciiTheme="minorHAnsi" w:hAnsiTheme="minorHAnsi"/>
          <w:i/>
          <w:noProof/>
        </w:rPr>
        <w:fldChar w:fldCharType="begin"/>
      </w:r>
      <w:r w:rsidRPr="004872EF">
        <w:rPr>
          <w:rFonts w:asciiTheme="minorHAnsi" w:hAnsiTheme="minorHAnsi"/>
          <w:i/>
          <w:noProof/>
        </w:rPr>
        <w:instrText xml:space="preserve"> SEQ Grafiku \* ARABIC </w:instrText>
      </w:r>
      <w:r w:rsidRPr="004872EF">
        <w:rPr>
          <w:rFonts w:asciiTheme="minorHAnsi" w:hAnsiTheme="minorHAnsi"/>
          <w:i/>
          <w:noProof/>
        </w:rPr>
        <w:fldChar w:fldCharType="separate"/>
      </w:r>
      <w:r w:rsidR="00C342E2">
        <w:rPr>
          <w:rFonts w:asciiTheme="minorHAnsi" w:hAnsiTheme="minorHAnsi"/>
          <w:i/>
          <w:noProof/>
        </w:rPr>
        <w:t>46</w:t>
      </w:r>
      <w:r w:rsidRPr="004872EF">
        <w:rPr>
          <w:rFonts w:asciiTheme="minorHAnsi" w:hAnsiTheme="minorHAnsi"/>
          <w:i/>
          <w:noProof/>
        </w:rPr>
        <w:fldChar w:fldCharType="end"/>
      </w:r>
      <w:r w:rsidRPr="004872EF">
        <w:rPr>
          <w:rFonts w:asciiTheme="minorHAnsi" w:hAnsiTheme="minorHAnsi"/>
          <w:i/>
          <w:noProof/>
        </w:rPr>
        <w:t>: Rritja mujore e totalit të eksporteve, në përqindje.</w:t>
      </w:r>
      <w:bookmarkEnd w:id="138"/>
    </w:p>
    <w:p w:rsidR="001F417D" w:rsidRPr="0065598A" w:rsidRDefault="001F417D" w:rsidP="001F417D">
      <w:pPr>
        <w:keepNext/>
        <w:jc w:val="center"/>
        <w:rPr>
          <w:rFonts w:ascii="Calibri" w:hAnsi="Calibri"/>
          <w:i/>
          <w:lang w:val="sq-AL"/>
        </w:rPr>
      </w:pPr>
      <w:r w:rsidRPr="0065598A">
        <w:rPr>
          <w:rFonts w:ascii="Calibri" w:hAnsi="Calibri"/>
          <w:i/>
          <w:noProof/>
        </w:rPr>
        <w:drawing>
          <wp:inline distT="0" distB="0" distL="0" distR="0" wp14:anchorId="70E43C81" wp14:editId="7EF20962">
            <wp:extent cx="5353685" cy="1569720"/>
            <wp:effectExtent l="0" t="0" r="0" b="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3" cstate="print">
                      <a:extLst>
                        <a:ext uri="{28A0092B-C50C-407E-A947-70E740481C1C}">
                          <a14:useLocalDpi xmlns:a14="http://schemas.microsoft.com/office/drawing/2010/main" val="0"/>
                        </a:ext>
                      </a:extLst>
                    </a:blip>
                    <a:srcRect/>
                    <a:stretch>
                      <a:fillRect/>
                    </a:stretch>
                  </pic:blipFill>
                  <pic:spPr bwMode="auto">
                    <a:xfrm>
                      <a:off x="0" y="0"/>
                      <a:ext cx="5354251" cy="1569886"/>
                    </a:xfrm>
                    <a:prstGeom prst="rect">
                      <a:avLst/>
                    </a:prstGeom>
                    <a:noFill/>
                  </pic:spPr>
                </pic:pic>
              </a:graphicData>
            </a:graphic>
          </wp:inline>
        </w:drawing>
      </w:r>
    </w:p>
    <w:p w:rsidR="001F417D" w:rsidRPr="0065598A" w:rsidRDefault="001F417D" w:rsidP="001F417D">
      <w:pPr>
        <w:spacing w:line="276" w:lineRule="auto"/>
        <w:jc w:val="center"/>
        <w:rPr>
          <w:rFonts w:ascii="Calibri" w:hAnsi="Calibri"/>
          <w:bCs/>
          <w:noProof/>
          <w:lang w:val="sq-AL"/>
        </w:rPr>
      </w:pPr>
    </w:p>
    <w:p w:rsidR="001F417D" w:rsidRPr="0065598A" w:rsidRDefault="001F417D" w:rsidP="001F417D">
      <w:pPr>
        <w:spacing w:line="276" w:lineRule="auto"/>
        <w:jc w:val="both"/>
        <w:rPr>
          <w:rFonts w:ascii="Calibri" w:hAnsi="Calibri"/>
          <w:bCs/>
          <w:noProof/>
          <w:lang w:val="sq-AL"/>
        </w:rPr>
      </w:pPr>
      <w:r w:rsidRPr="0065598A">
        <w:rPr>
          <w:rFonts w:ascii="Calibri" w:hAnsi="Calibri"/>
          <w:bCs/>
          <w:i/>
          <w:noProof/>
          <w:lang w:val="sq-AL"/>
        </w:rPr>
        <w:t>Importet e mallrave</w:t>
      </w:r>
      <w:r w:rsidRPr="0065598A">
        <w:rPr>
          <w:rFonts w:ascii="Calibri" w:hAnsi="Calibri"/>
          <w:bCs/>
          <w:noProof/>
          <w:lang w:val="sq-AL"/>
        </w:rPr>
        <w:t xml:space="preserve"> për periudhёn janar – maj 2020 shënuan rënie prej -17.1% krahasuar me një vit më parё, ndërsa vetëm për muajin maj 2020 importet shënuan rënie vjetore prej -24.2% në krahasim me muajin maj 2019. Në maj 2020 importet e mallrave arritën vlerën 45 mld lekë, ndërsa në pesëmujorin e parë të vitit 2020 importet e mallrave arritën vlerën 219 mld lekë, duke u ulur me 17.1%, krahasuar me një vit më parë. Rënia vjetore e importeve prej 24.2%, këtë muaj është ndikuar kryesisht nga grupet: “Minerale, lëndë djegëse, energji elektrike” me -6.5 pikë përqindje, “Makineri, paisje dhe pjesë këmbimi” me -5.1 pikë përqindje etj. Në ndryshimin vjetor të importeve ka ndikuar pozitivisht grupi: “Produkte kimike dhe plastike” me +0.03 pikë përqindje. </w:t>
      </w:r>
      <w:r w:rsidRPr="0065598A">
        <w:rPr>
          <w:rFonts w:ascii="Calibri" w:hAnsi="Calibri"/>
          <w:bCs/>
          <w:noProof/>
          <w:lang w:val="sq-AL"/>
        </w:rPr>
        <w:lastRenderedPageBreak/>
        <w:t>Zhvillimet sipas kategorive kryesore të mallrave të importit, si dhe kontributi i tyre në totalin e importeve, paraqiten në tabelën e mëposhtme</w:t>
      </w:r>
    </w:p>
    <w:p w:rsidR="001F417D" w:rsidRPr="002257B4" w:rsidRDefault="001F417D" w:rsidP="001F417D">
      <w:pPr>
        <w:spacing w:line="276" w:lineRule="auto"/>
        <w:jc w:val="both"/>
        <w:rPr>
          <w:rFonts w:ascii="Calibri" w:hAnsi="Calibri"/>
          <w:noProof/>
          <w:sz w:val="12"/>
          <w:lang w:val="sq-AL"/>
        </w:rPr>
      </w:pPr>
    </w:p>
    <w:p w:rsidR="001F417D" w:rsidRPr="0065598A" w:rsidRDefault="001F417D" w:rsidP="002257B4">
      <w:pPr>
        <w:rPr>
          <w:rFonts w:ascii="Calibri" w:hAnsi="Calibri"/>
          <w:i/>
          <w:lang w:val="sq-AL"/>
        </w:rPr>
      </w:pPr>
      <w:bookmarkStart w:id="139" w:name="_Toc44404422"/>
      <w:r w:rsidRPr="0065598A">
        <w:rPr>
          <w:rFonts w:ascii="Calibri" w:hAnsi="Calibri"/>
          <w:i/>
          <w:lang w:val="sq-AL"/>
        </w:rPr>
        <w:t xml:space="preserve">Tabela </w:t>
      </w:r>
      <w:r w:rsidRPr="0065598A">
        <w:rPr>
          <w:rFonts w:ascii="Calibri" w:hAnsi="Calibri"/>
          <w:i/>
          <w:lang w:val="sq-AL"/>
        </w:rPr>
        <w:fldChar w:fldCharType="begin"/>
      </w:r>
      <w:r w:rsidRPr="0065598A">
        <w:rPr>
          <w:rFonts w:ascii="Calibri" w:hAnsi="Calibri"/>
          <w:i/>
          <w:lang w:val="sq-AL"/>
        </w:rPr>
        <w:instrText xml:space="preserve"> SEQ Tabela \* ARABIC </w:instrText>
      </w:r>
      <w:r w:rsidRPr="0065598A">
        <w:rPr>
          <w:rFonts w:ascii="Calibri" w:hAnsi="Calibri"/>
          <w:i/>
          <w:lang w:val="sq-AL"/>
        </w:rPr>
        <w:fldChar w:fldCharType="separate"/>
      </w:r>
      <w:r w:rsidR="00C342E2">
        <w:rPr>
          <w:rFonts w:ascii="Calibri" w:hAnsi="Calibri"/>
          <w:i/>
          <w:noProof/>
          <w:lang w:val="sq-AL"/>
        </w:rPr>
        <w:t>21</w:t>
      </w:r>
      <w:r w:rsidRPr="0065598A">
        <w:rPr>
          <w:rFonts w:ascii="Calibri" w:hAnsi="Calibri"/>
          <w:i/>
          <w:lang w:val="sq-AL"/>
        </w:rPr>
        <w:fldChar w:fldCharType="end"/>
      </w:r>
      <w:r w:rsidRPr="0065598A">
        <w:rPr>
          <w:rFonts w:ascii="Calibri" w:hAnsi="Calibri"/>
          <w:i/>
          <w:lang w:val="sq-AL"/>
        </w:rPr>
        <w:t>: Rritja e importit të mallrave, sipas kategorive kryesore.</w:t>
      </w:r>
      <w:bookmarkEnd w:id="139"/>
    </w:p>
    <w:p w:rsidR="001F417D" w:rsidRPr="0065598A" w:rsidRDefault="001F417D" w:rsidP="001F417D">
      <w:pPr>
        <w:spacing w:before="120" w:after="120" w:line="276" w:lineRule="auto"/>
        <w:jc w:val="center"/>
        <w:rPr>
          <w:rFonts w:ascii="Calibri" w:hAnsi="Calibri"/>
          <w:noProof/>
          <w:lang w:val="sq-AL"/>
        </w:rPr>
      </w:pPr>
      <w:r w:rsidRPr="0065598A">
        <w:rPr>
          <w:noProof/>
        </w:rPr>
        <w:drawing>
          <wp:inline distT="0" distB="0" distL="0" distR="0" wp14:anchorId="265F03CB" wp14:editId="26213AB8">
            <wp:extent cx="5725795" cy="1501140"/>
            <wp:effectExtent l="0" t="0" r="8255" b="381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5725959" cy="1501183"/>
                    </a:xfrm>
                    <a:prstGeom prst="rect">
                      <a:avLst/>
                    </a:prstGeom>
                    <a:noFill/>
                    <a:ln>
                      <a:noFill/>
                    </a:ln>
                  </pic:spPr>
                </pic:pic>
              </a:graphicData>
            </a:graphic>
          </wp:inline>
        </w:drawing>
      </w:r>
    </w:p>
    <w:p w:rsidR="001F417D" w:rsidRDefault="001F417D" w:rsidP="002257B4">
      <w:pPr>
        <w:spacing w:line="276" w:lineRule="auto"/>
        <w:jc w:val="both"/>
        <w:rPr>
          <w:rFonts w:ascii="Calibri" w:hAnsi="Calibri"/>
          <w:noProof/>
          <w:lang w:val="sq-AL"/>
        </w:rPr>
      </w:pPr>
      <w:r w:rsidRPr="0065598A">
        <w:rPr>
          <w:rFonts w:ascii="Calibri" w:hAnsi="Calibri"/>
          <w:noProof/>
          <w:lang w:val="sq-AL"/>
        </w:rPr>
        <w:t xml:space="preserve">Në grafikun e mëposhtëm paraqitet rritja mujore e totalit të importeve në përqindje, kundrejt të njëjtit muaj të një viti më parë. </w:t>
      </w:r>
    </w:p>
    <w:p w:rsidR="002257B4" w:rsidRPr="002257B4" w:rsidRDefault="002257B4" w:rsidP="002257B4">
      <w:pPr>
        <w:spacing w:line="276" w:lineRule="auto"/>
        <w:jc w:val="both"/>
        <w:rPr>
          <w:rFonts w:ascii="Calibri" w:hAnsi="Calibri"/>
          <w:noProof/>
          <w:sz w:val="8"/>
          <w:lang w:val="sq-AL"/>
        </w:rPr>
      </w:pPr>
    </w:p>
    <w:p w:rsidR="001F417D" w:rsidRPr="0065598A" w:rsidRDefault="001F417D" w:rsidP="002257B4">
      <w:pPr>
        <w:spacing w:line="276" w:lineRule="auto"/>
        <w:jc w:val="both"/>
        <w:rPr>
          <w:rFonts w:ascii="Calibri" w:hAnsi="Calibri"/>
          <w:noProof/>
          <w:lang w:val="sq-AL"/>
        </w:rPr>
      </w:pPr>
      <w:bookmarkStart w:id="140" w:name="_Toc44404487"/>
      <w:r w:rsidRPr="0065598A">
        <w:rPr>
          <w:rFonts w:ascii="Calibri" w:hAnsi="Calibri"/>
          <w:i/>
          <w:lang w:val="sq-AL"/>
        </w:rPr>
        <w:t xml:space="preserve">Grafiku </w:t>
      </w:r>
      <w:r w:rsidRPr="0065598A">
        <w:rPr>
          <w:rFonts w:ascii="Calibri" w:hAnsi="Calibri"/>
          <w:i/>
          <w:lang w:val="sq-AL"/>
        </w:rPr>
        <w:fldChar w:fldCharType="begin"/>
      </w:r>
      <w:r w:rsidRPr="0065598A">
        <w:rPr>
          <w:rFonts w:ascii="Calibri" w:hAnsi="Calibri"/>
          <w:i/>
          <w:lang w:val="sq-AL"/>
        </w:rPr>
        <w:instrText xml:space="preserve"> SEQ Grafiku \* ARABIC </w:instrText>
      </w:r>
      <w:r w:rsidRPr="0065598A">
        <w:rPr>
          <w:rFonts w:ascii="Calibri" w:hAnsi="Calibri"/>
          <w:i/>
          <w:lang w:val="sq-AL"/>
        </w:rPr>
        <w:fldChar w:fldCharType="separate"/>
      </w:r>
      <w:r w:rsidR="00C342E2">
        <w:rPr>
          <w:rFonts w:ascii="Calibri" w:hAnsi="Calibri"/>
          <w:i/>
          <w:noProof/>
          <w:lang w:val="sq-AL"/>
        </w:rPr>
        <w:t>47</w:t>
      </w:r>
      <w:r w:rsidRPr="0065598A">
        <w:rPr>
          <w:rFonts w:ascii="Calibri" w:hAnsi="Calibri"/>
          <w:i/>
          <w:lang w:val="sq-AL"/>
        </w:rPr>
        <w:fldChar w:fldCharType="end"/>
      </w:r>
      <w:r w:rsidRPr="0065598A">
        <w:rPr>
          <w:rFonts w:ascii="Calibri" w:hAnsi="Calibri"/>
          <w:i/>
          <w:lang w:val="sq-AL"/>
        </w:rPr>
        <w:t>: Rritja mujore e totalit të importeve, në përqindje.</w:t>
      </w:r>
      <w:bookmarkEnd w:id="140"/>
    </w:p>
    <w:p w:rsidR="001F417D" w:rsidRPr="0065598A" w:rsidRDefault="001F417D" w:rsidP="001F417D">
      <w:pPr>
        <w:spacing w:before="120" w:after="120" w:line="276" w:lineRule="auto"/>
        <w:jc w:val="center"/>
        <w:rPr>
          <w:rFonts w:ascii="Calibri" w:hAnsi="Calibri"/>
          <w:noProof/>
          <w:lang w:val="sq-AL"/>
        </w:rPr>
      </w:pPr>
      <w:r w:rsidRPr="0065598A">
        <w:rPr>
          <w:rFonts w:ascii="Calibri" w:hAnsi="Calibri"/>
          <w:noProof/>
        </w:rPr>
        <w:drawing>
          <wp:inline distT="0" distB="0" distL="0" distR="0" wp14:anchorId="63D6729E" wp14:editId="34F80612">
            <wp:extent cx="5267960" cy="1699260"/>
            <wp:effectExtent l="0" t="0" r="8890" b="0"/>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5">
                      <a:extLst>
                        <a:ext uri="{28A0092B-C50C-407E-A947-70E740481C1C}">
                          <a14:useLocalDpi xmlns:a14="http://schemas.microsoft.com/office/drawing/2010/main" val="0"/>
                        </a:ext>
                      </a:extLst>
                    </a:blip>
                    <a:srcRect/>
                    <a:stretch>
                      <a:fillRect/>
                    </a:stretch>
                  </pic:blipFill>
                  <pic:spPr bwMode="auto">
                    <a:xfrm>
                      <a:off x="0" y="0"/>
                      <a:ext cx="5293788" cy="1707591"/>
                    </a:xfrm>
                    <a:prstGeom prst="rect">
                      <a:avLst/>
                    </a:prstGeom>
                    <a:noFill/>
                  </pic:spPr>
                </pic:pic>
              </a:graphicData>
            </a:graphic>
          </wp:inline>
        </w:drawing>
      </w:r>
    </w:p>
    <w:p w:rsidR="001F417D" w:rsidRPr="0065598A" w:rsidRDefault="001F417D" w:rsidP="001F417D">
      <w:pPr>
        <w:spacing w:before="240" w:line="276" w:lineRule="auto"/>
        <w:contextualSpacing/>
        <w:jc w:val="both"/>
        <w:rPr>
          <w:rFonts w:ascii="Calibri" w:hAnsi="Calibri"/>
          <w:noProof/>
          <w:lang w:val="sq-AL"/>
        </w:rPr>
      </w:pPr>
      <w:r w:rsidRPr="0065598A">
        <w:rPr>
          <w:rFonts w:ascii="Calibri" w:hAnsi="Calibri"/>
          <w:noProof/>
          <w:lang w:val="sq-AL"/>
        </w:rPr>
        <w:t>Këto zhvillime në tregtinë e jashtme janë reflektuar dhe tek deficiti tregtar. Gjatë periudhës janar</w:t>
      </w:r>
      <w:r w:rsidR="002257B4">
        <w:rPr>
          <w:rFonts w:ascii="Calibri" w:hAnsi="Calibri"/>
          <w:noProof/>
          <w:lang w:val="sq-AL"/>
        </w:rPr>
        <w:t>-</w:t>
      </w:r>
      <w:r w:rsidRPr="0065598A">
        <w:rPr>
          <w:rFonts w:ascii="Calibri" w:hAnsi="Calibri"/>
          <w:noProof/>
          <w:lang w:val="sq-AL"/>
        </w:rPr>
        <w:t xml:space="preserve">maj 2020, bilanci tregtar u përmirёsua me rreth 14.9% krahasuar me të njëjtën periudhë të 2019, ndёrsa vetёm pёr muajin maj 2020 bilanci tregtar u përmirёsua me 25.6% krahasuar me muajin maj 2019. Deficiti tregtar i këtij muaji është 23 mld lekë, ndërsa në pesëmujorin e parë 2020, deficiti tregtar arriti vlerën rreth 117 mld lekë, duke u ulur me 14.9%, krahasuar me të njëjtën periudhë të 2019. Në tabelën e mëposhtme paraqitet bilanci tregtar për pesëmujorët ndër vite (2016-2020). </w:t>
      </w:r>
    </w:p>
    <w:p w:rsidR="001F417D" w:rsidRPr="0065598A" w:rsidRDefault="001F417D" w:rsidP="001F417D">
      <w:pPr>
        <w:keepNext/>
        <w:spacing w:before="240"/>
        <w:jc w:val="both"/>
        <w:rPr>
          <w:rFonts w:ascii="Calibri" w:hAnsi="Calibri"/>
          <w:i/>
          <w:lang w:val="sq-AL"/>
        </w:rPr>
      </w:pPr>
      <w:bookmarkStart w:id="141" w:name="_Toc44404423"/>
      <w:r w:rsidRPr="0065598A">
        <w:rPr>
          <w:rFonts w:ascii="Calibri" w:hAnsi="Calibri"/>
          <w:i/>
          <w:lang w:val="sq-AL"/>
        </w:rPr>
        <w:t xml:space="preserve">Tabela </w:t>
      </w:r>
      <w:r w:rsidRPr="0065598A">
        <w:rPr>
          <w:rFonts w:ascii="Calibri" w:hAnsi="Calibri"/>
          <w:i/>
          <w:lang w:val="sq-AL"/>
        </w:rPr>
        <w:fldChar w:fldCharType="begin"/>
      </w:r>
      <w:r w:rsidRPr="0065598A">
        <w:rPr>
          <w:rFonts w:ascii="Calibri" w:hAnsi="Calibri"/>
          <w:i/>
          <w:lang w:val="sq-AL"/>
        </w:rPr>
        <w:instrText xml:space="preserve"> SEQ Tabela \* ARABIC </w:instrText>
      </w:r>
      <w:r w:rsidRPr="0065598A">
        <w:rPr>
          <w:rFonts w:ascii="Calibri" w:hAnsi="Calibri"/>
          <w:i/>
          <w:lang w:val="sq-AL"/>
        </w:rPr>
        <w:fldChar w:fldCharType="separate"/>
      </w:r>
      <w:r w:rsidR="00C342E2">
        <w:rPr>
          <w:rFonts w:ascii="Calibri" w:hAnsi="Calibri"/>
          <w:i/>
          <w:noProof/>
          <w:lang w:val="sq-AL"/>
        </w:rPr>
        <w:t>22</w:t>
      </w:r>
      <w:r w:rsidRPr="0065598A">
        <w:rPr>
          <w:rFonts w:ascii="Calibri" w:hAnsi="Calibri"/>
          <w:i/>
          <w:lang w:val="sq-AL"/>
        </w:rPr>
        <w:fldChar w:fldCharType="end"/>
      </w:r>
      <w:r w:rsidRPr="0065598A">
        <w:rPr>
          <w:rFonts w:ascii="Calibri" w:hAnsi="Calibri"/>
          <w:i/>
          <w:lang w:val="sq-AL"/>
        </w:rPr>
        <w:t>: Bilanci tregtar, sipas kategorive kryesore.</w:t>
      </w:r>
      <w:bookmarkEnd w:id="141"/>
    </w:p>
    <w:p w:rsidR="001F417D" w:rsidRPr="0065598A" w:rsidRDefault="001F417D" w:rsidP="001F417D">
      <w:pPr>
        <w:spacing w:before="120" w:after="120" w:line="276" w:lineRule="auto"/>
        <w:jc w:val="center"/>
        <w:rPr>
          <w:rFonts w:ascii="Calibri" w:hAnsi="Calibri"/>
          <w:noProof/>
          <w:lang w:val="sq-AL"/>
        </w:rPr>
      </w:pPr>
      <w:r w:rsidRPr="0065598A">
        <w:rPr>
          <w:noProof/>
        </w:rPr>
        <w:drawing>
          <wp:inline distT="0" distB="0" distL="0" distR="0" wp14:anchorId="2A0D9EE2" wp14:editId="6794FC5F">
            <wp:extent cx="5797550" cy="1440180"/>
            <wp:effectExtent l="0" t="0" r="0" b="7620"/>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6">
                      <a:extLst>
                        <a:ext uri="{28A0092B-C50C-407E-A947-70E740481C1C}">
                          <a14:useLocalDpi xmlns:a14="http://schemas.microsoft.com/office/drawing/2010/main" val="0"/>
                        </a:ext>
                      </a:extLst>
                    </a:blip>
                    <a:srcRect/>
                    <a:stretch>
                      <a:fillRect/>
                    </a:stretch>
                  </pic:blipFill>
                  <pic:spPr bwMode="auto">
                    <a:xfrm>
                      <a:off x="0" y="0"/>
                      <a:ext cx="5798090" cy="1440314"/>
                    </a:xfrm>
                    <a:prstGeom prst="rect">
                      <a:avLst/>
                    </a:prstGeom>
                    <a:noFill/>
                    <a:ln>
                      <a:noFill/>
                    </a:ln>
                  </pic:spPr>
                </pic:pic>
              </a:graphicData>
            </a:graphic>
          </wp:inline>
        </w:drawing>
      </w:r>
    </w:p>
    <w:p w:rsidR="00AD66E2" w:rsidRDefault="00AD66E2" w:rsidP="001F417D">
      <w:pPr>
        <w:spacing w:before="120" w:after="120" w:line="276" w:lineRule="auto"/>
        <w:jc w:val="both"/>
        <w:rPr>
          <w:rFonts w:asciiTheme="minorHAnsi" w:hAnsiTheme="minorHAnsi"/>
          <w:i/>
          <w:noProof/>
          <w:lang w:val="sq-AL"/>
        </w:rPr>
      </w:pPr>
    </w:p>
    <w:p w:rsidR="00AF49E0" w:rsidRDefault="00AF49E0" w:rsidP="001F417D">
      <w:pPr>
        <w:spacing w:before="120" w:after="120" w:line="276" w:lineRule="auto"/>
        <w:jc w:val="both"/>
        <w:rPr>
          <w:rFonts w:asciiTheme="minorHAnsi" w:hAnsiTheme="minorHAnsi"/>
          <w:i/>
          <w:noProof/>
          <w:lang w:val="sq-AL"/>
        </w:rPr>
      </w:pPr>
    </w:p>
    <w:p w:rsidR="00AF49E0" w:rsidRDefault="00AF49E0" w:rsidP="001F417D">
      <w:pPr>
        <w:spacing w:before="120" w:after="120" w:line="276" w:lineRule="auto"/>
        <w:jc w:val="both"/>
        <w:rPr>
          <w:rFonts w:asciiTheme="minorHAnsi" w:hAnsiTheme="minorHAnsi"/>
          <w:i/>
          <w:noProof/>
          <w:lang w:val="sq-AL"/>
        </w:rPr>
      </w:pPr>
    </w:p>
    <w:p w:rsidR="001F417D" w:rsidRPr="004872EF" w:rsidRDefault="001F417D" w:rsidP="001F417D">
      <w:pPr>
        <w:spacing w:before="120" w:after="120" w:line="276" w:lineRule="auto"/>
        <w:jc w:val="both"/>
        <w:rPr>
          <w:rFonts w:asciiTheme="minorHAnsi" w:hAnsiTheme="minorHAnsi"/>
          <w:i/>
          <w:noProof/>
          <w:u w:val="single"/>
          <w:lang w:val="sq-AL"/>
        </w:rPr>
      </w:pPr>
      <w:r w:rsidRPr="004872EF">
        <w:rPr>
          <w:rFonts w:asciiTheme="minorHAnsi" w:hAnsiTheme="minorHAnsi"/>
          <w:i/>
          <w:noProof/>
          <w:u w:val="single"/>
          <w:lang w:val="sq-AL"/>
        </w:rPr>
        <w:lastRenderedPageBreak/>
        <w:t xml:space="preserve">Sektori monetar  </w:t>
      </w:r>
    </w:p>
    <w:p w:rsidR="001F417D" w:rsidRPr="0065598A" w:rsidRDefault="001F417D" w:rsidP="001F417D">
      <w:pPr>
        <w:spacing w:before="120" w:after="120" w:line="276" w:lineRule="auto"/>
        <w:jc w:val="both"/>
        <w:rPr>
          <w:rFonts w:asciiTheme="minorHAnsi" w:hAnsiTheme="minorHAnsi"/>
          <w:noProof/>
          <w:lang w:val="sq-AL"/>
        </w:rPr>
      </w:pPr>
      <w:r w:rsidRPr="0065598A">
        <w:rPr>
          <w:rFonts w:asciiTheme="minorHAnsi" w:hAnsiTheme="minorHAnsi"/>
          <w:lang w:val="sq-AL"/>
        </w:rPr>
        <w:t>Në muajin maj 2020 ndryshimi vjetor i indeksit të çmimeve të konsumit ishte +</w:t>
      </w:r>
      <w:r w:rsidRPr="0065598A">
        <w:rPr>
          <w:rFonts w:asciiTheme="minorHAnsi" w:hAnsiTheme="minorHAnsi"/>
          <w:b/>
          <w:lang w:val="sq-AL"/>
        </w:rPr>
        <w:t>2.1%.</w:t>
      </w:r>
      <w:r w:rsidRPr="0065598A">
        <w:rPr>
          <w:rFonts w:asciiTheme="minorHAnsi" w:hAnsiTheme="minorHAnsi"/>
          <w:lang w:val="sq-AL"/>
        </w:rPr>
        <w:t xml:space="preserve"> Ndërsa një vit më parë ndryshimi vjetor i indeksit të </w:t>
      </w:r>
      <w:r w:rsidRPr="0065598A">
        <w:rPr>
          <w:rFonts w:asciiTheme="minorHAnsi" w:hAnsiTheme="minorHAnsi"/>
          <w:bCs/>
          <w:lang w:val="sq-AL"/>
        </w:rPr>
        <w:t xml:space="preserve">çmimeve të konsumit </w:t>
      </w:r>
      <w:r w:rsidRPr="0065598A">
        <w:rPr>
          <w:rFonts w:asciiTheme="minorHAnsi" w:hAnsiTheme="minorHAnsi"/>
          <w:lang w:val="sq-AL"/>
        </w:rPr>
        <w:t xml:space="preserve">ishte </w:t>
      </w:r>
      <w:r w:rsidRPr="0065598A">
        <w:rPr>
          <w:rFonts w:asciiTheme="minorHAnsi" w:hAnsiTheme="minorHAnsi"/>
          <w:b/>
          <w:lang w:val="sq-AL"/>
        </w:rPr>
        <w:t>+1.5%.</w:t>
      </w:r>
      <w:r w:rsidRPr="0065598A">
        <w:rPr>
          <w:rFonts w:asciiTheme="minorHAnsi" w:hAnsiTheme="minorHAnsi"/>
          <w:lang w:val="sq-AL"/>
        </w:rPr>
        <w:t xml:space="preserve"> Inflacioni mesatar pёr periudhёn janar – maj 2020 ishte +</w:t>
      </w:r>
      <w:r w:rsidRPr="0065598A">
        <w:rPr>
          <w:rFonts w:asciiTheme="minorHAnsi" w:hAnsiTheme="minorHAnsi"/>
          <w:b/>
          <w:lang w:val="sq-AL"/>
        </w:rPr>
        <w:t>1.8%.</w:t>
      </w:r>
      <w:r w:rsidRPr="0065598A">
        <w:rPr>
          <w:rFonts w:asciiTheme="minorHAnsi" w:hAnsiTheme="minorHAnsi"/>
          <w:lang w:val="sq-AL"/>
        </w:rPr>
        <w:t xml:space="preserve"> </w:t>
      </w:r>
      <w:r w:rsidRPr="0065598A">
        <w:rPr>
          <w:rFonts w:asciiTheme="minorHAnsi" w:hAnsiTheme="minorHAnsi"/>
          <w:noProof/>
          <w:lang w:val="sq-AL"/>
        </w:rPr>
        <w:t>Nё grafikun më poshtë paraqitet ecuria e çmimeve për tre vitet e fundit:</w:t>
      </w:r>
    </w:p>
    <w:p w:rsidR="001F417D" w:rsidRPr="0065598A" w:rsidRDefault="001F417D" w:rsidP="001F417D">
      <w:pPr>
        <w:keepNext/>
        <w:jc w:val="both"/>
        <w:rPr>
          <w:rFonts w:asciiTheme="minorHAnsi" w:hAnsiTheme="minorHAnsi"/>
          <w:i/>
          <w:lang w:val="sq-AL"/>
        </w:rPr>
      </w:pPr>
      <w:bookmarkStart w:id="142" w:name="_Toc44404488"/>
      <w:r w:rsidRPr="0065598A">
        <w:rPr>
          <w:rFonts w:asciiTheme="minorHAnsi" w:hAnsiTheme="minorHAnsi"/>
          <w:i/>
          <w:lang w:val="sq-AL"/>
        </w:rPr>
        <w:t xml:space="preserve">Grafiku </w:t>
      </w:r>
      <w:r w:rsidRPr="0065598A">
        <w:rPr>
          <w:rFonts w:asciiTheme="minorHAnsi" w:hAnsiTheme="minorHAnsi"/>
          <w:i/>
          <w:lang w:val="sq-AL"/>
        </w:rPr>
        <w:fldChar w:fldCharType="begin"/>
      </w:r>
      <w:r w:rsidRPr="0065598A">
        <w:rPr>
          <w:rFonts w:asciiTheme="minorHAnsi" w:hAnsiTheme="minorHAnsi"/>
          <w:i/>
          <w:lang w:val="sq-AL"/>
        </w:rPr>
        <w:instrText xml:space="preserve"> SEQ Grafiku \* ARABIC </w:instrText>
      </w:r>
      <w:r w:rsidRPr="0065598A">
        <w:rPr>
          <w:rFonts w:asciiTheme="minorHAnsi" w:hAnsiTheme="minorHAnsi"/>
          <w:i/>
          <w:lang w:val="sq-AL"/>
        </w:rPr>
        <w:fldChar w:fldCharType="separate"/>
      </w:r>
      <w:r w:rsidR="00C342E2">
        <w:rPr>
          <w:rFonts w:asciiTheme="minorHAnsi" w:hAnsiTheme="minorHAnsi"/>
          <w:i/>
          <w:noProof/>
          <w:lang w:val="sq-AL"/>
        </w:rPr>
        <w:t>48</w:t>
      </w:r>
      <w:r w:rsidRPr="0065598A">
        <w:rPr>
          <w:rFonts w:asciiTheme="minorHAnsi" w:hAnsiTheme="minorHAnsi"/>
          <w:i/>
          <w:lang w:val="sq-AL"/>
        </w:rPr>
        <w:fldChar w:fldCharType="end"/>
      </w:r>
      <w:r w:rsidRPr="0065598A">
        <w:rPr>
          <w:rFonts w:asciiTheme="minorHAnsi" w:hAnsiTheme="minorHAnsi"/>
          <w:i/>
          <w:lang w:val="sq-AL"/>
        </w:rPr>
        <w:t>: Ndryshimi vjetor i Inflacionit, në përqindje</w:t>
      </w:r>
      <w:bookmarkEnd w:id="142"/>
    </w:p>
    <w:p w:rsidR="001F417D" w:rsidRPr="0065598A" w:rsidRDefault="001F417D" w:rsidP="002257B4">
      <w:pPr>
        <w:spacing w:line="276" w:lineRule="auto"/>
        <w:jc w:val="center"/>
        <w:rPr>
          <w:rFonts w:ascii="Calibri" w:hAnsi="Calibri"/>
          <w:noProof/>
          <w:lang w:val="sq-AL"/>
        </w:rPr>
      </w:pPr>
      <w:r w:rsidRPr="0065598A">
        <w:rPr>
          <w:noProof/>
        </w:rPr>
        <w:drawing>
          <wp:inline distT="0" distB="0" distL="0" distR="0" wp14:anchorId="59A2B229" wp14:editId="5199AD14">
            <wp:extent cx="5800724" cy="2133600"/>
            <wp:effectExtent l="0" t="0" r="0" b="0"/>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7">
                      <a:extLst>
                        <a:ext uri="{28A0092B-C50C-407E-A947-70E740481C1C}">
                          <a14:useLocalDpi xmlns:a14="http://schemas.microsoft.com/office/drawing/2010/main" val="0"/>
                        </a:ext>
                      </a:extLst>
                    </a:blip>
                    <a:srcRect/>
                    <a:stretch>
                      <a:fillRect/>
                    </a:stretch>
                  </pic:blipFill>
                  <pic:spPr bwMode="auto">
                    <a:xfrm>
                      <a:off x="0" y="0"/>
                      <a:ext cx="5842940" cy="2149128"/>
                    </a:xfrm>
                    <a:prstGeom prst="rect">
                      <a:avLst/>
                    </a:prstGeom>
                    <a:noFill/>
                    <a:ln>
                      <a:noFill/>
                    </a:ln>
                  </pic:spPr>
                </pic:pic>
              </a:graphicData>
            </a:graphic>
          </wp:inline>
        </w:drawing>
      </w:r>
    </w:p>
    <w:p w:rsidR="001F417D" w:rsidRDefault="001F417D" w:rsidP="002257B4">
      <w:pPr>
        <w:spacing w:line="276" w:lineRule="auto"/>
        <w:jc w:val="both"/>
        <w:rPr>
          <w:rFonts w:ascii="Calibri" w:hAnsi="Calibri"/>
          <w:noProof/>
          <w:lang w:val="sq-AL"/>
        </w:rPr>
      </w:pPr>
      <w:r w:rsidRPr="0065598A">
        <w:rPr>
          <w:rFonts w:ascii="Calibri" w:hAnsi="Calibri"/>
          <w:noProof/>
          <w:lang w:val="sq-AL"/>
        </w:rPr>
        <w:t>Pёrgjatё kёsaj periudhe, nga tërësia e mallrave dhe shërbimeve që përbëjnë shportën e konsumit, kontributin mё tё lartё nё inflacionin e pёrgjithshёm e ka pasur zёri i ushqimeve dhe pije jo alkolike. Në tabelën e mëposhtme mund të vihen re kontributet dhe rritjet respektive në çmime për çdo grup mallrash pёr muajin maj 2020.</w:t>
      </w:r>
    </w:p>
    <w:p w:rsidR="002257B4" w:rsidRPr="002257B4" w:rsidRDefault="002257B4" w:rsidP="002257B4">
      <w:pPr>
        <w:spacing w:line="276" w:lineRule="auto"/>
        <w:jc w:val="both"/>
        <w:rPr>
          <w:rFonts w:ascii="Calibri" w:hAnsi="Calibri"/>
          <w:noProof/>
          <w:sz w:val="8"/>
          <w:szCs w:val="8"/>
          <w:lang w:val="sq-AL"/>
        </w:rPr>
      </w:pPr>
    </w:p>
    <w:p w:rsidR="001F417D" w:rsidRPr="0065598A" w:rsidRDefault="001F417D" w:rsidP="002257B4">
      <w:pPr>
        <w:keepNext/>
        <w:jc w:val="both"/>
        <w:rPr>
          <w:rFonts w:ascii="Calibri" w:hAnsi="Calibri"/>
          <w:i/>
          <w:lang w:val="sq-AL"/>
        </w:rPr>
      </w:pPr>
      <w:bookmarkStart w:id="143" w:name="_Toc44404424"/>
      <w:r w:rsidRPr="0065598A">
        <w:rPr>
          <w:rFonts w:ascii="Calibri" w:hAnsi="Calibri"/>
          <w:i/>
          <w:lang w:val="sq-AL"/>
        </w:rPr>
        <w:t xml:space="preserve">Tabela </w:t>
      </w:r>
      <w:r w:rsidRPr="0065598A">
        <w:rPr>
          <w:rFonts w:ascii="Calibri" w:hAnsi="Calibri"/>
          <w:i/>
          <w:lang w:val="sq-AL"/>
        </w:rPr>
        <w:fldChar w:fldCharType="begin"/>
      </w:r>
      <w:r w:rsidRPr="0065598A">
        <w:rPr>
          <w:rFonts w:ascii="Calibri" w:hAnsi="Calibri"/>
          <w:i/>
          <w:lang w:val="sq-AL"/>
        </w:rPr>
        <w:instrText xml:space="preserve"> SEQ Tabela \* ARABIC </w:instrText>
      </w:r>
      <w:r w:rsidRPr="0065598A">
        <w:rPr>
          <w:rFonts w:ascii="Calibri" w:hAnsi="Calibri"/>
          <w:i/>
          <w:lang w:val="sq-AL"/>
        </w:rPr>
        <w:fldChar w:fldCharType="separate"/>
      </w:r>
      <w:r w:rsidR="00C342E2">
        <w:rPr>
          <w:rFonts w:ascii="Calibri" w:hAnsi="Calibri"/>
          <w:i/>
          <w:noProof/>
          <w:lang w:val="sq-AL"/>
        </w:rPr>
        <w:t>23</w:t>
      </w:r>
      <w:r w:rsidRPr="0065598A">
        <w:rPr>
          <w:rFonts w:ascii="Calibri" w:hAnsi="Calibri"/>
          <w:i/>
          <w:lang w:val="sq-AL"/>
        </w:rPr>
        <w:fldChar w:fldCharType="end"/>
      </w:r>
      <w:r w:rsidRPr="0065598A">
        <w:rPr>
          <w:rFonts w:ascii="Calibri" w:hAnsi="Calibri"/>
          <w:i/>
          <w:lang w:val="sq-AL"/>
        </w:rPr>
        <w:t>: Rritja vjetore e çmimeve, në përqindje</w:t>
      </w:r>
      <w:bookmarkEnd w:id="143"/>
    </w:p>
    <w:p w:rsidR="001F417D" w:rsidRPr="0065598A" w:rsidRDefault="001F417D" w:rsidP="001F417D">
      <w:pPr>
        <w:spacing w:before="120" w:after="120" w:line="276" w:lineRule="auto"/>
        <w:jc w:val="center"/>
        <w:rPr>
          <w:rFonts w:ascii="Calibri" w:hAnsi="Calibri"/>
          <w:noProof/>
          <w:lang w:val="sq-AL"/>
        </w:rPr>
      </w:pPr>
      <w:r w:rsidRPr="0065598A">
        <w:rPr>
          <w:noProof/>
        </w:rPr>
        <w:drawing>
          <wp:inline distT="0" distB="0" distL="0" distR="0" wp14:anchorId="0F91BE79" wp14:editId="6544D224">
            <wp:extent cx="5343525" cy="1943100"/>
            <wp:effectExtent l="0" t="0" r="9525" b="0"/>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8">
                      <a:extLst>
                        <a:ext uri="{28A0092B-C50C-407E-A947-70E740481C1C}">
                          <a14:useLocalDpi xmlns:a14="http://schemas.microsoft.com/office/drawing/2010/main" val="0"/>
                        </a:ext>
                      </a:extLst>
                    </a:blip>
                    <a:srcRect/>
                    <a:stretch>
                      <a:fillRect/>
                    </a:stretch>
                  </pic:blipFill>
                  <pic:spPr bwMode="auto">
                    <a:xfrm>
                      <a:off x="0" y="0"/>
                      <a:ext cx="5357889" cy="1948323"/>
                    </a:xfrm>
                    <a:prstGeom prst="rect">
                      <a:avLst/>
                    </a:prstGeom>
                    <a:noFill/>
                    <a:ln>
                      <a:noFill/>
                    </a:ln>
                  </pic:spPr>
                </pic:pic>
              </a:graphicData>
            </a:graphic>
          </wp:inline>
        </w:drawing>
      </w:r>
      <w:r w:rsidRPr="0065598A">
        <w:rPr>
          <w:lang w:val="sq-AL"/>
        </w:rPr>
        <w:t xml:space="preserve"> </w:t>
      </w:r>
    </w:p>
    <w:p w:rsidR="001F417D" w:rsidRPr="007030D4" w:rsidRDefault="001F417D" w:rsidP="002257B4">
      <w:pPr>
        <w:spacing w:line="276" w:lineRule="auto"/>
        <w:jc w:val="both"/>
        <w:rPr>
          <w:rFonts w:asciiTheme="minorHAnsi" w:hAnsiTheme="minorHAnsi"/>
          <w:noProof/>
          <w:lang w:val="sq-AL"/>
        </w:rPr>
      </w:pPr>
      <w:r w:rsidRPr="007030D4">
        <w:rPr>
          <w:rFonts w:asciiTheme="minorHAnsi" w:hAnsiTheme="minorHAnsi"/>
          <w:noProof/>
          <w:lang w:val="sq-AL"/>
        </w:rPr>
        <w:t xml:space="preserve">Rezultatet e Vrojtimit të Aktivitetit Kreditues për tremujorin e parë të vitit 2020 tregojnë se standardet e kredisë janë shtrënguar </w:t>
      </w:r>
      <w:r w:rsidRPr="007030D4">
        <w:rPr>
          <w:rFonts w:asciiTheme="minorHAnsi" w:hAnsiTheme="minorHAnsi"/>
          <w:lang w:val="sq-AL"/>
        </w:rPr>
        <w:t>si në kreditë dhënë bizneseve për financimin e investimeve apo mbulimin e nevojave për likuiditet, ashtu edhe në ato akorduar individëve me qëllim blerjen e banesave apo financimin e konsumit</w:t>
      </w:r>
      <w:r w:rsidRPr="007030D4">
        <w:rPr>
          <w:rFonts w:asciiTheme="minorHAnsi" w:hAnsiTheme="minorHAnsi"/>
          <w:noProof/>
          <w:lang w:val="sq-AL"/>
        </w:rPr>
        <w:t xml:space="preserve">. Bankat raportuan për një shtrëngim të standardeve për kredinë dhënë bizneseve gjatë tremujorit të parë të 2020 në nivelin -2.4%, krahasuar nga një lehtësim në nivelin 6.1% në tremujorin e katërt të vitit 2019. Ndërkohë, bankat raportuan për një shtrëngim të standardeve për kredinë drejt individëve gjatë tremujorit të parë të vitit 2020 në nivelin -12.4%, krahasuar me një lehtësim në nivelin 4.9% të shënuar në tremujorin e katërt të vitit 2019. Kërkesa për kredi e bizneseve në tremujorin e parë të vitit 2020 është raportuar më e ulët si në segmentin e ndërmarrjeve të vogla dhe të mesme, ashtu edhe për ndërmarrjet e mëdha. Gjithashtu, edhe kërkesa e individëve për kredi ka rezultuar në rënie në të dyja segmentet, si për </w:t>
      </w:r>
      <w:r w:rsidRPr="007030D4">
        <w:rPr>
          <w:rFonts w:asciiTheme="minorHAnsi" w:hAnsiTheme="minorHAnsi"/>
          <w:noProof/>
          <w:lang w:val="sq-AL"/>
        </w:rPr>
        <w:lastRenderedPageBreak/>
        <w:t xml:space="preserve">kredinë konsumatore, ashtu edhe për kredinë hipotekore. Për bizneset, bankat raportuan se përgjatë tremujorit të parë të vitit 2020 kërkesa për kredi e SME-ve dhe korporatave u zvogëlua përkatësisht me -33.6% dhe me -26.8%. Për individët, bankat raportuan se përgjatë tremujorit të parë kërkesa për kredi për shtëpi shënoi një rënie prej -55.2%, nga një rënie prej -13% të shënuar në tremujorin e katërt të vitit 2019. Ndërkohë, për kredinë e individëve për konsum u raportua një rënie prej -56.9%, nga niveli prej -16.1% që u shënua në tremujorin e mëparshëm. </w:t>
      </w:r>
    </w:p>
    <w:p w:rsidR="001F417D" w:rsidRPr="007030D4" w:rsidRDefault="001F417D" w:rsidP="002257B4">
      <w:pPr>
        <w:spacing w:line="276" w:lineRule="auto"/>
        <w:jc w:val="both"/>
        <w:rPr>
          <w:rFonts w:asciiTheme="minorHAnsi" w:hAnsiTheme="minorHAnsi"/>
          <w:noProof/>
          <w:lang w:val="sq-AL"/>
        </w:rPr>
      </w:pPr>
      <w:r w:rsidRPr="007030D4">
        <w:rPr>
          <w:rFonts w:asciiTheme="minorHAnsi" w:hAnsiTheme="minorHAnsi"/>
          <w:noProof/>
          <w:lang w:val="sq-AL"/>
        </w:rPr>
        <w:t>Referuar tё dhёnave tё deritanishme, gjatë muajit prill të vitit 2020 stoku total i depozitave bankare ka shënuar rritje me 4.3% krahasuar me prillin e vitit 2019. Stoku total i depozitave në Lekë pësoi rritje me 5.1%, ndërsa ai në valutë është rritur me 3.7% krahasuar me të njëjtin muaj të vitit 2019. Në Prill 2020 rezulton se rreth 46.3% e totalit të stokut të depozitave përbëhet nga depozitat në Lekë, ndërsa pjesa tjetër prej 53.7% përbëhet nga depozitimet në valutë të huaj. Stoku total i depozitave vetëm për muajin Prill 2020 shënoi rënie me 30.0 miliardë Lekë kundrejt muajit paraardhës (Mars 2020). Stoku total i depozitave të bizneseve në muajin Prill të vitit 2020 shënoi rënie prej -0.2% krahasuar me Prillin e vitit 2019, ndërsa stoku total i depozitave të individëve ka shënuar rritje prej 4.4% krahasuar me të njëjtin muaj të një viti më parë.</w:t>
      </w:r>
    </w:p>
    <w:p w:rsidR="002257B4" w:rsidRPr="002257B4" w:rsidRDefault="002257B4" w:rsidP="002257B4">
      <w:pPr>
        <w:keepNext/>
        <w:jc w:val="both"/>
        <w:rPr>
          <w:rFonts w:ascii="Calibri" w:hAnsi="Calibri"/>
          <w:i/>
          <w:sz w:val="8"/>
          <w:szCs w:val="8"/>
          <w:lang w:val="sq-AL"/>
        </w:rPr>
      </w:pPr>
    </w:p>
    <w:p w:rsidR="001F417D" w:rsidRPr="0065598A" w:rsidRDefault="001F417D" w:rsidP="002257B4">
      <w:pPr>
        <w:keepNext/>
        <w:jc w:val="both"/>
        <w:rPr>
          <w:rFonts w:ascii="Calibri" w:hAnsi="Calibri"/>
          <w:i/>
          <w:lang w:val="sq-AL"/>
        </w:rPr>
      </w:pPr>
      <w:bookmarkStart w:id="144" w:name="_Toc44404489"/>
      <w:r w:rsidRPr="0065598A">
        <w:rPr>
          <w:rFonts w:ascii="Calibri" w:hAnsi="Calibri"/>
          <w:i/>
          <w:lang w:val="sq-AL"/>
        </w:rPr>
        <w:t xml:space="preserve">Grafiku </w:t>
      </w:r>
      <w:r w:rsidRPr="0065598A">
        <w:rPr>
          <w:rFonts w:ascii="Calibri" w:hAnsi="Calibri"/>
          <w:i/>
          <w:lang w:val="sq-AL"/>
        </w:rPr>
        <w:fldChar w:fldCharType="begin"/>
      </w:r>
      <w:r w:rsidRPr="0065598A">
        <w:rPr>
          <w:rFonts w:ascii="Calibri" w:hAnsi="Calibri"/>
          <w:i/>
          <w:lang w:val="sq-AL"/>
        </w:rPr>
        <w:instrText xml:space="preserve"> SEQ Grafiku \* ARABIC </w:instrText>
      </w:r>
      <w:r w:rsidRPr="0065598A">
        <w:rPr>
          <w:rFonts w:ascii="Calibri" w:hAnsi="Calibri"/>
          <w:i/>
          <w:lang w:val="sq-AL"/>
        </w:rPr>
        <w:fldChar w:fldCharType="separate"/>
      </w:r>
      <w:r w:rsidR="00C342E2">
        <w:rPr>
          <w:rFonts w:ascii="Calibri" w:hAnsi="Calibri"/>
          <w:i/>
          <w:noProof/>
          <w:lang w:val="sq-AL"/>
        </w:rPr>
        <w:t>49</w:t>
      </w:r>
      <w:r w:rsidRPr="0065598A">
        <w:rPr>
          <w:rFonts w:ascii="Calibri" w:hAnsi="Calibri"/>
          <w:i/>
          <w:lang w:val="sq-AL"/>
        </w:rPr>
        <w:fldChar w:fldCharType="end"/>
      </w:r>
      <w:r w:rsidRPr="0065598A">
        <w:rPr>
          <w:rFonts w:ascii="Calibri" w:hAnsi="Calibri"/>
          <w:i/>
          <w:lang w:val="sq-AL"/>
        </w:rPr>
        <w:t>: Ecuria e stokut të depozitave 2019-2020, në përqindje</w:t>
      </w:r>
      <w:bookmarkEnd w:id="144"/>
    </w:p>
    <w:p w:rsidR="001F417D" w:rsidRPr="0065598A" w:rsidRDefault="001F417D" w:rsidP="001F417D">
      <w:pPr>
        <w:spacing w:line="276" w:lineRule="auto"/>
        <w:jc w:val="center"/>
        <w:rPr>
          <w:rFonts w:ascii="Calibri" w:hAnsi="Calibri"/>
          <w:noProof/>
          <w:lang w:val="sq-AL"/>
        </w:rPr>
      </w:pPr>
      <w:r w:rsidRPr="0065598A">
        <w:rPr>
          <w:noProof/>
        </w:rPr>
        <w:drawing>
          <wp:inline distT="0" distB="0" distL="0" distR="0" wp14:anchorId="1C3E9309" wp14:editId="279B7F96">
            <wp:extent cx="5391149" cy="2000250"/>
            <wp:effectExtent l="0" t="0" r="635" b="0"/>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9">
                      <a:extLst>
                        <a:ext uri="{28A0092B-C50C-407E-A947-70E740481C1C}">
                          <a14:useLocalDpi xmlns:a14="http://schemas.microsoft.com/office/drawing/2010/main" val="0"/>
                        </a:ext>
                      </a:extLst>
                    </a:blip>
                    <a:srcRect/>
                    <a:stretch>
                      <a:fillRect/>
                    </a:stretch>
                  </pic:blipFill>
                  <pic:spPr bwMode="auto">
                    <a:xfrm>
                      <a:off x="0" y="0"/>
                      <a:ext cx="5420843" cy="2011267"/>
                    </a:xfrm>
                    <a:prstGeom prst="rect">
                      <a:avLst/>
                    </a:prstGeom>
                    <a:noFill/>
                    <a:ln>
                      <a:noFill/>
                    </a:ln>
                  </pic:spPr>
                </pic:pic>
              </a:graphicData>
            </a:graphic>
          </wp:inline>
        </w:drawing>
      </w:r>
    </w:p>
    <w:p w:rsidR="001F417D" w:rsidRPr="007030D4" w:rsidRDefault="001F417D" w:rsidP="002257B4">
      <w:pPr>
        <w:spacing w:line="276" w:lineRule="auto"/>
        <w:jc w:val="both"/>
        <w:rPr>
          <w:rFonts w:asciiTheme="minorHAnsi" w:hAnsiTheme="minorHAnsi"/>
          <w:noProof/>
          <w:lang w:val="sq-AL"/>
        </w:rPr>
      </w:pPr>
      <w:r w:rsidRPr="007030D4">
        <w:rPr>
          <w:rFonts w:asciiTheme="minorHAnsi" w:hAnsiTheme="minorHAnsi"/>
          <w:noProof/>
          <w:lang w:val="sq-AL"/>
        </w:rPr>
        <w:t>Referuar të dhënave të deritanishme, gjatë muajit prill të vitit 2020, stoku total i kredive bankare pati një rritje me 5.9%, krahasuar me muajin prill të vitit 2019. Stoku i kredive në lekë shënoi një rritje prej 8.5%, ndërsa ai në valutë rritje prej 3.4%, krahasuar me muajin prill të vitit të kaluar.</w:t>
      </w:r>
      <w:r w:rsidR="002257B4" w:rsidRPr="007030D4">
        <w:rPr>
          <w:rFonts w:asciiTheme="minorHAnsi" w:hAnsiTheme="minorHAnsi"/>
          <w:noProof/>
          <w:lang w:val="sq-AL"/>
        </w:rPr>
        <w:t xml:space="preserve"> </w:t>
      </w:r>
      <w:r w:rsidRPr="007030D4">
        <w:rPr>
          <w:rFonts w:asciiTheme="minorHAnsi" w:hAnsiTheme="minorHAnsi"/>
          <w:noProof/>
          <w:lang w:val="sq-AL"/>
        </w:rPr>
        <w:t xml:space="preserve">Stoku i kredive akorduar bizneseve jo-financiare (private dhe publike) për muajin prill 2020 shënoi një rritje me 5.2%. Kredia vetëm për bizneset </w:t>
      </w:r>
      <w:r w:rsidRPr="007030D4">
        <w:rPr>
          <w:rFonts w:asciiTheme="minorHAnsi" w:hAnsiTheme="minorHAnsi"/>
          <w:i/>
          <w:noProof/>
          <w:lang w:val="sq-AL"/>
        </w:rPr>
        <w:t>private</w:t>
      </w:r>
      <w:r w:rsidRPr="007030D4">
        <w:rPr>
          <w:rFonts w:asciiTheme="minorHAnsi" w:hAnsiTheme="minorHAnsi"/>
          <w:noProof/>
          <w:lang w:val="sq-AL"/>
        </w:rPr>
        <w:t xml:space="preserve"> jo-financiare u rrit me 6.4%, duke kontribuar pozitivisht me 2.2 pikë përqindje në ndryshimin e stokut total të kredisë. Ndërsa, stoku i kredive akorduar bizneseve </w:t>
      </w:r>
      <w:r w:rsidRPr="007030D4">
        <w:rPr>
          <w:rFonts w:asciiTheme="minorHAnsi" w:hAnsiTheme="minorHAnsi"/>
          <w:i/>
          <w:noProof/>
          <w:lang w:val="sq-AL"/>
        </w:rPr>
        <w:t>publike</w:t>
      </w:r>
      <w:r w:rsidRPr="007030D4">
        <w:rPr>
          <w:rFonts w:asciiTheme="minorHAnsi" w:hAnsiTheme="minorHAnsi"/>
          <w:noProof/>
          <w:lang w:val="sq-AL"/>
        </w:rPr>
        <w:t xml:space="preserve"> jo-financiare për muajin prill të vitit 2020 ka shënuar rënie me 12.8%, krahasuar me prillin e vitit 2019, me kontribut negativ prej 0.5 pikë përqindje. Në prill 2020 rezulton se rreth 51.4% e totalit të stokut të kredive përbëhet nga kreditë në Lekë, ndërsa pjesa tjetër prej 48.6% përbëhet nga kreditë në valutë. </w:t>
      </w:r>
    </w:p>
    <w:p w:rsidR="000972C6" w:rsidRPr="000972C6" w:rsidRDefault="000972C6" w:rsidP="002257B4">
      <w:pPr>
        <w:keepNext/>
        <w:jc w:val="both"/>
        <w:rPr>
          <w:rFonts w:ascii="Calibri" w:hAnsi="Calibri"/>
          <w:i/>
          <w:sz w:val="8"/>
          <w:szCs w:val="8"/>
          <w:lang w:val="sq-AL"/>
        </w:rPr>
      </w:pPr>
    </w:p>
    <w:p w:rsidR="001F417D" w:rsidRPr="0065598A" w:rsidRDefault="001F417D" w:rsidP="002257B4">
      <w:pPr>
        <w:keepNext/>
        <w:jc w:val="both"/>
        <w:rPr>
          <w:rFonts w:ascii="Calibri" w:hAnsi="Calibri"/>
          <w:i/>
          <w:lang w:val="sq-AL"/>
        </w:rPr>
      </w:pPr>
      <w:bookmarkStart w:id="145" w:name="_Toc44404425"/>
      <w:r w:rsidRPr="0065598A">
        <w:rPr>
          <w:rFonts w:ascii="Calibri" w:hAnsi="Calibri"/>
          <w:i/>
          <w:lang w:val="sq-AL"/>
        </w:rPr>
        <w:t xml:space="preserve">Tabela </w:t>
      </w:r>
      <w:r w:rsidRPr="0065598A">
        <w:rPr>
          <w:rFonts w:ascii="Calibri" w:hAnsi="Calibri"/>
          <w:i/>
          <w:lang w:val="sq-AL"/>
        </w:rPr>
        <w:fldChar w:fldCharType="begin"/>
      </w:r>
      <w:r w:rsidRPr="0065598A">
        <w:rPr>
          <w:rFonts w:ascii="Calibri" w:hAnsi="Calibri"/>
          <w:i/>
          <w:lang w:val="sq-AL"/>
        </w:rPr>
        <w:instrText xml:space="preserve"> SEQ Tabela \* ARABIC </w:instrText>
      </w:r>
      <w:r w:rsidRPr="0065598A">
        <w:rPr>
          <w:rFonts w:ascii="Calibri" w:hAnsi="Calibri"/>
          <w:i/>
          <w:lang w:val="sq-AL"/>
        </w:rPr>
        <w:fldChar w:fldCharType="separate"/>
      </w:r>
      <w:r w:rsidR="00C342E2">
        <w:rPr>
          <w:rFonts w:ascii="Calibri" w:hAnsi="Calibri"/>
          <w:i/>
          <w:noProof/>
          <w:lang w:val="sq-AL"/>
        </w:rPr>
        <w:t>24</w:t>
      </w:r>
      <w:r w:rsidRPr="0065598A">
        <w:rPr>
          <w:rFonts w:ascii="Calibri" w:hAnsi="Calibri"/>
          <w:i/>
          <w:lang w:val="sq-AL"/>
        </w:rPr>
        <w:fldChar w:fldCharType="end"/>
      </w:r>
      <w:r w:rsidRPr="0065598A">
        <w:rPr>
          <w:rFonts w:ascii="Calibri" w:hAnsi="Calibri"/>
          <w:i/>
          <w:lang w:val="sq-AL"/>
        </w:rPr>
        <w:t>: Ecuria e kredisë për bizneset dhe individët, në përqindje</w:t>
      </w:r>
      <w:bookmarkEnd w:id="145"/>
    </w:p>
    <w:p w:rsidR="002257B4" w:rsidRDefault="001F417D" w:rsidP="002257B4">
      <w:pPr>
        <w:spacing w:line="276" w:lineRule="auto"/>
        <w:jc w:val="center"/>
        <w:rPr>
          <w:rFonts w:ascii="Calibri" w:hAnsi="Calibri"/>
          <w:noProof/>
          <w:lang w:val="sq-AL"/>
        </w:rPr>
      </w:pPr>
      <w:r w:rsidRPr="0065598A">
        <w:rPr>
          <w:noProof/>
        </w:rPr>
        <w:drawing>
          <wp:inline distT="0" distB="0" distL="0" distR="0" wp14:anchorId="137A63A1" wp14:editId="594CCB90">
            <wp:extent cx="5934072" cy="923925"/>
            <wp:effectExtent l="0" t="0" r="0" b="0"/>
            <wp:docPr id="52"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0">
                      <a:extLst>
                        <a:ext uri="{28A0092B-C50C-407E-A947-70E740481C1C}">
                          <a14:useLocalDpi xmlns:a14="http://schemas.microsoft.com/office/drawing/2010/main" val="0"/>
                        </a:ext>
                      </a:extLst>
                    </a:blip>
                    <a:srcRect/>
                    <a:stretch>
                      <a:fillRect/>
                    </a:stretch>
                  </pic:blipFill>
                  <pic:spPr bwMode="auto">
                    <a:xfrm>
                      <a:off x="0" y="0"/>
                      <a:ext cx="5948296" cy="926140"/>
                    </a:xfrm>
                    <a:prstGeom prst="rect">
                      <a:avLst/>
                    </a:prstGeom>
                    <a:noFill/>
                    <a:ln>
                      <a:noFill/>
                    </a:ln>
                  </pic:spPr>
                </pic:pic>
              </a:graphicData>
            </a:graphic>
          </wp:inline>
        </w:drawing>
      </w:r>
    </w:p>
    <w:p w:rsidR="002257B4" w:rsidRPr="000972C6" w:rsidRDefault="002257B4" w:rsidP="002257B4">
      <w:pPr>
        <w:spacing w:line="276" w:lineRule="auto"/>
        <w:jc w:val="both"/>
        <w:rPr>
          <w:rFonts w:ascii="Calibri" w:hAnsi="Calibri"/>
          <w:noProof/>
          <w:sz w:val="8"/>
          <w:lang w:val="sq-AL"/>
        </w:rPr>
      </w:pPr>
    </w:p>
    <w:p w:rsidR="000972C6" w:rsidRDefault="001F417D" w:rsidP="000972C6">
      <w:pPr>
        <w:spacing w:line="276" w:lineRule="auto"/>
        <w:jc w:val="both"/>
        <w:rPr>
          <w:noProof/>
          <w:lang w:val="sq-AL"/>
        </w:rPr>
      </w:pPr>
      <w:r w:rsidRPr="0065598A">
        <w:rPr>
          <w:rFonts w:ascii="Calibri" w:hAnsi="Calibri"/>
          <w:noProof/>
          <w:lang w:val="sq-AL"/>
        </w:rPr>
        <w:lastRenderedPageBreak/>
        <w:t xml:space="preserve">Gjatë muajit prill të vitit 2020, sasia e re e kredisë së dhënë nga sistemi bankar në Lek shënoi rritje me 95.5% kundrejt muajit paraardhës (mars) dhe një rritje me 1.5% kundrejt të njëjtit muaj të një viti më parë (prill 2019). Ndërkohë, sasia e re e kredisë së dhënë në Euro u rrit me 12.5% krahasuar me një muaj më parë (mars 2020), dhe ra me 28%, krahasuar me të njëjtin muaj të një viti më parë (prill 2019). </w:t>
      </w:r>
      <w:r w:rsidRPr="0065598A">
        <w:rPr>
          <w:noProof/>
          <w:lang w:val="sq-AL"/>
        </w:rPr>
        <w:t>Niveli i kredive me probleme ndaj totalit të kredive në fund të muajit prill 2020 arriti në 8.28%.</w:t>
      </w:r>
    </w:p>
    <w:p w:rsidR="004872EF" w:rsidRDefault="004872EF" w:rsidP="000972C6">
      <w:pPr>
        <w:spacing w:line="276" w:lineRule="auto"/>
        <w:jc w:val="both"/>
        <w:rPr>
          <w:rFonts w:ascii="Calibri" w:hAnsi="Calibri"/>
          <w:noProof/>
          <w:lang w:val="sq-AL"/>
        </w:rPr>
      </w:pPr>
    </w:p>
    <w:p w:rsidR="001F417D" w:rsidRPr="000972C6" w:rsidRDefault="001F417D" w:rsidP="000972C6">
      <w:pPr>
        <w:spacing w:line="276" w:lineRule="auto"/>
        <w:jc w:val="both"/>
        <w:rPr>
          <w:rFonts w:ascii="Calibri" w:hAnsi="Calibri"/>
          <w:noProof/>
          <w:lang w:val="sq-AL"/>
        </w:rPr>
      </w:pPr>
      <w:bookmarkStart w:id="146" w:name="_Toc44404426"/>
      <w:r w:rsidRPr="0065598A">
        <w:rPr>
          <w:rFonts w:ascii="Calibri" w:hAnsi="Calibri"/>
          <w:i/>
          <w:lang w:val="sq-AL"/>
        </w:rPr>
        <w:t xml:space="preserve">Tabela </w:t>
      </w:r>
      <w:r w:rsidRPr="0065598A">
        <w:rPr>
          <w:rFonts w:ascii="Calibri" w:hAnsi="Calibri"/>
          <w:i/>
          <w:lang w:val="sq-AL"/>
        </w:rPr>
        <w:fldChar w:fldCharType="begin"/>
      </w:r>
      <w:r w:rsidRPr="0065598A">
        <w:rPr>
          <w:rFonts w:ascii="Calibri" w:hAnsi="Calibri"/>
          <w:i/>
          <w:lang w:val="sq-AL"/>
        </w:rPr>
        <w:instrText xml:space="preserve"> SEQ Tabela \* ARABIC </w:instrText>
      </w:r>
      <w:r w:rsidRPr="0065598A">
        <w:rPr>
          <w:rFonts w:ascii="Calibri" w:hAnsi="Calibri"/>
          <w:i/>
          <w:lang w:val="sq-AL"/>
        </w:rPr>
        <w:fldChar w:fldCharType="separate"/>
      </w:r>
      <w:r w:rsidR="00C342E2">
        <w:rPr>
          <w:rFonts w:ascii="Calibri" w:hAnsi="Calibri"/>
          <w:i/>
          <w:noProof/>
          <w:lang w:val="sq-AL"/>
        </w:rPr>
        <w:t>25</w:t>
      </w:r>
      <w:r w:rsidRPr="0065598A">
        <w:rPr>
          <w:rFonts w:ascii="Calibri" w:hAnsi="Calibri"/>
          <w:i/>
          <w:lang w:val="sq-AL"/>
        </w:rPr>
        <w:fldChar w:fldCharType="end"/>
      </w:r>
      <w:r w:rsidRPr="0065598A">
        <w:rPr>
          <w:rFonts w:ascii="Calibri" w:hAnsi="Calibri"/>
          <w:i/>
          <w:lang w:val="sq-AL"/>
        </w:rPr>
        <w:t>: Ecuria e kredive të këqija, në përqindje</w:t>
      </w:r>
      <w:bookmarkEnd w:id="146"/>
    </w:p>
    <w:p w:rsidR="001F417D" w:rsidRPr="0065598A" w:rsidRDefault="001F417D" w:rsidP="000972C6">
      <w:pPr>
        <w:spacing w:line="276" w:lineRule="auto"/>
        <w:jc w:val="center"/>
        <w:rPr>
          <w:rFonts w:ascii="Calibri" w:hAnsi="Calibri"/>
          <w:noProof/>
          <w:lang w:val="sq-AL"/>
        </w:rPr>
      </w:pPr>
      <w:r w:rsidRPr="0065598A">
        <w:rPr>
          <w:noProof/>
        </w:rPr>
        <w:drawing>
          <wp:inline distT="0" distB="0" distL="0" distR="0" wp14:anchorId="722A365D" wp14:editId="587492EE">
            <wp:extent cx="5942965" cy="491705"/>
            <wp:effectExtent l="0" t="0" r="635" b="3810"/>
            <wp:docPr id="59"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1">
                      <a:extLst>
                        <a:ext uri="{28A0092B-C50C-407E-A947-70E740481C1C}">
                          <a14:useLocalDpi xmlns:a14="http://schemas.microsoft.com/office/drawing/2010/main" val="0"/>
                        </a:ext>
                      </a:extLst>
                    </a:blip>
                    <a:srcRect/>
                    <a:stretch>
                      <a:fillRect/>
                    </a:stretch>
                  </pic:blipFill>
                  <pic:spPr bwMode="auto">
                    <a:xfrm>
                      <a:off x="0" y="0"/>
                      <a:ext cx="5953424" cy="492570"/>
                    </a:xfrm>
                    <a:prstGeom prst="rect">
                      <a:avLst/>
                    </a:prstGeom>
                    <a:noFill/>
                    <a:ln>
                      <a:noFill/>
                    </a:ln>
                  </pic:spPr>
                </pic:pic>
              </a:graphicData>
            </a:graphic>
          </wp:inline>
        </w:drawing>
      </w:r>
    </w:p>
    <w:p w:rsidR="001F417D" w:rsidRPr="0065598A" w:rsidRDefault="001F417D" w:rsidP="001F417D">
      <w:pPr>
        <w:spacing w:before="120" w:line="276" w:lineRule="auto"/>
        <w:jc w:val="both"/>
        <w:rPr>
          <w:rFonts w:asciiTheme="minorHAnsi" w:hAnsiTheme="minorHAnsi"/>
          <w:noProof/>
          <w:lang w:val="sq-AL"/>
        </w:rPr>
      </w:pPr>
      <w:r w:rsidRPr="0065598A">
        <w:rPr>
          <w:rFonts w:asciiTheme="minorHAnsi" w:hAnsiTheme="minorHAnsi"/>
          <w:noProof/>
          <w:lang w:val="sq-AL"/>
        </w:rPr>
        <w:t xml:space="preserve">Sa i takon ecurisë së normave të interesit vihet re: </w:t>
      </w:r>
    </w:p>
    <w:p w:rsidR="001F417D" w:rsidRPr="0065598A" w:rsidRDefault="001F417D" w:rsidP="00503465">
      <w:pPr>
        <w:numPr>
          <w:ilvl w:val="0"/>
          <w:numId w:val="2"/>
        </w:numPr>
        <w:spacing w:line="276" w:lineRule="auto"/>
        <w:ind w:left="360" w:hanging="270"/>
        <w:contextualSpacing/>
        <w:jc w:val="both"/>
        <w:rPr>
          <w:rFonts w:asciiTheme="minorHAnsi" w:hAnsiTheme="minorHAnsi"/>
          <w:i/>
          <w:noProof/>
          <w:lang w:val="sq-AL"/>
        </w:rPr>
      </w:pPr>
      <w:r w:rsidRPr="0065598A">
        <w:rPr>
          <w:rFonts w:asciiTheme="minorHAnsi" w:hAnsiTheme="minorHAnsi"/>
          <w:i/>
          <w:noProof/>
          <w:lang w:val="sq-AL"/>
        </w:rPr>
        <w:t xml:space="preserve">Për depozitat në Lekë - </w:t>
      </w:r>
      <w:r w:rsidRPr="0065598A">
        <w:rPr>
          <w:rFonts w:asciiTheme="minorHAnsi" w:hAnsiTheme="minorHAnsi"/>
          <w:noProof/>
          <w:lang w:val="sq-AL"/>
        </w:rPr>
        <w:t xml:space="preserve">Norma mesatare e interesit për totalin e depozitave (duke përfshirë të gjitha maturimet) për prillin 2020 shënoi vlerën 0.6%, duke rënë me 0.18 p.p krahasuar me të njëjtën periudhë të vitit të kaluar dhe duke rënë me 0.06 p.p krahasuar me muajin paraardhës. </w:t>
      </w:r>
      <w:r w:rsidRPr="0065598A">
        <w:rPr>
          <w:rFonts w:asciiTheme="minorHAnsi" w:hAnsiTheme="minorHAnsi"/>
          <w:i/>
          <w:noProof/>
          <w:lang w:val="sq-AL"/>
        </w:rPr>
        <w:t>Ndërkohë, norma e interesit për depozitën 12 mujore u zvogëlua me 0.03 p.p. krahasuar me një vit më parë dhe nuk pati ndryshim në krahasim me një muaj më parë..</w:t>
      </w:r>
    </w:p>
    <w:p w:rsidR="001F417D" w:rsidRPr="0065598A" w:rsidRDefault="001F417D" w:rsidP="00503465">
      <w:pPr>
        <w:numPr>
          <w:ilvl w:val="0"/>
          <w:numId w:val="2"/>
        </w:numPr>
        <w:spacing w:before="240" w:line="276" w:lineRule="auto"/>
        <w:ind w:left="360" w:hanging="270"/>
        <w:contextualSpacing/>
        <w:jc w:val="both"/>
        <w:rPr>
          <w:rFonts w:asciiTheme="minorHAnsi" w:hAnsiTheme="minorHAnsi"/>
          <w:i/>
          <w:noProof/>
          <w:lang w:val="sq-AL"/>
        </w:rPr>
      </w:pPr>
      <w:r w:rsidRPr="0065598A">
        <w:rPr>
          <w:rFonts w:asciiTheme="minorHAnsi" w:hAnsiTheme="minorHAnsi"/>
          <w:i/>
          <w:noProof/>
          <w:lang w:val="sq-AL"/>
        </w:rPr>
        <w:t xml:space="preserve">Për depozitat në US ($) – </w:t>
      </w:r>
      <w:r w:rsidRPr="0065598A">
        <w:rPr>
          <w:rFonts w:asciiTheme="minorHAnsi" w:hAnsiTheme="minorHAnsi"/>
          <w:noProof/>
          <w:lang w:val="sq-AL"/>
        </w:rPr>
        <w:t xml:space="preserve">Norma mesatare e interesit për totalin e depozitave shënoi vlerën 0.23%, ose 0.18 p.p. më pak krahasuar me një vit më parë dhe 0.21 p.p më pak krahasuar me një muaj më parë. </w:t>
      </w:r>
      <w:r w:rsidRPr="0065598A">
        <w:rPr>
          <w:rFonts w:asciiTheme="minorHAnsi" w:hAnsiTheme="minorHAnsi"/>
          <w:i/>
          <w:noProof/>
          <w:lang w:val="sq-AL"/>
        </w:rPr>
        <w:t>Ndërkohë, norma e interesit për depozitën 12 mujore ka shënuar rënie prej 0.26 p.p.krahasuar me një vit më parë dhe një rënie me 0.3p.p krahas</w:t>
      </w:r>
      <w:r w:rsidR="002257B4">
        <w:rPr>
          <w:rFonts w:asciiTheme="minorHAnsi" w:hAnsiTheme="minorHAnsi"/>
          <w:i/>
          <w:noProof/>
          <w:lang w:val="sq-AL"/>
        </w:rPr>
        <w:t>uar</w:t>
      </w:r>
      <w:r w:rsidRPr="0065598A">
        <w:rPr>
          <w:rFonts w:asciiTheme="minorHAnsi" w:hAnsiTheme="minorHAnsi"/>
          <w:i/>
          <w:noProof/>
          <w:lang w:val="sq-AL"/>
        </w:rPr>
        <w:t xml:space="preserve"> me një muaj më parë.</w:t>
      </w:r>
    </w:p>
    <w:p w:rsidR="001F417D" w:rsidRPr="0065598A" w:rsidRDefault="001F417D" w:rsidP="00503465">
      <w:pPr>
        <w:numPr>
          <w:ilvl w:val="0"/>
          <w:numId w:val="21"/>
        </w:numPr>
        <w:spacing w:before="120" w:after="120" w:line="276" w:lineRule="auto"/>
        <w:ind w:left="387"/>
        <w:contextualSpacing/>
        <w:jc w:val="both"/>
        <w:rPr>
          <w:rFonts w:asciiTheme="minorHAnsi" w:hAnsiTheme="minorHAnsi"/>
          <w:noProof/>
          <w:lang w:val="sq-AL"/>
        </w:rPr>
      </w:pPr>
      <w:r w:rsidRPr="0065598A">
        <w:rPr>
          <w:rFonts w:asciiTheme="minorHAnsi" w:hAnsiTheme="minorHAnsi"/>
          <w:i/>
          <w:noProof/>
          <w:lang w:val="sq-AL"/>
        </w:rPr>
        <w:t xml:space="preserve">Për depozitat në EUR (€) - </w:t>
      </w:r>
      <w:r w:rsidRPr="0065598A">
        <w:rPr>
          <w:rFonts w:asciiTheme="minorHAnsi" w:hAnsiTheme="minorHAnsi"/>
          <w:noProof/>
          <w:lang w:val="sq-AL"/>
        </w:rPr>
        <w:t xml:space="preserve">Norma mesatare e interesit për totalin e depozitave shënoi vlerën 0.15%, duke u rritur me 0.03 p.p krahasuar me një vit më parë dhe duke u rritur me 0.06 p.p krahasuar me një muaj më parë. </w:t>
      </w:r>
      <w:r w:rsidRPr="0065598A">
        <w:rPr>
          <w:rFonts w:asciiTheme="minorHAnsi" w:hAnsiTheme="minorHAnsi"/>
          <w:i/>
          <w:noProof/>
          <w:lang w:val="sq-AL"/>
        </w:rPr>
        <w:t>Ndërkohë, norma e interesit për depozitën 12 mujore u rrit me 0.14 p.p krahasuar me një vit më parë dhe pati rritje me 0.12 krahas</w:t>
      </w:r>
      <w:r w:rsidR="002257B4">
        <w:rPr>
          <w:rFonts w:asciiTheme="minorHAnsi" w:hAnsiTheme="minorHAnsi"/>
          <w:i/>
          <w:noProof/>
          <w:lang w:val="sq-AL"/>
        </w:rPr>
        <w:t>uar</w:t>
      </w:r>
      <w:r w:rsidRPr="0065598A">
        <w:rPr>
          <w:rFonts w:asciiTheme="minorHAnsi" w:hAnsiTheme="minorHAnsi"/>
          <w:i/>
          <w:noProof/>
          <w:lang w:val="sq-AL"/>
        </w:rPr>
        <w:t xml:space="preserve"> me muajin paraardhës. </w:t>
      </w:r>
    </w:p>
    <w:p w:rsidR="001F417D" w:rsidRPr="0065598A" w:rsidRDefault="001F417D" w:rsidP="00503465">
      <w:pPr>
        <w:numPr>
          <w:ilvl w:val="0"/>
          <w:numId w:val="2"/>
        </w:numPr>
        <w:spacing w:before="240" w:line="276" w:lineRule="auto"/>
        <w:ind w:left="360" w:hanging="270"/>
        <w:contextualSpacing/>
        <w:jc w:val="both"/>
        <w:rPr>
          <w:rFonts w:asciiTheme="minorHAnsi" w:hAnsiTheme="minorHAnsi"/>
          <w:i/>
          <w:noProof/>
          <w:lang w:val="sq-AL"/>
        </w:rPr>
      </w:pPr>
      <w:r w:rsidRPr="0065598A">
        <w:rPr>
          <w:rFonts w:asciiTheme="minorHAnsi" w:hAnsiTheme="minorHAnsi"/>
          <w:i/>
          <w:noProof/>
          <w:lang w:val="sq-AL"/>
        </w:rPr>
        <w:t xml:space="preserve">Për kreditë në Lekë - </w:t>
      </w:r>
      <w:r w:rsidRPr="0065598A">
        <w:rPr>
          <w:rFonts w:asciiTheme="minorHAnsi" w:hAnsiTheme="minorHAnsi"/>
          <w:noProof/>
          <w:lang w:val="sq-AL"/>
        </w:rPr>
        <w:t xml:space="preserve">Norma mesatare e interesit për totalin e kredive (duke përfshirë të gjitha maturimet) për prillin 2020 shënoi vlerën 5.92%, ose 0.45 p.p. më pak se e njëjta periudhë e vitit të kaluar dhe 0.62 p.p. më pak se muaji paraardhës. </w:t>
      </w:r>
      <w:r w:rsidRPr="0065598A">
        <w:rPr>
          <w:rFonts w:asciiTheme="minorHAnsi" w:hAnsiTheme="minorHAnsi"/>
          <w:i/>
          <w:noProof/>
          <w:lang w:val="sq-AL"/>
        </w:rPr>
        <w:t xml:space="preserve">Ndërkohë, norma e interesit për kreditimin mbi 5 vjeçarë ka shënuar rritje prej 0.37 p.p. krahasuar me një vit më parë dhe u rrit me 0.18 p.p krahasuar me muajin mars 2020.. </w:t>
      </w:r>
    </w:p>
    <w:p w:rsidR="001F417D" w:rsidRPr="0065598A" w:rsidRDefault="001F417D" w:rsidP="00503465">
      <w:pPr>
        <w:numPr>
          <w:ilvl w:val="0"/>
          <w:numId w:val="2"/>
        </w:numPr>
        <w:spacing w:before="240" w:line="276" w:lineRule="auto"/>
        <w:ind w:left="360" w:hanging="270"/>
        <w:contextualSpacing/>
        <w:jc w:val="both"/>
        <w:rPr>
          <w:rFonts w:asciiTheme="minorHAnsi" w:hAnsiTheme="minorHAnsi"/>
          <w:i/>
          <w:noProof/>
          <w:lang w:val="sq-AL"/>
        </w:rPr>
      </w:pPr>
      <w:r w:rsidRPr="0065598A">
        <w:rPr>
          <w:rFonts w:asciiTheme="minorHAnsi" w:hAnsiTheme="minorHAnsi"/>
          <w:i/>
          <w:noProof/>
          <w:lang w:val="sq-AL"/>
        </w:rPr>
        <w:t xml:space="preserve">Për kreditë në US ($) - </w:t>
      </w:r>
      <w:r w:rsidRPr="0065598A">
        <w:rPr>
          <w:rFonts w:asciiTheme="minorHAnsi" w:hAnsiTheme="minorHAnsi"/>
          <w:noProof/>
          <w:lang w:val="sq-AL"/>
        </w:rPr>
        <w:t xml:space="preserve">Norma mesatare e interesit për totalin e kredive shënoi vlerën 4.93%, duke shënuar rritje me 0.81 p.p. krahasuar me një vit më parë dhe një rënie me 1.94 p.p krahasuar me muajin paraardhës. </w:t>
      </w:r>
    </w:p>
    <w:p w:rsidR="001F417D" w:rsidRPr="0065598A" w:rsidRDefault="001F417D" w:rsidP="00503465">
      <w:pPr>
        <w:numPr>
          <w:ilvl w:val="0"/>
          <w:numId w:val="2"/>
        </w:numPr>
        <w:spacing w:before="240" w:line="276" w:lineRule="auto"/>
        <w:ind w:left="360" w:hanging="270"/>
        <w:contextualSpacing/>
        <w:jc w:val="both"/>
        <w:rPr>
          <w:rFonts w:asciiTheme="minorHAnsi" w:hAnsiTheme="minorHAnsi"/>
          <w:i/>
          <w:noProof/>
          <w:lang w:val="sq-AL"/>
        </w:rPr>
      </w:pPr>
      <w:r w:rsidRPr="0065598A">
        <w:rPr>
          <w:rFonts w:asciiTheme="minorHAnsi" w:hAnsiTheme="minorHAnsi"/>
          <w:i/>
          <w:noProof/>
          <w:lang w:val="sq-AL"/>
        </w:rPr>
        <w:t xml:space="preserve">Për kreditë në EUR (€) - </w:t>
      </w:r>
      <w:r w:rsidRPr="0065598A">
        <w:rPr>
          <w:rFonts w:asciiTheme="minorHAnsi" w:hAnsiTheme="minorHAnsi"/>
          <w:noProof/>
          <w:lang w:val="sq-AL"/>
        </w:rPr>
        <w:t xml:space="preserve">Norma mesatare e interesit për totalin e kredive për prillin 2020 shënoi vlerën 4.07%, ose 0.31 p.p. më pak se e njëjta periudhë e vitit të kaluar dhe ra me 0.09 p.p. krahasuar me një muaj më parë. </w:t>
      </w:r>
      <w:r w:rsidRPr="0065598A">
        <w:rPr>
          <w:rFonts w:asciiTheme="minorHAnsi" w:hAnsiTheme="minorHAnsi"/>
          <w:i/>
          <w:noProof/>
          <w:lang w:val="sq-AL"/>
        </w:rPr>
        <w:t>Ndërkohë, norma e interesit për kreditimin mbi 5 vjeçar ka shënuar rënie prej 0.56 p.p. krahasuar me një vit më parë dhe një rënie me 0.22 p.p. krahasuar me muajin mars 2020.</w:t>
      </w:r>
    </w:p>
    <w:p w:rsidR="001F417D" w:rsidRPr="0065598A" w:rsidRDefault="001F417D" w:rsidP="001F417D">
      <w:pPr>
        <w:spacing w:before="240" w:line="276" w:lineRule="auto"/>
        <w:jc w:val="both"/>
        <w:rPr>
          <w:rFonts w:asciiTheme="minorHAnsi" w:hAnsiTheme="minorHAnsi"/>
          <w:noProof/>
          <w:lang w:val="sq-AL"/>
        </w:rPr>
      </w:pPr>
      <w:r w:rsidRPr="0065598A">
        <w:rPr>
          <w:rFonts w:asciiTheme="minorHAnsi" w:hAnsiTheme="minorHAnsi"/>
          <w:noProof/>
          <w:lang w:val="sq-AL"/>
        </w:rPr>
        <w:t xml:space="preserve">Gjatë muajit maj 2020, kursi mesatar i këmbimit të lekut kundrejt euros arriti 123.9 lekë/euro duke pësuar rënie në vlerë me 1.19% krahasuar me një muaj më parë, dhe rritje me 0.75% krahasuar me një vit më parë. Kursi mesatar i këmbimit të lekut kundrejt dollarit amerikan në </w:t>
      </w:r>
      <w:r w:rsidRPr="0065598A">
        <w:rPr>
          <w:rFonts w:asciiTheme="minorHAnsi" w:hAnsiTheme="minorHAnsi"/>
          <w:noProof/>
          <w:lang w:val="sq-AL"/>
        </w:rPr>
        <w:lastRenderedPageBreak/>
        <w:t>muajin maj arriti në 113.8 lekë/dollar amerikan duke shënuar rënie me 1.41% krahasuar me një muaj më parë, dhe një rritje me 3.49% krahasuar me një vit më parë.</w:t>
      </w:r>
    </w:p>
    <w:p w:rsidR="001F417D" w:rsidRPr="0065598A" w:rsidRDefault="001F417D" w:rsidP="001F417D">
      <w:pPr>
        <w:jc w:val="both"/>
        <w:rPr>
          <w:rFonts w:ascii="Calibri" w:hAnsi="Calibri"/>
          <w:noProof/>
          <w:sz w:val="8"/>
          <w:lang w:val="sq-AL"/>
        </w:rPr>
      </w:pPr>
    </w:p>
    <w:p w:rsidR="001F417D" w:rsidRPr="0065598A" w:rsidRDefault="001F417D" w:rsidP="001F417D">
      <w:pPr>
        <w:keepNext/>
        <w:jc w:val="both"/>
        <w:rPr>
          <w:rFonts w:ascii="Calibri" w:hAnsi="Calibri"/>
          <w:i/>
          <w:lang w:val="sq-AL"/>
        </w:rPr>
      </w:pPr>
      <w:bookmarkStart w:id="147" w:name="_Toc44404427"/>
      <w:r w:rsidRPr="0065598A">
        <w:rPr>
          <w:rFonts w:ascii="Calibri" w:hAnsi="Calibri"/>
          <w:i/>
          <w:lang w:val="sq-AL"/>
        </w:rPr>
        <w:t xml:space="preserve">Tabela </w:t>
      </w:r>
      <w:r w:rsidRPr="0065598A">
        <w:rPr>
          <w:rFonts w:ascii="Calibri" w:hAnsi="Calibri"/>
          <w:i/>
          <w:lang w:val="sq-AL"/>
        </w:rPr>
        <w:fldChar w:fldCharType="begin"/>
      </w:r>
      <w:r w:rsidRPr="0065598A">
        <w:rPr>
          <w:rFonts w:ascii="Calibri" w:hAnsi="Calibri"/>
          <w:i/>
          <w:lang w:val="sq-AL"/>
        </w:rPr>
        <w:instrText xml:space="preserve"> SEQ Tabela \* ARABIC </w:instrText>
      </w:r>
      <w:r w:rsidRPr="0065598A">
        <w:rPr>
          <w:rFonts w:ascii="Calibri" w:hAnsi="Calibri"/>
          <w:i/>
          <w:lang w:val="sq-AL"/>
        </w:rPr>
        <w:fldChar w:fldCharType="separate"/>
      </w:r>
      <w:r w:rsidR="00C342E2">
        <w:rPr>
          <w:rFonts w:ascii="Calibri" w:hAnsi="Calibri"/>
          <w:i/>
          <w:noProof/>
          <w:lang w:val="sq-AL"/>
        </w:rPr>
        <w:t>26</w:t>
      </w:r>
      <w:r w:rsidRPr="0065598A">
        <w:rPr>
          <w:rFonts w:ascii="Calibri" w:hAnsi="Calibri"/>
          <w:i/>
          <w:lang w:val="sq-AL"/>
        </w:rPr>
        <w:fldChar w:fldCharType="end"/>
      </w:r>
      <w:r w:rsidRPr="0065598A">
        <w:rPr>
          <w:rFonts w:ascii="Calibri" w:hAnsi="Calibri"/>
          <w:i/>
          <w:lang w:val="sq-AL"/>
        </w:rPr>
        <w:t>: Ecuria e kursit të këmbimit 2015-2020</w:t>
      </w:r>
      <w:bookmarkEnd w:id="147"/>
    </w:p>
    <w:p w:rsidR="001F417D" w:rsidRDefault="001F417D" w:rsidP="001F417D">
      <w:pPr>
        <w:spacing w:before="120" w:after="120" w:line="276" w:lineRule="auto"/>
        <w:jc w:val="center"/>
        <w:rPr>
          <w:rFonts w:ascii="Calibri" w:hAnsi="Calibri"/>
          <w:noProof/>
          <w:lang w:val="sq-AL"/>
        </w:rPr>
      </w:pPr>
      <w:r w:rsidRPr="0065598A">
        <w:rPr>
          <w:noProof/>
        </w:rPr>
        <w:drawing>
          <wp:inline distT="0" distB="0" distL="0" distR="0" wp14:anchorId="0B35AC20" wp14:editId="2518FE2D">
            <wp:extent cx="5943600" cy="935209"/>
            <wp:effectExtent l="0" t="0" r="0" b="0"/>
            <wp:docPr id="60" name="Picture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2">
                      <a:extLst>
                        <a:ext uri="{28A0092B-C50C-407E-A947-70E740481C1C}">
                          <a14:useLocalDpi xmlns:a14="http://schemas.microsoft.com/office/drawing/2010/main" val="0"/>
                        </a:ext>
                      </a:extLst>
                    </a:blip>
                    <a:srcRect/>
                    <a:stretch>
                      <a:fillRect/>
                    </a:stretch>
                  </pic:blipFill>
                  <pic:spPr bwMode="auto">
                    <a:xfrm>
                      <a:off x="0" y="0"/>
                      <a:ext cx="5943600" cy="935209"/>
                    </a:xfrm>
                    <a:prstGeom prst="rect">
                      <a:avLst/>
                    </a:prstGeom>
                    <a:noFill/>
                    <a:ln>
                      <a:noFill/>
                    </a:ln>
                  </pic:spPr>
                </pic:pic>
              </a:graphicData>
            </a:graphic>
          </wp:inline>
        </w:drawing>
      </w:r>
    </w:p>
    <w:p w:rsidR="00AD66E2" w:rsidRPr="0065598A" w:rsidRDefault="00AD66E2" w:rsidP="001F417D">
      <w:pPr>
        <w:spacing w:before="120" w:after="120" w:line="276" w:lineRule="auto"/>
        <w:jc w:val="center"/>
        <w:rPr>
          <w:rFonts w:ascii="Calibri" w:hAnsi="Calibri"/>
          <w:noProof/>
          <w:lang w:val="sq-AL"/>
        </w:rPr>
      </w:pPr>
    </w:p>
    <w:p w:rsidR="00527686" w:rsidRPr="0065598A" w:rsidRDefault="00E05051" w:rsidP="002334F6">
      <w:pPr>
        <w:pStyle w:val="Heading2"/>
      </w:pPr>
      <w:bookmarkStart w:id="148" w:name="_Toc44403625"/>
      <w:r w:rsidRPr="00E923F7">
        <w:t>VI.2</w:t>
      </w:r>
      <w:r w:rsidRPr="00E923F7">
        <w:tab/>
      </w:r>
      <w:bookmarkStart w:id="149" w:name="_Toc11134224"/>
      <w:r w:rsidR="00527686" w:rsidRPr="00E923F7">
        <w:t>Treguesit kryesorë të performancës sipas ministrive të linjës</w:t>
      </w:r>
      <w:bookmarkEnd w:id="149"/>
      <w:r w:rsidR="00527686" w:rsidRPr="00E923F7">
        <w:t>, 4M I 20</w:t>
      </w:r>
      <w:r w:rsidR="00B345A4" w:rsidRPr="00E923F7">
        <w:t>20</w:t>
      </w:r>
      <w:bookmarkEnd w:id="148"/>
      <w:r w:rsidR="00527686" w:rsidRPr="0065598A">
        <w:t xml:space="preserve"> </w:t>
      </w:r>
    </w:p>
    <w:p w:rsidR="004872EF" w:rsidRDefault="00DD66E7" w:rsidP="004872EF">
      <w:pPr>
        <w:spacing w:before="240" w:line="276" w:lineRule="auto"/>
        <w:jc w:val="both"/>
        <w:rPr>
          <w:rFonts w:asciiTheme="minorHAnsi" w:eastAsia="MS Mincho" w:hAnsiTheme="minorHAnsi"/>
          <w:lang w:val="sq-AL"/>
        </w:rPr>
      </w:pPr>
      <w:bookmarkStart w:id="150" w:name="_Toc11135126"/>
      <w:bookmarkStart w:id="151" w:name="_Toc10033295"/>
      <w:r w:rsidRPr="00BB7F2F">
        <w:rPr>
          <w:rFonts w:asciiTheme="minorHAnsi" w:eastAsia="MS Mincho" w:hAnsiTheme="minorHAnsi"/>
          <w:lang w:val="sq-AL"/>
        </w:rPr>
        <w:t xml:space="preserve">Buxheti i vitit 2020, ka financuar 131 programe buxhetore si edhe buxhetin e 61 bashkive dhe 12 qarqeve. Realizimi i buxhetit për 5 mujorin e vitit 2020 për ministritë dhe disa nga institucionet qendrore kryesore, paraqitet në tabelën e mëposhtme: </w:t>
      </w:r>
      <w:bookmarkStart w:id="152" w:name="_Toc10033294"/>
      <w:bookmarkEnd w:id="152"/>
    </w:p>
    <w:p w:rsidR="004872EF" w:rsidRPr="004872EF" w:rsidRDefault="004872EF" w:rsidP="004872EF">
      <w:pPr>
        <w:spacing w:line="276" w:lineRule="auto"/>
        <w:jc w:val="both"/>
        <w:rPr>
          <w:rFonts w:asciiTheme="minorHAnsi" w:eastAsia="MS Mincho" w:hAnsiTheme="minorHAnsi"/>
          <w:sz w:val="18"/>
          <w:lang w:val="sq-AL"/>
        </w:rPr>
      </w:pPr>
    </w:p>
    <w:p w:rsidR="00527686" w:rsidRPr="004872EF" w:rsidRDefault="004872EF" w:rsidP="004872EF">
      <w:pPr>
        <w:rPr>
          <w:rFonts w:asciiTheme="minorHAnsi" w:hAnsiTheme="minorHAnsi"/>
          <w:i/>
          <w:noProof/>
        </w:rPr>
      </w:pPr>
      <w:bookmarkStart w:id="153" w:name="_Toc44404428"/>
      <w:r w:rsidRPr="004872EF">
        <w:rPr>
          <w:rFonts w:asciiTheme="minorHAnsi" w:hAnsiTheme="minorHAnsi"/>
          <w:i/>
          <w:noProof/>
        </w:rPr>
        <w:t xml:space="preserve">Tabela </w:t>
      </w:r>
      <w:r w:rsidRPr="004872EF">
        <w:rPr>
          <w:rFonts w:asciiTheme="minorHAnsi" w:hAnsiTheme="minorHAnsi"/>
          <w:i/>
          <w:noProof/>
        </w:rPr>
        <w:fldChar w:fldCharType="begin"/>
      </w:r>
      <w:r w:rsidRPr="004872EF">
        <w:rPr>
          <w:rFonts w:asciiTheme="minorHAnsi" w:hAnsiTheme="minorHAnsi"/>
          <w:i/>
          <w:noProof/>
        </w:rPr>
        <w:instrText xml:space="preserve"> SEQ Tabela \* ARABIC </w:instrText>
      </w:r>
      <w:r w:rsidRPr="004872EF">
        <w:rPr>
          <w:rFonts w:asciiTheme="minorHAnsi" w:hAnsiTheme="minorHAnsi"/>
          <w:i/>
          <w:noProof/>
        </w:rPr>
        <w:fldChar w:fldCharType="separate"/>
      </w:r>
      <w:r w:rsidR="00C342E2">
        <w:rPr>
          <w:rFonts w:asciiTheme="minorHAnsi" w:hAnsiTheme="minorHAnsi"/>
          <w:i/>
          <w:noProof/>
        </w:rPr>
        <w:t>27</w:t>
      </w:r>
      <w:r w:rsidRPr="004872EF">
        <w:rPr>
          <w:rFonts w:asciiTheme="minorHAnsi" w:hAnsiTheme="minorHAnsi"/>
          <w:i/>
          <w:noProof/>
        </w:rPr>
        <w:fldChar w:fldCharType="end"/>
      </w:r>
      <w:r w:rsidRPr="004872EF">
        <w:rPr>
          <w:rFonts w:asciiTheme="minorHAnsi" w:hAnsiTheme="minorHAnsi"/>
          <w:i/>
          <w:noProof/>
        </w:rPr>
        <w:t>: Treguesit kryesorë të performancës sipas ministrive të linjës, 4M I 2020</w:t>
      </w:r>
      <w:bookmarkEnd w:id="153"/>
      <w:r w:rsidRPr="004872EF">
        <w:rPr>
          <w:rFonts w:asciiTheme="minorHAnsi" w:hAnsiTheme="minorHAnsi"/>
          <w:i/>
          <w:noProof/>
        </w:rPr>
        <w:t xml:space="preserve"> </w:t>
      </w:r>
    </w:p>
    <w:tbl>
      <w:tblPr>
        <w:tblW w:w="10730" w:type="dxa"/>
        <w:jc w:val="center"/>
        <w:tblLook w:val="04A0" w:firstRow="1" w:lastRow="0" w:firstColumn="1" w:lastColumn="0" w:noHBand="0" w:noVBand="1"/>
      </w:tblPr>
      <w:tblGrid>
        <w:gridCol w:w="3634"/>
        <w:gridCol w:w="1267"/>
        <w:gridCol w:w="1267"/>
        <w:gridCol w:w="1267"/>
        <w:gridCol w:w="1187"/>
        <w:gridCol w:w="1054"/>
        <w:gridCol w:w="1054"/>
      </w:tblGrid>
      <w:tr w:rsidR="00DD66E7" w:rsidRPr="008D6095" w:rsidTr="00DD66E7">
        <w:trPr>
          <w:trHeight w:val="545"/>
          <w:jc w:val="center"/>
        </w:trPr>
        <w:tc>
          <w:tcPr>
            <w:tcW w:w="3634" w:type="dxa"/>
            <w:tcBorders>
              <w:top w:val="single" w:sz="4" w:space="0" w:color="auto"/>
              <w:left w:val="single" w:sz="4" w:space="0" w:color="auto"/>
              <w:bottom w:val="nil"/>
              <w:right w:val="single" w:sz="4" w:space="0" w:color="4F81BD"/>
            </w:tcBorders>
            <w:shd w:val="clear" w:color="000000" w:fill="B7DEE8"/>
            <w:noWrap/>
            <w:vAlign w:val="center"/>
            <w:hideMark/>
          </w:tcPr>
          <w:p w:rsidR="00DD66E7" w:rsidRPr="008D6095" w:rsidRDefault="00DD66E7" w:rsidP="00DD66E7">
            <w:pPr>
              <w:jc w:val="center"/>
              <w:rPr>
                <w:b/>
                <w:bCs/>
                <w:color w:val="000000"/>
                <w:sz w:val="16"/>
                <w:szCs w:val="16"/>
                <w:lang w:val="sq-AL"/>
              </w:rPr>
            </w:pPr>
            <w:bookmarkStart w:id="154" w:name="_Toc10721431"/>
            <w:bookmarkEnd w:id="150"/>
            <w:r w:rsidRPr="008D6095">
              <w:rPr>
                <w:b/>
                <w:bCs/>
                <w:color w:val="000000"/>
                <w:sz w:val="16"/>
                <w:szCs w:val="16"/>
                <w:lang w:val="sq-AL"/>
              </w:rPr>
              <w:t>Institucionet</w:t>
            </w:r>
          </w:p>
        </w:tc>
        <w:tc>
          <w:tcPr>
            <w:tcW w:w="1267" w:type="dxa"/>
            <w:tcBorders>
              <w:top w:val="single" w:sz="4" w:space="0" w:color="auto"/>
              <w:left w:val="single" w:sz="4" w:space="0" w:color="4F81BD"/>
              <w:bottom w:val="nil"/>
              <w:right w:val="single" w:sz="4" w:space="0" w:color="4F81BD"/>
            </w:tcBorders>
            <w:shd w:val="clear" w:color="000000" w:fill="B7DEE8"/>
            <w:noWrap/>
            <w:vAlign w:val="center"/>
            <w:hideMark/>
          </w:tcPr>
          <w:p w:rsidR="00DD66E7" w:rsidRPr="008D6095" w:rsidRDefault="00DD66E7" w:rsidP="00DD66E7">
            <w:pPr>
              <w:rPr>
                <w:b/>
                <w:bCs/>
                <w:color w:val="000000"/>
                <w:sz w:val="16"/>
                <w:szCs w:val="16"/>
                <w:lang w:val="sq-AL"/>
              </w:rPr>
            </w:pPr>
            <w:r w:rsidRPr="008D6095">
              <w:rPr>
                <w:b/>
                <w:bCs/>
                <w:color w:val="000000"/>
                <w:sz w:val="16"/>
                <w:szCs w:val="16"/>
                <w:lang w:val="sq-AL"/>
              </w:rPr>
              <w:t xml:space="preserve">      2020</w:t>
            </w:r>
          </w:p>
        </w:tc>
        <w:tc>
          <w:tcPr>
            <w:tcW w:w="1267" w:type="dxa"/>
            <w:tcBorders>
              <w:top w:val="single" w:sz="4" w:space="0" w:color="auto"/>
              <w:left w:val="single" w:sz="4" w:space="0" w:color="4F81BD"/>
              <w:bottom w:val="nil"/>
              <w:right w:val="single" w:sz="4" w:space="0" w:color="4F81BD"/>
            </w:tcBorders>
            <w:shd w:val="clear" w:color="000000" w:fill="B7DEE8"/>
            <w:noWrap/>
            <w:vAlign w:val="center"/>
            <w:hideMark/>
          </w:tcPr>
          <w:p w:rsidR="00DD66E7" w:rsidRPr="008D6095" w:rsidRDefault="00DD66E7" w:rsidP="00DD66E7">
            <w:pPr>
              <w:rPr>
                <w:b/>
                <w:bCs/>
                <w:color w:val="000000"/>
                <w:sz w:val="16"/>
                <w:szCs w:val="16"/>
                <w:lang w:val="sq-AL"/>
              </w:rPr>
            </w:pPr>
            <w:r w:rsidRPr="008D6095">
              <w:rPr>
                <w:b/>
                <w:bCs/>
                <w:color w:val="000000"/>
                <w:sz w:val="16"/>
                <w:szCs w:val="16"/>
                <w:lang w:val="sq-AL"/>
              </w:rPr>
              <w:t xml:space="preserve">     2020</w:t>
            </w:r>
          </w:p>
        </w:tc>
        <w:tc>
          <w:tcPr>
            <w:tcW w:w="1267" w:type="dxa"/>
            <w:tcBorders>
              <w:top w:val="single" w:sz="4" w:space="0" w:color="auto"/>
              <w:left w:val="single" w:sz="4" w:space="0" w:color="4F81BD"/>
              <w:bottom w:val="nil"/>
              <w:right w:val="single" w:sz="4" w:space="0" w:color="4F81BD"/>
            </w:tcBorders>
            <w:shd w:val="clear" w:color="000000" w:fill="B7DEE8"/>
            <w:noWrap/>
            <w:vAlign w:val="center"/>
            <w:hideMark/>
          </w:tcPr>
          <w:p w:rsidR="00DD66E7" w:rsidRPr="008D6095" w:rsidRDefault="00DD66E7" w:rsidP="00DD66E7">
            <w:pPr>
              <w:rPr>
                <w:b/>
                <w:bCs/>
                <w:color w:val="000000"/>
                <w:sz w:val="16"/>
                <w:szCs w:val="16"/>
                <w:lang w:val="sq-AL"/>
              </w:rPr>
            </w:pPr>
            <w:r w:rsidRPr="008D6095">
              <w:rPr>
                <w:b/>
                <w:bCs/>
                <w:color w:val="000000"/>
                <w:sz w:val="16"/>
                <w:szCs w:val="16"/>
                <w:lang w:val="sq-AL"/>
              </w:rPr>
              <w:t xml:space="preserve">      2020</w:t>
            </w:r>
          </w:p>
        </w:tc>
        <w:tc>
          <w:tcPr>
            <w:tcW w:w="1187" w:type="dxa"/>
            <w:tcBorders>
              <w:top w:val="single" w:sz="4" w:space="0" w:color="auto"/>
              <w:left w:val="single" w:sz="4" w:space="0" w:color="4F81BD"/>
              <w:bottom w:val="nil"/>
              <w:right w:val="single" w:sz="4" w:space="0" w:color="4F81BD"/>
            </w:tcBorders>
            <w:shd w:val="clear" w:color="000000" w:fill="B7DEE8"/>
            <w:noWrap/>
            <w:vAlign w:val="center"/>
            <w:hideMark/>
          </w:tcPr>
          <w:p w:rsidR="00DD66E7" w:rsidRPr="008D6095" w:rsidRDefault="00DD66E7" w:rsidP="00DD66E7">
            <w:pPr>
              <w:rPr>
                <w:b/>
                <w:bCs/>
                <w:color w:val="000000"/>
                <w:sz w:val="16"/>
                <w:szCs w:val="16"/>
                <w:lang w:val="sq-AL"/>
              </w:rPr>
            </w:pPr>
            <w:r w:rsidRPr="008D6095">
              <w:rPr>
                <w:b/>
                <w:bCs/>
                <w:color w:val="000000"/>
                <w:sz w:val="16"/>
                <w:szCs w:val="16"/>
                <w:lang w:val="sq-AL"/>
              </w:rPr>
              <w:t xml:space="preserve">     Total</w:t>
            </w:r>
          </w:p>
        </w:tc>
        <w:tc>
          <w:tcPr>
            <w:tcW w:w="1054" w:type="dxa"/>
            <w:tcBorders>
              <w:top w:val="single" w:sz="4" w:space="0" w:color="auto"/>
              <w:left w:val="single" w:sz="4" w:space="0" w:color="4F81BD"/>
              <w:bottom w:val="nil"/>
              <w:right w:val="single" w:sz="4" w:space="0" w:color="4F81BD"/>
            </w:tcBorders>
            <w:shd w:val="clear" w:color="000000" w:fill="B7DEE8"/>
            <w:vAlign w:val="bottom"/>
            <w:hideMark/>
          </w:tcPr>
          <w:p w:rsidR="00DD66E7" w:rsidRPr="008D6095" w:rsidRDefault="00DD66E7" w:rsidP="00DD66E7">
            <w:pPr>
              <w:jc w:val="center"/>
              <w:rPr>
                <w:b/>
                <w:bCs/>
                <w:color w:val="000000"/>
                <w:sz w:val="16"/>
                <w:szCs w:val="16"/>
                <w:lang w:val="sq-AL"/>
              </w:rPr>
            </w:pPr>
            <w:r w:rsidRPr="008D6095">
              <w:rPr>
                <w:b/>
                <w:bCs/>
                <w:color w:val="000000"/>
                <w:sz w:val="16"/>
                <w:szCs w:val="16"/>
                <w:lang w:val="sq-AL"/>
              </w:rPr>
              <w:t>Shpenzime korrente</w:t>
            </w:r>
          </w:p>
        </w:tc>
        <w:tc>
          <w:tcPr>
            <w:tcW w:w="1054" w:type="dxa"/>
            <w:tcBorders>
              <w:top w:val="single" w:sz="4" w:space="0" w:color="auto"/>
              <w:left w:val="single" w:sz="4" w:space="0" w:color="4F81BD"/>
              <w:bottom w:val="nil"/>
              <w:right w:val="single" w:sz="4" w:space="0" w:color="auto"/>
            </w:tcBorders>
            <w:shd w:val="clear" w:color="000000" w:fill="B7DEE8"/>
            <w:vAlign w:val="bottom"/>
            <w:hideMark/>
          </w:tcPr>
          <w:p w:rsidR="00DD66E7" w:rsidRPr="008D6095" w:rsidRDefault="00DD66E7" w:rsidP="00DD66E7">
            <w:pPr>
              <w:jc w:val="center"/>
              <w:rPr>
                <w:b/>
                <w:bCs/>
                <w:color w:val="000000"/>
                <w:sz w:val="16"/>
                <w:szCs w:val="16"/>
                <w:lang w:val="sq-AL"/>
              </w:rPr>
            </w:pPr>
            <w:r w:rsidRPr="008D6095">
              <w:rPr>
                <w:b/>
                <w:bCs/>
                <w:color w:val="000000"/>
                <w:sz w:val="16"/>
                <w:szCs w:val="16"/>
                <w:lang w:val="sq-AL"/>
              </w:rPr>
              <w:t>Shpenzime kapitale</w:t>
            </w:r>
          </w:p>
        </w:tc>
      </w:tr>
      <w:tr w:rsidR="00DD66E7" w:rsidRPr="008D6095" w:rsidTr="00DD66E7">
        <w:trPr>
          <w:trHeight w:val="432"/>
          <w:jc w:val="center"/>
        </w:trPr>
        <w:tc>
          <w:tcPr>
            <w:tcW w:w="3634" w:type="dxa"/>
            <w:tcBorders>
              <w:top w:val="nil"/>
              <w:left w:val="single" w:sz="4" w:space="0" w:color="auto"/>
              <w:bottom w:val="single" w:sz="4" w:space="0" w:color="auto"/>
              <w:right w:val="single" w:sz="4" w:space="0" w:color="4F81BD"/>
            </w:tcBorders>
            <w:shd w:val="clear" w:color="000000" w:fill="B7DEE8"/>
            <w:noWrap/>
            <w:vAlign w:val="bottom"/>
            <w:hideMark/>
          </w:tcPr>
          <w:p w:rsidR="00DD66E7" w:rsidRPr="008D6095" w:rsidRDefault="00DD66E7" w:rsidP="00DD66E7">
            <w:pPr>
              <w:rPr>
                <w:b/>
                <w:bCs/>
                <w:color w:val="000000"/>
                <w:sz w:val="16"/>
                <w:szCs w:val="16"/>
                <w:lang w:val="sq-AL"/>
              </w:rPr>
            </w:pPr>
            <w:r w:rsidRPr="008D6095">
              <w:rPr>
                <w:b/>
                <w:bCs/>
                <w:color w:val="000000"/>
                <w:sz w:val="16"/>
                <w:szCs w:val="16"/>
                <w:lang w:val="sq-AL"/>
              </w:rPr>
              <w:t> </w:t>
            </w:r>
          </w:p>
        </w:tc>
        <w:tc>
          <w:tcPr>
            <w:tcW w:w="1267" w:type="dxa"/>
            <w:tcBorders>
              <w:top w:val="nil"/>
              <w:left w:val="single" w:sz="4" w:space="0" w:color="4F81BD"/>
              <w:bottom w:val="single" w:sz="4" w:space="0" w:color="auto"/>
              <w:right w:val="single" w:sz="4" w:space="0" w:color="4F81BD"/>
            </w:tcBorders>
            <w:shd w:val="clear" w:color="000000" w:fill="B7DEE8"/>
            <w:noWrap/>
            <w:vAlign w:val="center"/>
            <w:hideMark/>
          </w:tcPr>
          <w:p w:rsidR="00DD66E7" w:rsidRPr="008D6095" w:rsidRDefault="00DD66E7" w:rsidP="00DD66E7">
            <w:pPr>
              <w:rPr>
                <w:b/>
                <w:bCs/>
                <w:color w:val="000000"/>
                <w:sz w:val="16"/>
                <w:szCs w:val="16"/>
                <w:lang w:val="sq-AL"/>
              </w:rPr>
            </w:pPr>
            <w:r w:rsidRPr="008D6095">
              <w:rPr>
                <w:b/>
                <w:bCs/>
                <w:color w:val="000000"/>
                <w:sz w:val="16"/>
                <w:szCs w:val="16"/>
                <w:lang w:val="sq-AL"/>
              </w:rPr>
              <w:t>Plan</w:t>
            </w:r>
            <w:r w:rsidR="000A79C2">
              <w:rPr>
                <w:b/>
                <w:bCs/>
                <w:color w:val="000000"/>
                <w:sz w:val="16"/>
                <w:szCs w:val="16"/>
                <w:lang w:val="sq-AL"/>
              </w:rPr>
              <w:t>i</w:t>
            </w:r>
            <w:r w:rsidRPr="008D6095">
              <w:rPr>
                <w:b/>
                <w:bCs/>
                <w:color w:val="000000"/>
                <w:sz w:val="16"/>
                <w:szCs w:val="16"/>
                <w:lang w:val="sq-AL"/>
              </w:rPr>
              <w:t xml:space="preserve"> Fillestar</w:t>
            </w:r>
          </w:p>
        </w:tc>
        <w:tc>
          <w:tcPr>
            <w:tcW w:w="1267" w:type="dxa"/>
            <w:tcBorders>
              <w:top w:val="nil"/>
              <w:left w:val="single" w:sz="4" w:space="0" w:color="4F81BD"/>
              <w:bottom w:val="single" w:sz="4" w:space="0" w:color="auto"/>
              <w:right w:val="single" w:sz="4" w:space="0" w:color="4F81BD"/>
            </w:tcBorders>
            <w:shd w:val="clear" w:color="000000" w:fill="B7DEE8"/>
            <w:noWrap/>
            <w:vAlign w:val="center"/>
            <w:hideMark/>
          </w:tcPr>
          <w:p w:rsidR="00DD66E7" w:rsidRPr="008D6095" w:rsidRDefault="00DD66E7" w:rsidP="000A79C2">
            <w:pPr>
              <w:jc w:val="center"/>
              <w:rPr>
                <w:b/>
                <w:bCs/>
                <w:color w:val="000000"/>
                <w:sz w:val="16"/>
                <w:szCs w:val="16"/>
                <w:lang w:val="sq-AL"/>
              </w:rPr>
            </w:pPr>
            <w:r w:rsidRPr="008D6095">
              <w:rPr>
                <w:b/>
                <w:bCs/>
                <w:color w:val="000000"/>
                <w:sz w:val="16"/>
                <w:szCs w:val="16"/>
                <w:lang w:val="sq-AL"/>
              </w:rPr>
              <w:t>Plan</w:t>
            </w:r>
            <w:r w:rsidR="000A79C2">
              <w:rPr>
                <w:b/>
                <w:bCs/>
                <w:color w:val="000000"/>
                <w:sz w:val="16"/>
                <w:szCs w:val="16"/>
                <w:lang w:val="sq-AL"/>
              </w:rPr>
              <w:t>i</w:t>
            </w:r>
            <w:r w:rsidRPr="008D6095">
              <w:rPr>
                <w:b/>
                <w:bCs/>
                <w:color w:val="000000"/>
                <w:sz w:val="16"/>
                <w:szCs w:val="16"/>
                <w:lang w:val="sq-AL"/>
              </w:rPr>
              <w:t xml:space="preserve"> i     </w:t>
            </w:r>
            <w:r w:rsidR="000A79C2">
              <w:rPr>
                <w:b/>
                <w:bCs/>
                <w:color w:val="000000"/>
                <w:sz w:val="16"/>
                <w:szCs w:val="16"/>
                <w:lang w:val="sq-AL"/>
              </w:rPr>
              <w:t xml:space="preserve">  </w:t>
            </w:r>
            <w:r w:rsidRPr="008D6095">
              <w:rPr>
                <w:b/>
                <w:bCs/>
                <w:color w:val="000000"/>
                <w:sz w:val="16"/>
                <w:szCs w:val="16"/>
                <w:lang w:val="sq-AL"/>
              </w:rPr>
              <w:t>Rishikuar</w:t>
            </w:r>
          </w:p>
        </w:tc>
        <w:tc>
          <w:tcPr>
            <w:tcW w:w="1267" w:type="dxa"/>
            <w:tcBorders>
              <w:top w:val="nil"/>
              <w:left w:val="single" w:sz="4" w:space="0" w:color="4F81BD"/>
              <w:bottom w:val="single" w:sz="4" w:space="0" w:color="auto"/>
              <w:right w:val="single" w:sz="4" w:space="0" w:color="4F81BD"/>
            </w:tcBorders>
            <w:shd w:val="clear" w:color="000000" w:fill="B7DEE8"/>
            <w:vAlign w:val="center"/>
            <w:hideMark/>
          </w:tcPr>
          <w:p w:rsidR="00DD66E7" w:rsidRPr="008D6095" w:rsidRDefault="00DD66E7" w:rsidP="000A79C2">
            <w:pPr>
              <w:rPr>
                <w:b/>
                <w:bCs/>
                <w:color w:val="000000"/>
                <w:sz w:val="16"/>
                <w:szCs w:val="16"/>
                <w:lang w:val="sq-AL"/>
              </w:rPr>
            </w:pPr>
            <w:r w:rsidRPr="008D6095">
              <w:rPr>
                <w:b/>
                <w:bCs/>
                <w:color w:val="000000"/>
                <w:sz w:val="16"/>
                <w:szCs w:val="16"/>
                <w:lang w:val="sq-AL"/>
              </w:rPr>
              <w:t>Fakt</w:t>
            </w:r>
            <w:r w:rsidR="000A79C2">
              <w:rPr>
                <w:b/>
                <w:bCs/>
                <w:color w:val="000000"/>
                <w:sz w:val="16"/>
                <w:szCs w:val="16"/>
                <w:lang w:val="sq-AL"/>
              </w:rPr>
              <w:t>i</w:t>
            </w:r>
            <w:r w:rsidRPr="008D6095">
              <w:rPr>
                <w:b/>
                <w:bCs/>
                <w:color w:val="000000"/>
                <w:sz w:val="16"/>
                <w:szCs w:val="16"/>
                <w:lang w:val="sq-AL"/>
              </w:rPr>
              <w:t xml:space="preserve"> 5 Mujor</w:t>
            </w:r>
          </w:p>
        </w:tc>
        <w:tc>
          <w:tcPr>
            <w:tcW w:w="1187" w:type="dxa"/>
            <w:tcBorders>
              <w:top w:val="nil"/>
              <w:left w:val="single" w:sz="4" w:space="0" w:color="4F81BD"/>
              <w:bottom w:val="single" w:sz="4" w:space="0" w:color="auto"/>
              <w:right w:val="single" w:sz="4" w:space="0" w:color="4F81BD"/>
            </w:tcBorders>
            <w:shd w:val="clear" w:color="000000" w:fill="B7DEE8"/>
            <w:noWrap/>
            <w:vAlign w:val="center"/>
            <w:hideMark/>
          </w:tcPr>
          <w:p w:rsidR="00DD66E7" w:rsidRPr="008D6095" w:rsidRDefault="00DD66E7" w:rsidP="00DD66E7">
            <w:pPr>
              <w:jc w:val="center"/>
              <w:rPr>
                <w:b/>
                <w:bCs/>
                <w:color w:val="000000"/>
                <w:sz w:val="16"/>
                <w:szCs w:val="16"/>
                <w:lang w:val="sq-AL"/>
              </w:rPr>
            </w:pPr>
            <w:r w:rsidRPr="008D6095">
              <w:rPr>
                <w:b/>
                <w:bCs/>
                <w:color w:val="000000"/>
                <w:sz w:val="16"/>
                <w:szCs w:val="16"/>
                <w:lang w:val="sq-AL"/>
              </w:rPr>
              <w:t>Fakt/Plan Vjetor</w:t>
            </w:r>
            <w:r w:rsidR="000A79C2">
              <w:rPr>
                <w:b/>
                <w:bCs/>
                <w:color w:val="000000"/>
                <w:sz w:val="16"/>
                <w:szCs w:val="16"/>
                <w:lang w:val="sq-AL"/>
              </w:rPr>
              <w:t xml:space="preserve"> 2020</w:t>
            </w:r>
          </w:p>
        </w:tc>
        <w:tc>
          <w:tcPr>
            <w:tcW w:w="1054" w:type="dxa"/>
            <w:tcBorders>
              <w:top w:val="nil"/>
              <w:left w:val="single" w:sz="4" w:space="0" w:color="4F81BD"/>
              <w:bottom w:val="single" w:sz="4" w:space="0" w:color="auto"/>
              <w:right w:val="single" w:sz="4" w:space="0" w:color="4F81BD"/>
            </w:tcBorders>
            <w:shd w:val="clear" w:color="000000" w:fill="B7DEE8"/>
            <w:noWrap/>
            <w:vAlign w:val="center"/>
            <w:hideMark/>
          </w:tcPr>
          <w:p w:rsidR="00DD66E7" w:rsidRPr="008D6095" w:rsidRDefault="00DD66E7" w:rsidP="00DD66E7">
            <w:pPr>
              <w:jc w:val="center"/>
              <w:rPr>
                <w:b/>
                <w:bCs/>
                <w:color w:val="000000"/>
                <w:sz w:val="16"/>
                <w:szCs w:val="16"/>
                <w:lang w:val="sq-AL"/>
              </w:rPr>
            </w:pPr>
            <w:r w:rsidRPr="008D6095">
              <w:rPr>
                <w:b/>
                <w:bCs/>
                <w:color w:val="000000"/>
                <w:sz w:val="16"/>
                <w:szCs w:val="16"/>
                <w:lang w:val="sq-AL"/>
              </w:rPr>
              <w:t>Fakt/Plan</w:t>
            </w:r>
            <w:r w:rsidR="000A79C2">
              <w:rPr>
                <w:b/>
                <w:bCs/>
                <w:color w:val="000000"/>
                <w:sz w:val="16"/>
                <w:szCs w:val="16"/>
                <w:lang w:val="sq-AL"/>
              </w:rPr>
              <w:t xml:space="preserve"> 2020</w:t>
            </w:r>
          </w:p>
        </w:tc>
        <w:tc>
          <w:tcPr>
            <w:tcW w:w="1054" w:type="dxa"/>
            <w:tcBorders>
              <w:top w:val="nil"/>
              <w:left w:val="single" w:sz="4" w:space="0" w:color="4F81BD"/>
              <w:bottom w:val="single" w:sz="4" w:space="0" w:color="auto"/>
              <w:right w:val="single" w:sz="4" w:space="0" w:color="auto"/>
            </w:tcBorders>
            <w:shd w:val="clear" w:color="000000" w:fill="B7DEE8"/>
            <w:noWrap/>
            <w:vAlign w:val="center"/>
            <w:hideMark/>
          </w:tcPr>
          <w:p w:rsidR="00DD66E7" w:rsidRPr="008D6095" w:rsidRDefault="00DD66E7" w:rsidP="00DD66E7">
            <w:pPr>
              <w:jc w:val="center"/>
              <w:rPr>
                <w:b/>
                <w:bCs/>
                <w:color w:val="000000"/>
                <w:sz w:val="16"/>
                <w:szCs w:val="16"/>
                <w:lang w:val="sq-AL"/>
              </w:rPr>
            </w:pPr>
            <w:r w:rsidRPr="008D6095">
              <w:rPr>
                <w:b/>
                <w:bCs/>
                <w:color w:val="000000"/>
                <w:sz w:val="16"/>
                <w:szCs w:val="16"/>
                <w:lang w:val="sq-AL"/>
              </w:rPr>
              <w:t>Fakt/Plan</w:t>
            </w:r>
            <w:r w:rsidR="000A79C2">
              <w:rPr>
                <w:b/>
                <w:bCs/>
                <w:color w:val="000000"/>
                <w:sz w:val="16"/>
                <w:szCs w:val="16"/>
                <w:lang w:val="sq-AL"/>
              </w:rPr>
              <w:t xml:space="preserve"> 2020</w:t>
            </w:r>
          </w:p>
        </w:tc>
      </w:tr>
      <w:tr w:rsidR="00DD66E7" w:rsidRPr="008D6095" w:rsidTr="00DD66E7">
        <w:trPr>
          <w:trHeight w:val="276"/>
          <w:jc w:val="center"/>
        </w:trPr>
        <w:tc>
          <w:tcPr>
            <w:tcW w:w="3634" w:type="dxa"/>
            <w:tcBorders>
              <w:top w:val="nil"/>
              <w:left w:val="single" w:sz="4" w:space="0" w:color="auto"/>
              <w:bottom w:val="single" w:sz="4" w:space="0" w:color="auto"/>
              <w:right w:val="single" w:sz="4" w:space="0" w:color="4F81BD"/>
            </w:tcBorders>
            <w:shd w:val="clear" w:color="auto" w:fill="auto"/>
            <w:noWrap/>
            <w:vAlign w:val="bottom"/>
            <w:hideMark/>
          </w:tcPr>
          <w:p w:rsidR="00DD66E7" w:rsidRPr="008D6095" w:rsidRDefault="00DD66E7" w:rsidP="00DD66E7">
            <w:pPr>
              <w:rPr>
                <w:color w:val="000000"/>
                <w:sz w:val="16"/>
                <w:szCs w:val="16"/>
                <w:lang w:val="sq-AL"/>
              </w:rPr>
            </w:pPr>
            <w:r w:rsidRPr="008D6095">
              <w:rPr>
                <w:color w:val="000000"/>
                <w:sz w:val="16"/>
                <w:szCs w:val="16"/>
                <w:lang w:val="sq-AL"/>
              </w:rPr>
              <w:t> </w:t>
            </w:r>
          </w:p>
        </w:tc>
        <w:tc>
          <w:tcPr>
            <w:tcW w:w="1267" w:type="dxa"/>
            <w:tcBorders>
              <w:top w:val="nil"/>
              <w:left w:val="single" w:sz="4" w:space="0" w:color="4F81BD"/>
              <w:bottom w:val="single" w:sz="4" w:space="0" w:color="auto"/>
              <w:right w:val="single" w:sz="4" w:space="0" w:color="4F81BD"/>
            </w:tcBorders>
            <w:shd w:val="clear" w:color="auto" w:fill="auto"/>
            <w:noWrap/>
            <w:vAlign w:val="bottom"/>
            <w:hideMark/>
          </w:tcPr>
          <w:p w:rsidR="00DD66E7" w:rsidRPr="008D6095" w:rsidRDefault="00DD66E7" w:rsidP="00DD66E7">
            <w:pPr>
              <w:rPr>
                <w:color w:val="000000"/>
                <w:sz w:val="16"/>
                <w:szCs w:val="16"/>
                <w:lang w:val="sq-AL"/>
              </w:rPr>
            </w:pPr>
            <w:r w:rsidRPr="008D6095">
              <w:rPr>
                <w:color w:val="000000"/>
                <w:sz w:val="16"/>
                <w:szCs w:val="16"/>
                <w:lang w:val="sq-AL"/>
              </w:rPr>
              <w:t> </w:t>
            </w:r>
          </w:p>
        </w:tc>
        <w:tc>
          <w:tcPr>
            <w:tcW w:w="1267" w:type="dxa"/>
            <w:tcBorders>
              <w:top w:val="nil"/>
              <w:left w:val="single" w:sz="4" w:space="0" w:color="4F81BD"/>
              <w:bottom w:val="single" w:sz="4" w:space="0" w:color="auto"/>
              <w:right w:val="single" w:sz="4" w:space="0" w:color="4F81BD"/>
            </w:tcBorders>
            <w:shd w:val="clear" w:color="auto" w:fill="auto"/>
            <w:noWrap/>
            <w:vAlign w:val="bottom"/>
            <w:hideMark/>
          </w:tcPr>
          <w:p w:rsidR="00DD66E7" w:rsidRPr="008D6095" w:rsidRDefault="00DD66E7" w:rsidP="00DD66E7">
            <w:pPr>
              <w:rPr>
                <w:color w:val="000000"/>
                <w:sz w:val="16"/>
                <w:szCs w:val="16"/>
                <w:lang w:val="sq-AL"/>
              </w:rPr>
            </w:pPr>
            <w:r w:rsidRPr="008D6095">
              <w:rPr>
                <w:color w:val="000000"/>
                <w:sz w:val="16"/>
                <w:szCs w:val="16"/>
                <w:lang w:val="sq-AL"/>
              </w:rPr>
              <w:t> </w:t>
            </w:r>
          </w:p>
        </w:tc>
        <w:tc>
          <w:tcPr>
            <w:tcW w:w="1267" w:type="dxa"/>
            <w:tcBorders>
              <w:top w:val="nil"/>
              <w:left w:val="single" w:sz="4" w:space="0" w:color="4F81BD"/>
              <w:bottom w:val="single" w:sz="4" w:space="0" w:color="auto"/>
              <w:right w:val="single" w:sz="4" w:space="0" w:color="4F81BD"/>
            </w:tcBorders>
            <w:shd w:val="clear" w:color="auto" w:fill="auto"/>
            <w:noWrap/>
            <w:vAlign w:val="bottom"/>
            <w:hideMark/>
          </w:tcPr>
          <w:p w:rsidR="00DD66E7" w:rsidRPr="008D6095" w:rsidRDefault="00DD66E7" w:rsidP="00DD66E7">
            <w:pPr>
              <w:rPr>
                <w:color w:val="000000"/>
                <w:sz w:val="16"/>
                <w:szCs w:val="16"/>
                <w:lang w:val="sq-AL"/>
              </w:rPr>
            </w:pPr>
            <w:r w:rsidRPr="008D6095">
              <w:rPr>
                <w:color w:val="000000"/>
                <w:sz w:val="16"/>
                <w:szCs w:val="16"/>
                <w:lang w:val="sq-AL"/>
              </w:rPr>
              <w:t> </w:t>
            </w:r>
          </w:p>
        </w:tc>
        <w:tc>
          <w:tcPr>
            <w:tcW w:w="1187" w:type="dxa"/>
            <w:tcBorders>
              <w:top w:val="nil"/>
              <w:left w:val="single" w:sz="4" w:space="0" w:color="4F81BD"/>
              <w:bottom w:val="single" w:sz="4" w:space="0" w:color="auto"/>
              <w:right w:val="single" w:sz="4" w:space="0" w:color="4F81BD"/>
            </w:tcBorders>
            <w:shd w:val="clear" w:color="auto" w:fill="auto"/>
            <w:noWrap/>
            <w:vAlign w:val="bottom"/>
            <w:hideMark/>
          </w:tcPr>
          <w:p w:rsidR="00DD66E7" w:rsidRPr="008D6095" w:rsidRDefault="00DD66E7" w:rsidP="00DD66E7">
            <w:pPr>
              <w:jc w:val="center"/>
              <w:rPr>
                <w:color w:val="000000"/>
                <w:sz w:val="16"/>
                <w:szCs w:val="16"/>
                <w:lang w:val="sq-AL"/>
              </w:rPr>
            </w:pPr>
            <w:r w:rsidRPr="008D6095">
              <w:rPr>
                <w:color w:val="000000"/>
                <w:sz w:val="16"/>
                <w:szCs w:val="16"/>
                <w:lang w:val="sq-AL"/>
              </w:rPr>
              <w:t> </w:t>
            </w:r>
          </w:p>
        </w:tc>
        <w:tc>
          <w:tcPr>
            <w:tcW w:w="1054" w:type="dxa"/>
            <w:tcBorders>
              <w:top w:val="nil"/>
              <w:left w:val="single" w:sz="4" w:space="0" w:color="4F81BD"/>
              <w:bottom w:val="single" w:sz="4" w:space="0" w:color="auto"/>
              <w:right w:val="single" w:sz="4" w:space="0" w:color="4F81BD"/>
            </w:tcBorders>
            <w:shd w:val="clear" w:color="auto" w:fill="auto"/>
            <w:noWrap/>
            <w:vAlign w:val="bottom"/>
            <w:hideMark/>
          </w:tcPr>
          <w:p w:rsidR="00DD66E7" w:rsidRPr="008D6095" w:rsidRDefault="00DD66E7" w:rsidP="00DD66E7">
            <w:pPr>
              <w:jc w:val="center"/>
              <w:rPr>
                <w:color w:val="000000"/>
                <w:sz w:val="16"/>
                <w:szCs w:val="16"/>
                <w:lang w:val="sq-AL"/>
              </w:rPr>
            </w:pPr>
            <w:r w:rsidRPr="008D6095">
              <w:rPr>
                <w:color w:val="000000"/>
                <w:sz w:val="16"/>
                <w:szCs w:val="16"/>
                <w:lang w:val="sq-AL"/>
              </w:rPr>
              <w:t> </w:t>
            </w:r>
          </w:p>
        </w:tc>
        <w:tc>
          <w:tcPr>
            <w:tcW w:w="1054" w:type="dxa"/>
            <w:tcBorders>
              <w:top w:val="nil"/>
              <w:left w:val="single" w:sz="4" w:space="0" w:color="4F81BD"/>
              <w:bottom w:val="single" w:sz="4" w:space="0" w:color="auto"/>
              <w:right w:val="single" w:sz="4" w:space="0" w:color="auto"/>
            </w:tcBorders>
            <w:shd w:val="clear" w:color="auto" w:fill="auto"/>
            <w:noWrap/>
            <w:vAlign w:val="bottom"/>
            <w:hideMark/>
          </w:tcPr>
          <w:p w:rsidR="00DD66E7" w:rsidRPr="008D6095" w:rsidRDefault="00DD66E7" w:rsidP="00DD66E7">
            <w:pPr>
              <w:jc w:val="center"/>
              <w:rPr>
                <w:color w:val="000000"/>
                <w:sz w:val="16"/>
                <w:szCs w:val="16"/>
                <w:lang w:val="sq-AL"/>
              </w:rPr>
            </w:pPr>
            <w:r w:rsidRPr="008D6095">
              <w:rPr>
                <w:color w:val="000000"/>
                <w:sz w:val="16"/>
                <w:szCs w:val="16"/>
                <w:lang w:val="sq-AL"/>
              </w:rPr>
              <w:t> </w:t>
            </w:r>
          </w:p>
        </w:tc>
      </w:tr>
      <w:tr w:rsidR="00DD66E7" w:rsidRPr="008D6095" w:rsidTr="00DD66E7">
        <w:trPr>
          <w:trHeight w:val="276"/>
          <w:jc w:val="center"/>
        </w:trPr>
        <w:tc>
          <w:tcPr>
            <w:tcW w:w="3634" w:type="dxa"/>
            <w:tcBorders>
              <w:top w:val="nil"/>
              <w:left w:val="single" w:sz="4" w:space="0" w:color="auto"/>
              <w:bottom w:val="single" w:sz="4" w:space="0" w:color="auto"/>
              <w:right w:val="single" w:sz="4" w:space="0" w:color="4F81BD"/>
            </w:tcBorders>
            <w:shd w:val="clear" w:color="000000" w:fill="DAEEF3"/>
            <w:noWrap/>
            <w:vAlign w:val="center"/>
            <w:hideMark/>
          </w:tcPr>
          <w:p w:rsidR="00DD66E7" w:rsidRPr="008D6095" w:rsidRDefault="00DD66E7" w:rsidP="00DD66E7">
            <w:pPr>
              <w:rPr>
                <w:b/>
                <w:bCs/>
                <w:color w:val="000000"/>
                <w:sz w:val="16"/>
                <w:szCs w:val="16"/>
                <w:lang w:val="sq-AL"/>
              </w:rPr>
            </w:pPr>
            <w:r w:rsidRPr="008D6095">
              <w:rPr>
                <w:b/>
                <w:bCs/>
                <w:color w:val="000000"/>
                <w:sz w:val="16"/>
                <w:szCs w:val="16"/>
                <w:lang w:val="sq-AL"/>
              </w:rPr>
              <w:t xml:space="preserve">  Presidenca                                                                                       </w:t>
            </w:r>
          </w:p>
        </w:tc>
        <w:tc>
          <w:tcPr>
            <w:tcW w:w="1267" w:type="dxa"/>
            <w:tcBorders>
              <w:top w:val="nil"/>
              <w:left w:val="single" w:sz="4" w:space="0" w:color="4F81BD"/>
              <w:bottom w:val="single" w:sz="4" w:space="0" w:color="auto"/>
              <w:right w:val="single" w:sz="4" w:space="0" w:color="4F81BD"/>
            </w:tcBorders>
            <w:shd w:val="clear" w:color="000000" w:fill="DAEEF3"/>
            <w:noWrap/>
            <w:vAlign w:val="center"/>
          </w:tcPr>
          <w:p w:rsidR="00DD66E7" w:rsidRPr="008D6095" w:rsidRDefault="00DD66E7" w:rsidP="00DD66E7">
            <w:pPr>
              <w:jc w:val="right"/>
              <w:rPr>
                <w:color w:val="000000"/>
                <w:sz w:val="16"/>
                <w:szCs w:val="16"/>
                <w:lang w:val="sq-AL"/>
              </w:rPr>
            </w:pPr>
            <w:r w:rsidRPr="008D6095">
              <w:rPr>
                <w:color w:val="000000"/>
                <w:sz w:val="16"/>
                <w:szCs w:val="16"/>
                <w:lang w:val="sq-AL"/>
              </w:rPr>
              <w:t>252,300</w:t>
            </w:r>
          </w:p>
        </w:tc>
        <w:tc>
          <w:tcPr>
            <w:tcW w:w="1267" w:type="dxa"/>
            <w:tcBorders>
              <w:top w:val="nil"/>
              <w:left w:val="single" w:sz="4" w:space="0" w:color="4F81BD"/>
              <w:bottom w:val="single" w:sz="4" w:space="0" w:color="auto"/>
              <w:right w:val="single" w:sz="4" w:space="0" w:color="4F81BD"/>
            </w:tcBorders>
            <w:shd w:val="clear" w:color="000000" w:fill="DAEEF3"/>
            <w:noWrap/>
            <w:vAlign w:val="center"/>
          </w:tcPr>
          <w:p w:rsidR="00DD66E7" w:rsidRPr="008D6095" w:rsidRDefault="00DD66E7" w:rsidP="00DD66E7">
            <w:pPr>
              <w:jc w:val="right"/>
              <w:rPr>
                <w:color w:val="000000"/>
                <w:sz w:val="16"/>
                <w:szCs w:val="16"/>
                <w:lang w:val="sq-AL"/>
              </w:rPr>
            </w:pPr>
            <w:r w:rsidRPr="008D6095">
              <w:rPr>
                <w:color w:val="000000"/>
                <w:sz w:val="16"/>
                <w:szCs w:val="16"/>
                <w:lang w:val="sq-AL"/>
              </w:rPr>
              <w:t>235,600</w:t>
            </w:r>
          </w:p>
        </w:tc>
        <w:tc>
          <w:tcPr>
            <w:tcW w:w="1267" w:type="dxa"/>
            <w:tcBorders>
              <w:top w:val="nil"/>
              <w:left w:val="single" w:sz="4" w:space="0" w:color="4F81BD"/>
              <w:bottom w:val="single" w:sz="4" w:space="0" w:color="auto"/>
              <w:right w:val="single" w:sz="4" w:space="0" w:color="4F81BD"/>
            </w:tcBorders>
            <w:shd w:val="clear" w:color="000000" w:fill="DAEEF3"/>
            <w:noWrap/>
            <w:vAlign w:val="center"/>
          </w:tcPr>
          <w:p w:rsidR="00DD66E7" w:rsidRPr="008D6095" w:rsidRDefault="00DD66E7" w:rsidP="00DD66E7">
            <w:pPr>
              <w:jc w:val="right"/>
              <w:rPr>
                <w:color w:val="000000"/>
                <w:sz w:val="16"/>
                <w:szCs w:val="16"/>
                <w:lang w:val="sq-AL"/>
              </w:rPr>
            </w:pPr>
            <w:r w:rsidRPr="008D6095">
              <w:rPr>
                <w:color w:val="000000"/>
                <w:sz w:val="16"/>
                <w:szCs w:val="16"/>
                <w:lang w:val="sq-AL"/>
              </w:rPr>
              <w:t>66,926</w:t>
            </w:r>
          </w:p>
        </w:tc>
        <w:tc>
          <w:tcPr>
            <w:tcW w:w="1187" w:type="dxa"/>
            <w:tcBorders>
              <w:top w:val="nil"/>
              <w:left w:val="single" w:sz="4" w:space="0" w:color="4F81BD"/>
              <w:bottom w:val="single" w:sz="4" w:space="0" w:color="auto"/>
              <w:right w:val="single" w:sz="4" w:space="0" w:color="4F81BD"/>
            </w:tcBorders>
            <w:shd w:val="clear" w:color="000000" w:fill="DAEEF3"/>
            <w:noWrap/>
            <w:vAlign w:val="center"/>
          </w:tcPr>
          <w:p w:rsidR="00DD66E7" w:rsidRPr="008D6095" w:rsidRDefault="00DD66E7" w:rsidP="00DD66E7">
            <w:pPr>
              <w:jc w:val="center"/>
              <w:rPr>
                <w:color w:val="000000"/>
                <w:sz w:val="16"/>
                <w:szCs w:val="16"/>
                <w:lang w:val="sq-AL"/>
              </w:rPr>
            </w:pPr>
            <w:r w:rsidRPr="008D6095">
              <w:rPr>
                <w:color w:val="000000"/>
                <w:sz w:val="16"/>
                <w:szCs w:val="16"/>
                <w:lang w:val="sq-AL"/>
              </w:rPr>
              <w:t>28%</w:t>
            </w:r>
          </w:p>
        </w:tc>
        <w:tc>
          <w:tcPr>
            <w:tcW w:w="1054" w:type="dxa"/>
            <w:tcBorders>
              <w:top w:val="nil"/>
              <w:left w:val="single" w:sz="4" w:space="0" w:color="4F81BD"/>
              <w:bottom w:val="single" w:sz="4" w:space="0" w:color="auto"/>
              <w:right w:val="single" w:sz="4" w:space="0" w:color="4F81BD"/>
            </w:tcBorders>
            <w:shd w:val="clear" w:color="000000" w:fill="DAEEF3"/>
            <w:noWrap/>
            <w:vAlign w:val="center"/>
          </w:tcPr>
          <w:p w:rsidR="00DD66E7" w:rsidRPr="008D6095" w:rsidRDefault="00DD66E7" w:rsidP="00DD66E7">
            <w:pPr>
              <w:jc w:val="center"/>
              <w:rPr>
                <w:color w:val="000000"/>
                <w:sz w:val="16"/>
                <w:szCs w:val="16"/>
                <w:lang w:val="sq-AL"/>
              </w:rPr>
            </w:pPr>
            <w:r w:rsidRPr="008D6095">
              <w:rPr>
                <w:color w:val="000000"/>
                <w:sz w:val="16"/>
                <w:szCs w:val="16"/>
                <w:lang w:val="sq-AL"/>
              </w:rPr>
              <w:t>29%</w:t>
            </w:r>
          </w:p>
        </w:tc>
        <w:tc>
          <w:tcPr>
            <w:tcW w:w="1054" w:type="dxa"/>
            <w:tcBorders>
              <w:top w:val="nil"/>
              <w:left w:val="single" w:sz="4" w:space="0" w:color="4F81BD"/>
              <w:bottom w:val="single" w:sz="4" w:space="0" w:color="auto"/>
              <w:right w:val="single" w:sz="4" w:space="0" w:color="auto"/>
            </w:tcBorders>
            <w:shd w:val="clear" w:color="000000" w:fill="DAEEF3"/>
            <w:noWrap/>
            <w:vAlign w:val="center"/>
          </w:tcPr>
          <w:p w:rsidR="00DD66E7" w:rsidRPr="008D6095" w:rsidRDefault="00DD66E7" w:rsidP="00DD66E7">
            <w:pPr>
              <w:jc w:val="center"/>
              <w:rPr>
                <w:color w:val="000000"/>
                <w:sz w:val="16"/>
                <w:szCs w:val="16"/>
                <w:lang w:val="sq-AL"/>
              </w:rPr>
            </w:pPr>
            <w:r w:rsidRPr="008D6095">
              <w:rPr>
                <w:color w:val="000000"/>
                <w:sz w:val="16"/>
                <w:szCs w:val="16"/>
                <w:lang w:val="sq-AL"/>
              </w:rPr>
              <w:t>0%</w:t>
            </w:r>
          </w:p>
        </w:tc>
      </w:tr>
      <w:tr w:rsidR="00DD66E7" w:rsidRPr="008D6095" w:rsidTr="00DD66E7">
        <w:trPr>
          <w:trHeight w:val="276"/>
          <w:jc w:val="center"/>
        </w:trPr>
        <w:tc>
          <w:tcPr>
            <w:tcW w:w="3634" w:type="dxa"/>
            <w:tcBorders>
              <w:top w:val="nil"/>
              <w:left w:val="single" w:sz="4" w:space="0" w:color="auto"/>
              <w:bottom w:val="single" w:sz="4" w:space="0" w:color="auto"/>
              <w:right w:val="single" w:sz="4" w:space="0" w:color="4F81BD"/>
            </w:tcBorders>
            <w:shd w:val="clear" w:color="auto" w:fill="auto"/>
            <w:noWrap/>
            <w:vAlign w:val="center"/>
            <w:hideMark/>
          </w:tcPr>
          <w:p w:rsidR="00DD66E7" w:rsidRPr="008D6095" w:rsidRDefault="00DD66E7" w:rsidP="00DD66E7">
            <w:pPr>
              <w:rPr>
                <w:b/>
                <w:bCs/>
                <w:color w:val="000000"/>
                <w:sz w:val="16"/>
                <w:szCs w:val="16"/>
                <w:lang w:val="sq-AL"/>
              </w:rPr>
            </w:pPr>
            <w:r w:rsidRPr="008D6095">
              <w:rPr>
                <w:b/>
                <w:bCs/>
                <w:color w:val="000000"/>
                <w:sz w:val="16"/>
                <w:szCs w:val="16"/>
                <w:lang w:val="sq-AL"/>
              </w:rPr>
              <w:t xml:space="preserve"> Kuvendi                                                                                          </w:t>
            </w:r>
          </w:p>
        </w:tc>
        <w:tc>
          <w:tcPr>
            <w:tcW w:w="1267" w:type="dxa"/>
            <w:tcBorders>
              <w:top w:val="nil"/>
              <w:left w:val="single" w:sz="4" w:space="0" w:color="4F81BD"/>
              <w:bottom w:val="single" w:sz="4" w:space="0" w:color="auto"/>
              <w:right w:val="single" w:sz="4" w:space="0" w:color="4F81BD"/>
            </w:tcBorders>
            <w:shd w:val="clear" w:color="auto" w:fill="auto"/>
            <w:noWrap/>
            <w:vAlign w:val="center"/>
          </w:tcPr>
          <w:p w:rsidR="00DD66E7" w:rsidRPr="008D6095" w:rsidRDefault="00DD66E7" w:rsidP="00DD66E7">
            <w:pPr>
              <w:jc w:val="right"/>
              <w:rPr>
                <w:color w:val="000000"/>
                <w:sz w:val="16"/>
                <w:szCs w:val="16"/>
                <w:lang w:val="sq-AL"/>
              </w:rPr>
            </w:pPr>
            <w:r w:rsidRPr="008D6095">
              <w:rPr>
                <w:color w:val="000000"/>
                <w:sz w:val="16"/>
                <w:szCs w:val="16"/>
                <w:lang w:val="sq-AL"/>
              </w:rPr>
              <w:t>1,341,160</w:t>
            </w:r>
          </w:p>
        </w:tc>
        <w:tc>
          <w:tcPr>
            <w:tcW w:w="1267" w:type="dxa"/>
            <w:tcBorders>
              <w:top w:val="nil"/>
              <w:left w:val="single" w:sz="4" w:space="0" w:color="4F81BD"/>
              <w:bottom w:val="single" w:sz="4" w:space="0" w:color="auto"/>
              <w:right w:val="single" w:sz="4" w:space="0" w:color="4F81BD"/>
            </w:tcBorders>
            <w:shd w:val="clear" w:color="auto" w:fill="auto"/>
            <w:noWrap/>
            <w:vAlign w:val="center"/>
          </w:tcPr>
          <w:p w:rsidR="00DD66E7" w:rsidRPr="008D6095" w:rsidRDefault="00DD66E7" w:rsidP="00DD66E7">
            <w:pPr>
              <w:jc w:val="right"/>
              <w:rPr>
                <w:color w:val="000000"/>
                <w:sz w:val="16"/>
                <w:szCs w:val="16"/>
                <w:lang w:val="sq-AL"/>
              </w:rPr>
            </w:pPr>
            <w:r w:rsidRPr="008D6095">
              <w:rPr>
                <w:color w:val="000000"/>
                <w:sz w:val="16"/>
                <w:szCs w:val="16"/>
                <w:lang w:val="sq-AL"/>
              </w:rPr>
              <w:t>1,287,660</w:t>
            </w:r>
          </w:p>
        </w:tc>
        <w:tc>
          <w:tcPr>
            <w:tcW w:w="1267" w:type="dxa"/>
            <w:tcBorders>
              <w:top w:val="nil"/>
              <w:left w:val="single" w:sz="4" w:space="0" w:color="4F81BD"/>
              <w:bottom w:val="single" w:sz="4" w:space="0" w:color="auto"/>
              <w:right w:val="single" w:sz="4" w:space="0" w:color="4F81BD"/>
            </w:tcBorders>
            <w:shd w:val="clear" w:color="auto" w:fill="auto"/>
            <w:noWrap/>
            <w:vAlign w:val="center"/>
          </w:tcPr>
          <w:p w:rsidR="00DD66E7" w:rsidRPr="008D6095" w:rsidRDefault="00DD66E7" w:rsidP="00DD66E7">
            <w:pPr>
              <w:jc w:val="right"/>
              <w:rPr>
                <w:color w:val="000000"/>
                <w:sz w:val="16"/>
                <w:szCs w:val="16"/>
                <w:lang w:val="sq-AL"/>
              </w:rPr>
            </w:pPr>
            <w:r w:rsidRPr="008D6095">
              <w:rPr>
                <w:color w:val="000000"/>
                <w:sz w:val="16"/>
                <w:szCs w:val="16"/>
                <w:lang w:val="sq-AL"/>
              </w:rPr>
              <w:t>391,601</w:t>
            </w:r>
          </w:p>
        </w:tc>
        <w:tc>
          <w:tcPr>
            <w:tcW w:w="1187" w:type="dxa"/>
            <w:tcBorders>
              <w:top w:val="nil"/>
              <w:left w:val="single" w:sz="4" w:space="0" w:color="4F81BD"/>
              <w:bottom w:val="single" w:sz="4" w:space="0" w:color="auto"/>
              <w:right w:val="single" w:sz="4" w:space="0" w:color="4F81BD"/>
            </w:tcBorders>
            <w:shd w:val="clear" w:color="auto" w:fill="auto"/>
            <w:noWrap/>
            <w:vAlign w:val="center"/>
          </w:tcPr>
          <w:p w:rsidR="00DD66E7" w:rsidRPr="008D6095" w:rsidRDefault="00DD66E7" w:rsidP="00DD66E7">
            <w:pPr>
              <w:jc w:val="center"/>
              <w:rPr>
                <w:color w:val="000000"/>
                <w:sz w:val="16"/>
                <w:szCs w:val="16"/>
                <w:lang w:val="sq-AL"/>
              </w:rPr>
            </w:pPr>
            <w:r w:rsidRPr="008D6095">
              <w:rPr>
                <w:color w:val="000000"/>
                <w:sz w:val="16"/>
                <w:szCs w:val="16"/>
                <w:lang w:val="sq-AL"/>
              </w:rPr>
              <w:t>30%</w:t>
            </w:r>
          </w:p>
        </w:tc>
        <w:tc>
          <w:tcPr>
            <w:tcW w:w="1054" w:type="dxa"/>
            <w:tcBorders>
              <w:top w:val="nil"/>
              <w:left w:val="single" w:sz="4" w:space="0" w:color="4F81BD"/>
              <w:bottom w:val="single" w:sz="4" w:space="0" w:color="auto"/>
              <w:right w:val="single" w:sz="4" w:space="0" w:color="4F81BD"/>
            </w:tcBorders>
            <w:shd w:val="clear" w:color="auto" w:fill="auto"/>
            <w:noWrap/>
            <w:vAlign w:val="center"/>
          </w:tcPr>
          <w:p w:rsidR="00DD66E7" w:rsidRPr="008D6095" w:rsidRDefault="00DD66E7" w:rsidP="00DD66E7">
            <w:pPr>
              <w:jc w:val="center"/>
              <w:rPr>
                <w:color w:val="000000"/>
                <w:sz w:val="16"/>
                <w:szCs w:val="16"/>
                <w:lang w:val="sq-AL"/>
              </w:rPr>
            </w:pPr>
            <w:r w:rsidRPr="008D6095">
              <w:rPr>
                <w:color w:val="000000"/>
                <w:sz w:val="16"/>
                <w:szCs w:val="16"/>
                <w:lang w:val="sq-AL"/>
              </w:rPr>
              <w:t>31%</w:t>
            </w:r>
          </w:p>
        </w:tc>
        <w:tc>
          <w:tcPr>
            <w:tcW w:w="1054" w:type="dxa"/>
            <w:tcBorders>
              <w:top w:val="nil"/>
              <w:left w:val="single" w:sz="4" w:space="0" w:color="4F81BD"/>
              <w:bottom w:val="single" w:sz="4" w:space="0" w:color="auto"/>
              <w:right w:val="single" w:sz="4" w:space="0" w:color="auto"/>
            </w:tcBorders>
            <w:shd w:val="clear" w:color="auto" w:fill="auto"/>
            <w:noWrap/>
            <w:vAlign w:val="center"/>
          </w:tcPr>
          <w:p w:rsidR="00DD66E7" w:rsidRPr="008D6095" w:rsidRDefault="00DD66E7" w:rsidP="00DD66E7">
            <w:pPr>
              <w:jc w:val="center"/>
              <w:rPr>
                <w:color w:val="000000"/>
                <w:sz w:val="16"/>
                <w:szCs w:val="16"/>
                <w:lang w:val="sq-AL"/>
              </w:rPr>
            </w:pPr>
            <w:r w:rsidRPr="008D6095">
              <w:rPr>
                <w:color w:val="000000"/>
                <w:sz w:val="16"/>
                <w:szCs w:val="16"/>
                <w:lang w:val="sq-AL"/>
              </w:rPr>
              <w:t>30%</w:t>
            </w:r>
          </w:p>
        </w:tc>
      </w:tr>
      <w:tr w:rsidR="00DD66E7" w:rsidRPr="008D6095" w:rsidTr="00DD66E7">
        <w:trPr>
          <w:trHeight w:val="276"/>
          <w:jc w:val="center"/>
        </w:trPr>
        <w:tc>
          <w:tcPr>
            <w:tcW w:w="3634" w:type="dxa"/>
            <w:tcBorders>
              <w:top w:val="nil"/>
              <w:left w:val="single" w:sz="4" w:space="0" w:color="auto"/>
              <w:bottom w:val="single" w:sz="4" w:space="0" w:color="auto"/>
              <w:right w:val="single" w:sz="4" w:space="0" w:color="4F81BD"/>
            </w:tcBorders>
            <w:shd w:val="clear" w:color="000000" w:fill="DAEEF3"/>
            <w:noWrap/>
            <w:vAlign w:val="center"/>
            <w:hideMark/>
          </w:tcPr>
          <w:p w:rsidR="00DD66E7" w:rsidRPr="008D6095" w:rsidRDefault="00DD66E7" w:rsidP="00DD66E7">
            <w:pPr>
              <w:rPr>
                <w:b/>
                <w:bCs/>
                <w:color w:val="000000"/>
                <w:sz w:val="16"/>
                <w:szCs w:val="16"/>
                <w:lang w:val="sq-AL"/>
              </w:rPr>
            </w:pPr>
            <w:r w:rsidRPr="008D6095">
              <w:rPr>
                <w:b/>
                <w:bCs/>
                <w:color w:val="000000"/>
                <w:sz w:val="16"/>
                <w:szCs w:val="16"/>
                <w:lang w:val="sq-AL"/>
              </w:rPr>
              <w:t xml:space="preserve"> Kryeministria                                                                                    </w:t>
            </w:r>
          </w:p>
        </w:tc>
        <w:tc>
          <w:tcPr>
            <w:tcW w:w="1267" w:type="dxa"/>
            <w:tcBorders>
              <w:top w:val="nil"/>
              <w:left w:val="single" w:sz="4" w:space="0" w:color="4F81BD"/>
              <w:bottom w:val="single" w:sz="4" w:space="0" w:color="auto"/>
              <w:right w:val="single" w:sz="4" w:space="0" w:color="4F81BD"/>
            </w:tcBorders>
            <w:shd w:val="clear" w:color="000000" w:fill="DAEEF3"/>
            <w:noWrap/>
            <w:vAlign w:val="center"/>
          </w:tcPr>
          <w:p w:rsidR="00DD66E7" w:rsidRPr="008D6095" w:rsidRDefault="00DD66E7" w:rsidP="00DD66E7">
            <w:pPr>
              <w:jc w:val="right"/>
              <w:rPr>
                <w:color w:val="000000"/>
                <w:sz w:val="16"/>
                <w:szCs w:val="16"/>
                <w:lang w:val="sq-AL"/>
              </w:rPr>
            </w:pPr>
            <w:r w:rsidRPr="008D6095">
              <w:rPr>
                <w:color w:val="000000"/>
                <w:sz w:val="16"/>
                <w:szCs w:val="16"/>
                <w:lang w:val="sq-AL"/>
              </w:rPr>
              <w:t>591,000</w:t>
            </w:r>
          </w:p>
        </w:tc>
        <w:tc>
          <w:tcPr>
            <w:tcW w:w="1267" w:type="dxa"/>
            <w:tcBorders>
              <w:top w:val="nil"/>
              <w:left w:val="single" w:sz="4" w:space="0" w:color="4F81BD"/>
              <w:bottom w:val="single" w:sz="4" w:space="0" w:color="auto"/>
              <w:right w:val="single" w:sz="4" w:space="0" w:color="4F81BD"/>
            </w:tcBorders>
            <w:shd w:val="clear" w:color="000000" w:fill="DAEEF3"/>
            <w:noWrap/>
            <w:vAlign w:val="center"/>
          </w:tcPr>
          <w:p w:rsidR="00DD66E7" w:rsidRPr="008D6095" w:rsidRDefault="00DD66E7" w:rsidP="00DD66E7">
            <w:pPr>
              <w:jc w:val="right"/>
              <w:rPr>
                <w:color w:val="000000"/>
                <w:sz w:val="16"/>
                <w:szCs w:val="16"/>
                <w:lang w:val="sq-AL"/>
              </w:rPr>
            </w:pPr>
            <w:r w:rsidRPr="008D6095">
              <w:rPr>
                <w:color w:val="000000"/>
                <w:sz w:val="16"/>
                <w:szCs w:val="16"/>
                <w:lang w:val="sq-AL"/>
              </w:rPr>
              <w:t>578,660</w:t>
            </w:r>
          </w:p>
        </w:tc>
        <w:tc>
          <w:tcPr>
            <w:tcW w:w="1267" w:type="dxa"/>
            <w:tcBorders>
              <w:top w:val="nil"/>
              <w:left w:val="single" w:sz="4" w:space="0" w:color="4F81BD"/>
              <w:bottom w:val="single" w:sz="4" w:space="0" w:color="auto"/>
              <w:right w:val="single" w:sz="4" w:space="0" w:color="4F81BD"/>
            </w:tcBorders>
            <w:shd w:val="clear" w:color="000000" w:fill="DAEEF3"/>
            <w:noWrap/>
            <w:vAlign w:val="center"/>
          </w:tcPr>
          <w:p w:rsidR="00DD66E7" w:rsidRPr="008D6095" w:rsidRDefault="00DD66E7" w:rsidP="00DD66E7">
            <w:pPr>
              <w:jc w:val="right"/>
              <w:rPr>
                <w:color w:val="000000"/>
                <w:sz w:val="16"/>
                <w:szCs w:val="16"/>
                <w:lang w:val="sq-AL"/>
              </w:rPr>
            </w:pPr>
            <w:r w:rsidRPr="008D6095">
              <w:rPr>
                <w:color w:val="000000"/>
                <w:sz w:val="16"/>
                <w:szCs w:val="16"/>
                <w:lang w:val="sq-AL"/>
              </w:rPr>
              <w:t>178,299</w:t>
            </w:r>
          </w:p>
        </w:tc>
        <w:tc>
          <w:tcPr>
            <w:tcW w:w="1187" w:type="dxa"/>
            <w:tcBorders>
              <w:top w:val="nil"/>
              <w:left w:val="single" w:sz="4" w:space="0" w:color="4F81BD"/>
              <w:bottom w:val="single" w:sz="4" w:space="0" w:color="auto"/>
              <w:right w:val="single" w:sz="4" w:space="0" w:color="4F81BD"/>
            </w:tcBorders>
            <w:shd w:val="clear" w:color="000000" w:fill="DAEEF3"/>
            <w:noWrap/>
            <w:vAlign w:val="center"/>
          </w:tcPr>
          <w:p w:rsidR="00DD66E7" w:rsidRPr="008D6095" w:rsidRDefault="00DD66E7" w:rsidP="00DD66E7">
            <w:pPr>
              <w:jc w:val="center"/>
              <w:rPr>
                <w:color w:val="000000"/>
                <w:sz w:val="16"/>
                <w:szCs w:val="16"/>
                <w:lang w:val="sq-AL"/>
              </w:rPr>
            </w:pPr>
            <w:r w:rsidRPr="008D6095">
              <w:rPr>
                <w:color w:val="000000"/>
                <w:sz w:val="16"/>
                <w:szCs w:val="16"/>
                <w:lang w:val="sq-AL"/>
              </w:rPr>
              <w:t>31%</w:t>
            </w:r>
          </w:p>
        </w:tc>
        <w:tc>
          <w:tcPr>
            <w:tcW w:w="1054" w:type="dxa"/>
            <w:tcBorders>
              <w:top w:val="nil"/>
              <w:left w:val="single" w:sz="4" w:space="0" w:color="4F81BD"/>
              <w:bottom w:val="single" w:sz="4" w:space="0" w:color="auto"/>
              <w:right w:val="single" w:sz="4" w:space="0" w:color="4F81BD"/>
            </w:tcBorders>
            <w:shd w:val="clear" w:color="000000" w:fill="DAEEF3"/>
            <w:noWrap/>
            <w:vAlign w:val="center"/>
          </w:tcPr>
          <w:p w:rsidR="00DD66E7" w:rsidRPr="008D6095" w:rsidRDefault="00DD66E7" w:rsidP="00DD66E7">
            <w:pPr>
              <w:jc w:val="center"/>
              <w:rPr>
                <w:color w:val="000000"/>
                <w:sz w:val="16"/>
                <w:szCs w:val="16"/>
                <w:lang w:val="sq-AL"/>
              </w:rPr>
            </w:pPr>
            <w:r w:rsidRPr="008D6095">
              <w:rPr>
                <w:color w:val="000000"/>
                <w:sz w:val="16"/>
                <w:szCs w:val="16"/>
                <w:lang w:val="sq-AL"/>
              </w:rPr>
              <w:t>42%</w:t>
            </w:r>
          </w:p>
        </w:tc>
        <w:tc>
          <w:tcPr>
            <w:tcW w:w="1054" w:type="dxa"/>
            <w:tcBorders>
              <w:top w:val="nil"/>
              <w:left w:val="single" w:sz="4" w:space="0" w:color="4F81BD"/>
              <w:bottom w:val="single" w:sz="4" w:space="0" w:color="auto"/>
              <w:right w:val="single" w:sz="4" w:space="0" w:color="auto"/>
            </w:tcBorders>
            <w:shd w:val="clear" w:color="000000" w:fill="DAEEF3"/>
            <w:noWrap/>
            <w:vAlign w:val="center"/>
          </w:tcPr>
          <w:p w:rsidR="00DD66E7" w:rsidRPr="008D6095" w:rsidRDefault="00DD66E7" w:rsidP="00DD66E7">
            <w:pPr>
              <w:jc w:val="center"/>
              <w:rPr>
                <w:color w:val="000000"/>
                <w:sz w:val="16"/>
                <w:szCs w:val="16"/>
                <w:lang w:val="sq-AL"/>
              </w:rPr>
            </w:pPr>
            <w:r w:rsidRPr="008D6095">
              <w:rPr>
                <w:color w:val="000000"/>
                <w:sz w:val="16"/>
                <w:szCs w:val="16"/>
                <w:lang w:val="sq-AL"/>
              </w:rPr>
              <w:t>0%</w:t>
            </w:r>
          </w:p>
        </w:tc>
      </w:tr>
      <w:tr w:rsidR="00DD66E7" w:rsidRPr="008D6095" w:rsidTr="00DD66E7">
        <w:trPr>
          <w:trHeight w:val="276"/>
          <w:jc w:val="center"/>
        </w:trPr>
        <w:tc>
          <w:tcPr>
            <w:tcW w:w="3634" w:type="dxa"/>
            <w:tcBorders>
              <w:top w:val="nil"/>
              <w:left w:val="single" w:sz="4" w:space="0" w:color="auto"/>
              <w:bottom w:val="single" w:sz="4" w:space="0" w:color="auto"/>
              <w:right w:val="single" w:sz="4" w:space="0" w:color="4F81BD"/>
            </w:tcBorders>
            <w:shd w:val="clear" w:color="auto" w:fill="auto"/>
            <w:noWrap/>
            <w:vAlign w:val="center"/>
            <w:hideMark/>
          </w:tcPr>
          <w:p w:rsidR="00DD66E7" w:rsidRPr="008D6095" w:rsidRDefault="00DD66E7" w:rsidP="00DD66E7">
            <w:pPr>
              <w:rPr>
                <w:b/>
                <w:bCs/>
                <w:color w:val="000000"/>
                <w:sz w:val="16"/>
                <w:szCs w:val="16"/>
                <w:lang w:val="sq-AL"/>
              </w:rPr>
            </w:pPr>
            <w:r w:rsidRPr="008D6095">
              <w:rPr>
                <w:b/>
                <w:bCs/>
                <w:color w:val="000000"/>
                <w:sz w:val="16"/>
                <w:szCs w:val="16"/>
                <w:lang w:val="sq-AL"/>
              </w:rPr>
              <w:t xml:space="preserve">  Ministria e Bujqesise dhe Zhvillimit Rural                                                       </w:t>
            </w:r>
          </w:p>
        </w:tc>
        <w:tc>
          <w:tcPr>
            <w:tcW w:w="1267" w:type="dxa"/>
            <w:tcBorders>
              <w:top w:val="nil"/>
              <w:left w:val="single" w:sz="4" w:space="0" w:color="4F81BD"/>
              <w:bottom w:val="single" w:sz="4" w:space="0" w:color="auto"/>
              <w:right w:val="single" w:sz="4" w:space="0" w:color="4F81BD"/>
            </w:tcBorders>
            <w:shd w:val="clear" w:color="auto" w:fill="auto"/>
            <w:noWrap/>
            <w:vAlign w:val="center"/>
          </w:tcPr>
          <w:p w:rsidR="00DD66E7" w:rsidRPr="008D6095" w:rsidRDefault="00DD66E7" w:rsidP="00DD66E7">
            <w:pPr>
              <w:jc w:val="right"/>
              <w:rPr>
                <w:color w:val="000000"/>
                <w:sz w:val="16"/>
                <w:szCs w:val="16"/>
                <w:lang w:val="sq-AL"/>
              </w:rPr>
            </w:pPr>
            <w:r w:rsidRPr="008D6095">
              <w:rPr>
                <w:color w:val="000000"/>
                <w:sz w:val="16"/>
                <w:szCs w:val="16"/>
                <w:lang w:val="sq-AL"/>
              </w:rPr>
              <w:t>11,112,000</w:t>
            </w:r>
          </w:p>
        </w:tc>
        <w:tc>
          <w:tcPr>
            <w:tcW w:w="1267" w:type="dxa"/>
            <w:tcBorders>
              <w:top w:val="nil"/>
              <w:left w:val="single" w:sz="4" w:space="0" w:color="4F81BD"/>
              <w:bottom w:val="single" w:sz="4" w:space="0" w:color="auto"/>
              <w:right w:val="single" w:sz="4" w:space="0" w:color="4F81BD"/>
            </w:tcBorders>
            <w:shd w:val="clear" w:color="auto" w:fill="auto"/>
            <w:noWrap/>
            <w:vAlign w:val="center"/>
          </w:tcPr>
          <w:p w:rsidR="00DD66E7" w:rsidRPr="008D6095" w:rsidRDefault="00DD66E7" w:rsidP="00DD66E7">
            <w:pPr>
              <w:jc w:val="right"/>
              <w:rPr>
                <w:color w:val="000000"/>
                <w:sz w:val="16"/>
                <w:szCs w:val="16"/>
                <w:lang w:val="sq-AL"/>
              </w:rPr>
            </w:pPr>
            <w:r w:rsidRPr="008D6095">
              <w:rPr>
                <w:color w:val="000000"/>
                <w:sz w:val="16"/>
                <w:szCs w:val="16"/>
                <w:lang w:val="sq-AL"/>
              </w:rPr>
              <w:t>10,559,600</w:t>
            </w:r>
          </w:p>
        </w:tc>
        <w:tc>
          <w:tcPr>
            <w:tcW w:w="1267" w:type="dxa"/>
            <w:tcBorders>
              <w:top w:val="nil"/>
              <w:left w:val="single" w:sz="4" w:space="0" w:color="4F81BD"/>
              <w:bottom w:val="single" w:sz="4" w:space="0" w:color="auto"/>
              <w:right w:val="single" w:sz="4" w:space="0" w:color="4F81BD"/>
            </w:tcBorders>
            <w:shd w:val="clear" w:color="auto" w:fill="auto"/>
            <w:noWrap/>
            <w:vAlign w:val="center"/>
          </w:tcPr>
          <w:p w:rsidR="00DD66E7" w:rsidRPr="008D6095" w:rsidRDefault="00DD66E7" w:rsidP="00DD66E7">
            <w:pPr>
              <w:jc w:val="right"/>
              <w:rPr>
                <w:color w:val="000000"/>
                <w:sz w:val="16"/>
                <w:szCs w:val="16"/>
                <w:lang w:val="sq-AL"/>
              </w:rPr>
            </w:pPr>
            <w:r w:rsidRPr="008D6095">
              <w:rPr>
                <w:color w:val="000000"/>
                <w:sz w:val="16"/>
                <w:szCs w:val="16"/>
                <w:lang w:val="sq-AL"/>
              </w:rPr>
              <w:t>1,653,369</w:t>
            </w:r>
          </w:p>
        </w:tc>
        <w:tc>
          <w:tcPr>
            <w:tcW w:w="1187" w:type="dxa"/>
            <w:tcBorders>
              <w:top w:val="nil"/>
              <w:left w:val="single" w:sz="4" w:space="0" w:color="4F81BD"/>
              <w:bottom w:val="single" w:sz="4" w:space="0" w:color="auto"/>
              <w:right w:val="single" w:sz="4" w:space="0" w:color="4F81BD"/>
            </w:tcBorders>
            <w:shd w:val="clear" w:color="auto" w:fill="auto"/>
            <w:noWrap/>
            <w:vAlign w:val="center"/>
          </w:tcPr>
          <w:p w:rsidR="00DD66E7" w:rsidRPr="008D6095" w:rsidRDefault="00DD66E7" w:rsidP="00DD66E7">
            <w:pPr>
              <w:jc w:val="center"/>
              <w:rPr>
                <w:color w:val="000000"/>
                <w:sz w:val="16"/>
                <w:szCs w:val="16"/>
                <w:lang w:val="sq-AL"/>
              </w:rPr>
            </w:pPr>
            <w:r w:rsidRPr="008D6095">
              <w:rPr>
                <w:color w:val="000000"/>
                <w:sz w:val="16"/>
                <w:szCs w:val="16"/>
                <w:lang w:val="sq-AL"/>
              </w:rPr>
              <w:t>16%</w:t>
            </w:r>
          </w:p>
        </w:tc>
        <w:tc>
          <w:tcPr>
            <w:tcW w:w="1054" w:type="dxa"/>
            <w:tcBorders>
              <w:top w:val="nil"/>
              <w:left w:val="single" w:sz="4" w:space="0" w:color="4F81BD"/>
              <w:bottom w:val="single" w:sz="4" w:space="0" w:color="auto"/>
              <w:right w:val="single" w:sz="4" w:space="0" w:color="4F81BD"/>
            </w:tcBorders>
            <w:shd w:val="clear" w:color="auto" w:fill="auto"/>
            <w:noWrap/>
            <w:vAlign w:val="center"/>
          </w:tcPr>
          <w:p w:rsidR="00DD66E7" w:rsidRPr="008D6095" w:rsidRDefault="00DD66E7" w:rsidP="00DD66E7">
            <w:pPr>
              <w:jc w:val="center"/>
              <w:rPr>
                <w:color w:val="000000"/>
                <w:sz w:val="16"/>
                <w:szCs w:val="16"/>
                <w:lang w:val="sq-AL"/>
              </w:rPr>
            </w:pPr>
            <w:r w:rsidRPr="008D6095">
              <w:rPr>
                <w:color w:val="000000"/>
                <w:sz w:val="16"/>
                <w:szCs w:val="16"/>
                <w:lang w:val="sq-AL"/>
              </w:rPr>
              <w:t>25%</w:t>
            </w:r>
          </w:p>
        </w:tc>
        <w:tc>
          <w:tcPr>
            <w:tcW w:w="1054" w:type="dxa"/>
            <w:tcBorders>
              <w:top w:val="nil"/>
              <w:left w:val="single" w:sz="4" w:space="0" w:color="4F81BD"/>
              <w:bottom w:val="single" w:sz="4" w:space="0" w:color="auto"/>
              <w:right w:val="single" w:sz="4" w:space="0" w:color="auto"/>
            </w:tcBorders>
            <w:shd w:val="clear" w:color="auto" w:fill="auto"/>
            <w:noWrap/>
            <w:vAlign w:val="center"/>
          </w:tcPr>
          <w:p w:rsidR="00DD66E7" w:rsidRPr="008D6095" w:rsidRDefault="00DD66E7" w:rsidP="00DD66E7">
            <w:pPr>
              <w:jc w:val="center"/>
              <w:rPr>
                <w:color w:val="000000"/>
                <w:sz w:val="16"/>
                <w:szCs w:val="16"/>
                <w:lang w:val="sq-AL"/>
              </w:rPr>
            </w:pPr>
            <w:r w:rsidRPr="008D6095">
              <w:rPr>
                <w:color w:val="000000"/>
                <w:sz w:val="16"/>
                <w:szCs w:val="16"/>
                <w:lang w:val="sq-AL"/>
              </w:rPr>
              <w:t>10%</w:t>
            </w:r>
          </w:p>
        </w:tc>
      </w:tr>
      <w:tr w:rsidR="00DD66E7" w:rsidRPr="008D6095" w:rsidTr="00DD66E7">
        <w:trPr>
          <w:trHeight w:val="276"/>
          <w:jc w:val="center"/>
        </w:trPr>
        <w:tc>
          <w:tcPr>
            <w:tcW w:w="3634" w:type="dxa"/>
            <w:tcBorders>
              <w:top w:val="nil"/>
              <w:left w:val="single" w:sz="4" w:space="0" w:color="auto"/>
              <w:bottom w:val="single" w:sz="4" w:space="0" w:color="auto"/>
              <w:right w:val="single" w:sz="4" w:space="0" w:color="4F81BD"/>
            </w:tcBorders>
            <w:shd w:val="clear" w:color="000000" w:fill="DAEEF3"/>
            <w:noWrap/>
            <w:vAlign w:val="center"/>
            <w:hideMark/>
          </w:tcPr>
          <w:p w:rsidR="00DD66E7" w:rsidRPr="008D6095" w:rsidRDefault="00DD66E7" w:rsidP="00DD66E7">
            <w:pPr>
              <w:rPr>
                <w:b/>
                <w:bCs/>
                <w:color w:val="000000"/>
                <w:sz w:val="16"/>
                <w:szCs w:val="16"/>
                <w:lang w:val="sq-AL"/>
              </w:rPr>
            </w:pPr>
            <w:r w:rsidRPr="008D6095">
              <w:rPr>
                <w:b/>
                <w:bCs/>
                <w:color w:val="000000"/>
                <w:sz w:val="16"/>
                <w:szCs w:val="16"/>
                <w:lang w:val="sq-AL"/>
              </w:rPr>
              <w:t xml:space="preserve"> Ministria e Infrastruktures dhe Energjise                                                        </w:t>
            </w:r>
          </w:p>
        </w:tc>
        <w:tc>
          <w:tcPr>
            <w:tcW w:w="1267" w:type="dxa"/>
            <w:tcBorders>
              <w:top w:val="nil"/>
              <w:left w:val="single" w:sz="4" w:space="0" w:color="4F81BD"/>
              <w:bottom w:val="single" w:sz="4" w:space="0" w:color="auto"/>
              <w:right w:val="single" w:sz="4" w:space="0" w:color="4F81BD"/>
            </w:tcBorders>
            <w:shd w:val="clear" w:color="000000" w:fill="DAEEF3"/>
            <w:noWrap/>
            <w:vAlign w:val="center"/>
          </w:tcPr>
          <w:p w:rsidR="00DD66E7" w:rsidRPr="008D6095" w:rsidRDefault="00DD66E7" w:rsidP="00DD66E7">
            <w:pPr>
              <w:jc w:val="right"/>
              <w:rPr>
                <w:color w:val="000000"/>
                <w:sz w:val="16"/>
                <w:szCs w:val="16"/>
                <w:lang w:val="sq-AL"/>
              </w:rPr>
            </w:pPr>
            <w:r w:rsidRPr="008D6095">
              <w:rPr>
                <w:color w:val="000000"/>
                <w:sz w:val="16"/>
                <w:szCs w:val="16"/>
                <w:lang w:val="sq-AL"/>
              </w:rPr>
              <w:t>40,858,630</w:t>
            </w:r>
          </w:p>
        </w:tc>
        <w:tc>
          <w:tcPr>
            <w:tcW w:w="1267" w:type="dxa"/>
            <w:tcBorders>
              <w:top w:val="nil"/>
              <w:left w:val="single" w:sz="4" w:space="0" w:color="4F81BD"/>
              <w:bottom w:val="single" w:sz="4" w:space="0" w:color="auto"/>
              <w:right w:val="single" w:sz="4" w:space="0" w:color="4F81BD"/>
            </w:tcBorders>
            <w:shd w:val="clear" w:color="000000" w:fill="DAEEF3"/>
            <w:noWrap/>
            <w:vAlign w:val="center"/>
          </w:tcPr>
          <w:p w:rsidR="00DD66E7" w:rsidRPr="008D6095" w:rsidRDefault="00DD66E7" w:rsidP="00DD66E7">
            <w:pPr>
              <w:jc w:val="right"/>
              <w:rPr>
                <w:color w:val="000000"/>
                <w:sz w:val="16"/>
                <w:szCs w:val="16"/>
                <w:lang w:val="sq-AL"/>
              </w:rPr>
            </w:pPr>
            <w:r w:rsidRPr="008D6095">
              <w:rPr>
                <w:color w:val="000000"/>
                <w:sz w:val="16"/>
                <w:szCs w:val="16"/>
                <w:lang w:val="sq-AL"/>
              </w:rPr>
              <w:t>37,604,630</w:t>
            </w:r>
          </w:p>
        </w:tc>
        <w:tc>
          <w:tcPr>
            <w:tcW w:w="1267" w:type="dxa"/>
            <w:tcBorders>
              <w:top w:val="nil"/>
              <w:left w:val="single" w:sz="4" w:space="0" w:color="4F81BD"/>
              <w:bottom w:val="single" w:sz="4" w:space="0" w:color="auto"/>
              <w:right w:val="single" w:sz="4" w:space="0" w:color="4F81BD"/>
            </w:tcBorders>
            <w:shd w:val="clear" w:color="000000" w:fill="DAEEF3"/>
            <w:noWrap/>
            <w:vAlign w:val="center"/>
          </w:tcPr>
          <w:p w:rsidR="00DD66E7" w:rsidRPr="008D6095" w:rsidRDefault="00DD66E7" w:rsidP="00DD66E7">
            <w:pPr>
              <w:jc w:val="right"/>
              <w:rPr>
                <w:color w:val="000000"/>
                <w:sz w:val="16"/>
                <w:szCs w:val="16"/>
                <w:lang w:val="sq-AL"/>
              </w:rPr>
            </w:pPr>
            <w:r w:rsidRPr="008D6095">
              <w:rPr>
                <w:color w:val="000000"/>
                <w:sz w:val="16"/>
                <w:szCs w:val="16"/>
                <w:lang w:val="sq-AL"/>
              </w:rPr>
              <w:t>13,843,930</w:t>
            </w:r>
          </w:p>
        </w:tc>
        <w:tc>
          <w:tcPr>
            <w:tcW w:w="1187" w:type="dxa"/>
            <w:tcBorders>
              <w:top w:val="nil"/>
              <w:left w:val="single" w:sz="4" w:space="0" w:color="4F81BD"/>
              <w:bottom w:val="single" w:sz="4" w:space="0" w:color="auto"/>
              <w:right w:val="single" w:sz="4" w:space="0" w:color="4F81BD"/>
            </w:tcBorders>
            <w:shd w:val="clear" w:color="000000" w:fill="DAEEF3"/>
            <w:noWrap/>
            <w:vAlign w:val="center"/>
          </w:tcPr>
          <w:p w:rsidR="00DD66E7" w:rsidRPr="008D6095" w:rsidRDefault="00DD66E7" w:rsidP="00DD66E7">
            <w:pPr>
              <w:jc w:val="center"/>
              <w:rPr>
                <w:color w:val="000000"/>
                <w:sz w:val="16"/>
                <w:szCs w:val="16"/>
                <w:lang w:val="sq-AL"/>
              </w:rPr>
            </w:pPr>
            <w:r w:rsidRPr="008D6095">
              <w:rPr>
                <w:color w:val="000000"/>
                <w:sz w:val="16"/>
                <w:szCs w:val="16"/>
                <w:lang w:val="sq-AL"/>
              </w:rPr>
              <w:t>37%</w:t>
            </w:r>
          </w:p>
        </w:tc>
        <w:tc>
          <w:tcPr>
            <w:tcW w:w="1054" w:type="dxa"/>
            <w:tcBorders>
              <w:top w:val="nil"/>
              <w:left w:val="single" w:sz="4" w:space="0" w:color="4F81BD"/>
              <w:bottom w:val="single" w:sz="4" w:space="0" w:color="auto"/>
              <w:right w:val="single" w:sz="4" w:space="0" w:color="4F81BD"/>
            </w:tcBorders>
            <w:shd w:val="clear" w:color="000000" w:fill="DAEEF3"/>
            <w:noWrap/>
            <w:vAlign w:val="center"/>
          </w:tcPr>
          <w:p w:rsidR="00DD66E7" w:rsidRPr="008D6095" w:rsidRDefault="00DD66E7" w:rsidP="00DD66E7">
            <w:pPr>
              <w:jc w:val="center"/>
              <w:rPr>
                <w:color w:val="000000"/>
                <w:sz w:val="16"/>
                <w:szCs w:val="16"/>
                <w:lang w:val="sq-AL"/>
              </w:rPr>
            </w:pPr>
            <w:r w:rsidRPr="008D6095">
              <w:rPr>
                <w:color w:val="000000"/>
                <w:sz w:val="16"/>
                <w:szCs w:val="16"/>
                <w:lang w:val="sq-AL"/>
              </w:rPr>
              <w:t>41%</w:t>
            </w:r>
          </w:p>
        </w:tc>
        <w:tc>
          <w:tcPr>
            <w:tcW w:w="1054" w:type="dxa"/>
            <w:tcBorders>
              <w:top w:val="nil"/>
              <w:left w:val="single" w:sz="4" w:space="0" w:color="4F81BD"/>
              <w:bottom w:val="single" w:sz="4" w:space="0" w:color="auto"/>
              <w:right w:val="single" w:sz="4" w:space="0" w:color="auto"/>
            </w:tcBorders>
            <w:shd w:val="clear" w:color="000000" w:fill="DAEEF3"/>
            <w:noWrap/>
            <w:vAlign w:val="center"/>
          </w:tcPr>
          <w:p w:rsidR="00DD66E7" w:rsidRPr="008D6095" w:rsidRDefault="00DD66E7" w:rsidP="00DD66E7">
            <w:pPr>
              <w:jc w:val="center"/>
              <w:rPr>
                <w:color w:val="000000"/>
                <w:sz w:val="16"/>
                <w:szCs w:val="16"/>
                <w:lang w:val="sq-AL"/>
              </w:rPr>
            </w:pPr>
            <w:r w:rsidRPr="008D6095">
              <w:rPr>
                <w:color w:val="000000"/>
                <w:sz w:val="16"/>
                <w:szCs w:val="16"/>
                <w:lang w:val="sq-AL"/>
              </w:rPr>
              <w:t>36%</w:t>
            </w:r>
          </w:p>
        </w:tc>
      </w:tr>
      <w:tr w:rsidR="00DD66E7" w:rsidRPr="008D6095" w:rsidTr="00DD66E7">
        <w:trPr>
          <w:trHeight w:val="276"/>
          <w:jc w:val="center"/>
        </w:trPr>
        <w:tc>
          <w:tcPr>
            <w:tcW w:w="3634" w:type="dxa"/>
            <w:tcBorders>
              <w:top w:val="nil"/>
              <w:left w:val="single" w:sz="4" w:space="0" w:color="auto"/>
              <w:bottom w:val="single" w:sz="4" w:space="0" w:color="auto"/>
              <w:right w:val="single" w:sz="4" w:space="0" w:color="4F81BD"/>
            </w:tcBorders>
            <w:shd w:val="clear" w:color="auto" w:fill="auto"/>
            <w:noWrap/>
            <w:vAlign w:val="center"/>
            <w:hideMark/>
          </w:tcPr>
          <w:p w:rsidR="00DD66E7" w:rsidRPr="008D6095" w:rsidRDefault="00DD66E7" w:rsidP="00DD66E7">
            <w:pPr>
              <w:rPr>
                <w:b/>
                <w:bCs/>
                <w:color w:val="000000"/>
                <w:sz w:val="16"/>
                <w:szCs w:val="16"/>
                <w:lang w:val="sq-AL"/>
              </w:rPr>
            </w:pPr>
            <w:r w:rsidRPr="008D6095">
              <w:rPr>
                <w:b/>
                <w:bCs/>
                <w:color w:val="000000"/>
                <w:sz w:val="16"/>
                <w:szCs w:val="16"/>
                <w:lang w:val="sq-AL"/>
              </w:rPr>
              <w:t xml:space="preserve"> Ministria e Financave dhe Ekonomise                                                              </w:t>
            </w:r>
          </w:p>
        </w:tc>
        <w:tc>
          <w:tcPr>
            <w:tcW w:w="1267" w:type="dxa"/>
            <w:tcBorders>
              <w:top w:val="nil"/>
              <w:left w:val="single" w:sz="4" w:space="0" w:color="4F81BD"/>
              <w:bottom w:val="single" w:sz="4" w:space="0" w:color="auto"/>
              <w:right w:val="single" w:sz="4" w:space="0" w:color="4F81BD"/>
            </w:tcBorders>
            <w:shd w:val="clear" w:color="auto" w:fill="auto"/>
            <w:noWrap/>
            <w:vAlign w:val="center"/>
          </w:tcPr>
          <w:p w:rsidR="00DD66E7" w:rsidRPr="008D6095" w:rsidRDefault="00DD66E7" w:rsidP="00DD66E7">
            <w:pPr>
              <w:jc w:val="right"/>
              <w:rPr>
                <w:color w:val="000000"/>
                <w:sz w:val="16"/>
                <w:szCs w:val="16"/>
                <w:lang w:val="sq-AL"/>
              </w:rPr>
            </w:pPr>
            <w:r w:rsidRPr="008D6095">
              <w:rPr>
                <w:color w:val="000000"/>
                <w:sz w:val="16"/>
                <w:szCs w:val="16"/>
                <w:lang w:val="sq-AL"/>
              </w:rPr>
              <w:t>59,857,139</w:t>
            </w:r>
          </w:p>
        </w:tc>
        <w:tc>
          <w:tcPr>
            <w:tcW w:w="1267" w:type="dxa"/>
            <w:tcBorders>
              <w:top w:val="nil"/>
              <w:left w:val="single" w:sz="4" w:space="0" w:color="4F81BD"/>
              <w:bottom w:val="single" w:sz="4" w:space="0" w:color="auto"/>
              <w:right w:val="single" w:sz="4" w:space="0" w:color="4F81BD"/>
            </w:tcBorders>
            <w:shd w:val="clear" w:color="auto" w:fill="auto"/>
            <w:noWrap/>
            <w:vAlign w:val="center"/>
          </w:tcPr>
          <w:p w:rsidR="00DD66E7" w:rsidRPr="008D6095" w:rsidRDefault="00DD66E7" w:rsidP="00DD66E7">
            <w:pPr>
              <w:jc w:val="right"/>
              <w:rPr>
                <w:color w:val="000000"/>
                <w:sz w:val="16"/>
                <w:szCs w:val="16"/>
                <w:lang w:val="sq-AL"/>
              </w:rPr>
            </w:pPr>
            <w:r w:rsidRPr="008D6095">
              <w:rPr>
                <w:color w:val="000000"/>
                <w:sz w:val="16"/>
                <w:szCs w:val="16"/>
                <w:lang w:val="sq-AL"/>
              </w:rPr>
              <w:t>74,213,394</w:t>
            </w:r>
          </w:p>
        </w:tc>
        <w:tc>
          <w:tcPr>
            <w:tcW w:w="1267" w:type="dxa"/>
            <w:tcBorders>
              <w:top w:val="nil"/>
              <w:left w:val="single" w:sz="4" w:space="0" w:color="4F81BD"/>
              <w:bottom w:val="single" w:sz="4" w:space="0" w:color="auto"/>
              <w:right w:val="single" w:sz="4" w:space="0" w:color="4F81BD"/>
            </w:tcBorders>
            <w:shd w:val="clear" w:color="auto" w:fill="auto"/>
            <w:noWrap/>
            <w:vAlign w:val="center"/>
          </w:tcPr>
          <w:p w:rsidR="00DD66E7" w:rsidRPr="008D6095" w:rsidRDefault="00DD66E7" w:rsidP="00DD66E7">
            <w:pPr>
              <w:jc w:val="right"/>
              <w:rPr>
                <w:color w:val="000000"/>
                <w:sz w:val="16"/>
                <w:szCs w:val="16"/>
                <w:lang w:val="sq-AL"/>
              </w:rPr>
            </w:pPr>
            <w:r w:rsidRPr="008D6095">
              <w:rPr>
                <w:color w:val="000000"/>
                <w:sz w:val="16"/>
                <w:szCs w:val="16"/>
                <w:lang w:val="sq-AL"/>
              </w:rPr>
              <w:t>33,938,725</w:t>
            </w:r>
          </w:p>
        </w:tc>
        <w:tc>
          <w:tcPr>
            <w:tcW w:w="1187" w:type="dxa"/>
            <w:tcBorders>
              <w:top w:val="nil"/>
              <w:left w:val="single" w:sz="4" w:space="0" w:color="4F81BD"/>
              <w:bottom w:val="single" w:sz="4" w:space="0" w:color="auto"/>
              <w:right w:val="single" w:sz="4" w:space="0" w:color="4F81BD"/>
            </w:tcBorders>
            <w:shd w:val="clear" w:color="auto" w:fill="auto"/>
            <w:noWrap/>
            <w:vAlign w:val="center"/>
          </w:tcPr>
          <w:p w:rsidR="00DD66E7" w:rsidRPr="008D6095" w:rsidRDefault="00DD66E7" w:rsidP="00DD66E7">
            <w:pPr>
              <w:jc w:val="center"/>
              <w:rPr>
                <w:color w:val="000000"/>
                <w:sz w:val="16"/>
                <w:szCs w:val="16"/>
                <w:lang w:val="sq-AL"/>
              </w:rPr>
            </w:pPr>
            <w:r w:rsidRPr="008D6095">
              <w:rPr>
                <w:color w:val="000000"/>
                <w:sz w:val="16"/>
                <w:szCs w:val="16"/>
                <w:lang w:val="sq-AL"/>
              </w:rPr>
              <w:t>46%</w:t>
            </w:r>
          </w:p>
        </w:tc>
        <w:tc>
          <w:tcPr>
            <w:tcW w:w="1054" w:type="dxa"/>
            <w:tcBorders>
              <w:top w:val="nil"/>
              <w:left w:val="single" w:sz="4" w:space="0" w:color="4F81BD"/>
              <w:bottom w:val="single" w:sz="4" w:space="0" w:color="auto"/>
              <w:right w:val="single" w:sz="4" w:space="0" w:color="4F81BD"/>
            </w:tcBorders>
            <w:shd w:val="clear" w:color="auto" w:fill="auto"/>
            <w:noWrap/>
            <w:vAlign w:val="center"/>
          </w:tcPr>
          <w:p w:rsidR="00DD66E7" w:rsidRPr="008D6095" w:rsidRDefault="00DD66E7" w:rsidP="00DD66E7">
            <w:pPr>
              <w:jc w:val="center"/>
              <w:rPr>
                <w:color w:val="000000"/>
                <w:sz w:val="16"/>
                <w:szCs w:val="16"/>
                <w:lang w:val="sq-AL"/>
              </w:rPr>
            </w:pPr>
            <w:r w:rsidRPr="008D6095">
              <w:rPr>
                <w:color w:val="000000"/>
                <w:sz w:val="16"/>
                <w:szCs w:val="16"/>
                <w:lang w:val="sq-AL"/>
              </w:rPr>
              <w:t>46%</w:t>
            </w:r>
          </w:p>
        </w:tc>
        <w:tc>
          <w:tcPr>
            <w:tcW w:w="1054" w:type="dxa"/>
            <w:tcBorders>
              <w:top w:val="nil"/>
              <w:left w:val="single" w:sz="4" w:space="0" w:color="4F81BD"/>
              <w:bottom w:val="single" w:sz="4" w:space="0" w:color="auto"/>
              <w:right w:val="single" w:sz="4" w:space="0" w:color="auto"/>
            </w:tcBorders>
            <w:shd w:val="clear" w:color="auto" w:fill="auto"/>
            <w:noWrap/>
            <w:vAlign w:val="center"/>
          </w:tcPr>
          <w:p w:rsidR="00DD66E7" w:rsidRPr="008D6095" w:rsidRDefault="00DD66E7" w:rsidP="00DD66E7">
            <w:pPr>
              <w:jc w:val="center"/>
              <w:rPr>
                <w:color w:val="000000"/>
                <w:sz w:val="16"/>
                <w:szCs w:val="16"/>
                <w:lang w:val="sq-AL"/>
              </w:rPr>
            </w:pPr>
            <w:r w:rsidRPr="008D6095">
              <w:rPr>
                <w:color w:val="000000"/>
                <w:sz w:val="16"/>
                <w:szCs w:val="16"/>
                <w:lang w:val="sq-AL"/>
              </w:rPr>
              <w:t>28%</w:t>
            </w:r>
          </w:p>
        </w:tc>
      </w:tr>
      <w:tr w:rsidR="00DD66E7" w:rsidRPr="008D6095" w:rsidTr="00DD66E7">
        <w:trPr>
          <w:trHeight w:val="276"/>
          <w:jc w:val="center"/>
        </w:trPr>
        <w:tc>
          <w:tcPr>
            <w:tcW w:w="3634" w:type="dxa"/>
            <w:tcBorders>
              <w:top w:val="nil"/>
              <w:left w:val="single" w:sz="4" w:space="0" w:color="auto"/>
              <w:bottom w:val="single" w:sz="4" w:space="0" w:color="auto"/>
              <w:right w:val="single" w:sz="4" w:space="0" w:color="4F81BD"/>
            </w:tcBorders>
            <w:shd w:val="clear" w:color="000000" w:fill="DAEEF3"/>
            <w:noWrap/>
            <w:vAlign w:val="center"/>
            <w:hideMark/>
          </w:tcPr>
          <w:p w:rsidR="00DD66E7" w:rsidRPr="008D6095" w:rsidRDefault="00DD66E7" w:rsidP="00DD66E7">
            <w:pPr>
              <w:rPr>
                <w:b/>
                <w:bCs/>
                <w:color w:val="000000"/>
                <w:sz w:val="16"/>
                <w:szCs w:val="16"/>
                <w:lang w:val="sq-AL"/>
              </w:rPr>
            </w:pPr>
            <w:r w:rsidRPr="008D6095">
              <w:rPr>
                <w:b/>
                <w:bCs/>
                <w:color w:val="000000"/>
                <w:sz w:val="16"/>
                <w:szCs w:val="16"/>
                <w:lang w:val="sq-AL"/>
              </w:rPr>
              <w:t xml:space="preserve"> Ministria e Arsimit Sportit dhe Rinise                                                           </w:t>
            </w:r>
          </w:p>
        </w:tc>
        <w:tc>
          <w:tcPr>
            <w:tcW w:w="1267" w:type="dxa"/>
            <w:tcBorders>
              <w:top w:val="nil"/>
              <w:left w:val="single" w:sz="4" w:space="0" w:color="4F81BD"/>
              <w:bottom w:val="single" w:sz="4" w:space="0" w:color="auto"/>
              <w:right w:val="single" w:sz="4" w:space="0" w:color="4F81BD"/>
            </w:tcBorders>
            <w:shd w:val="clear" w:color="000000" w:fill="DAEEF3"/>
            <w:noWrap/>
            <w:vAlign w:val="center"/>
          </w:tcPr>
          <w:p w:rsidR="00DD66E7" w:rsidRPr="008D6095" w:rsidRDefault="00DD66E7" w:rsidP="00DD66E7">
            <w:pPr>
              <w:jc w:val="right"/>
              <w:rPr>
                <w:color w:val="000000"/>
                <w:sz w:val="16"/>
                <w:szCs w:val="16"/>
                <w:lang w:val="sq-AL"/>
              </w:rPr>
            </w:pPr>
            <w:r w:rsidRPr="008D6095">
              <w:rPr>
                <w:color w:val="000000"/>
                <w:sz w:val="16"/>
                <w:szCs w:val="16"/>
                <w:lang w:val="sq-AL"/>
              </w:rPr>
              <w:t>41,979,763</w:t>
            </w:r>
          </w:p>
        </w:tc>
        <w:tc>
          <w:tcPr>
            <w:tcW w:w="1267" w:type="dxa"/>
            <w:tcBorders>
              <w:top w:val="nil"/>
              <w:left w:val="single" w:sz="4" w:space="0" w:color="4F81BD"/>
              <w:bottom w:val="single" w:sz="4" w:space="0" w:color="auto"/>
              <w:right w:val="single" w:sz="4" w:space="0" w:color="4F81BD"/>
            </w:tcBorders>
            <w:shd w:val="clear" w:color="000000" w:fill="DAEEF3"/>
            <w:noWrap/>
            <w:vAlign w:val="center"/>
          </w:tcPr>
          <w:p w:rsidR="00DD66E7" w:rsidRPr="008D6095" w:rsidRDefault="00DD66E7" w:rsidP="00DD66E7">
            <w:pPr>
              <w:jc w:val="right"/>
              <w:rPr>
                <w:color w:val="000000"/>
                <w:sz w:val="16"/>
                <w:szCs w:val="16"/>
                <w:lang w:val="sq-AL"/>
              </w:rPr>
            </w:pPr>
            <w:r w:rsidRPr="008D6095">
              <w:rPr>
                <w:color w:val="000000"/>
                <w:sz w:val="16"/>
                <w:szCs w:val="16"/>
                <w:lang w:val="sq-AL"/>
              </w:rPr>
              <w:t>41,328,005</w:t>
            </w:r>
          </w:p>
        </w:tc>
        <w:tc>
          <w:tcPr>
            <w:tcW w:w="1267" w:type="dxa"/>
            <w:tcBorders>
              <w:top w:val="nil"/>
              <w:left w:val="single" w:sz="4" w:space="0" w:color="4F81BD"/>
              <w:bottom w:val="single" w:sz="4" w:space="0" w:color="auto"/>
              <w:right w:val="single" w:sz="4" w:space="0" w:color="4F81BD"/>
            </w:tcBorders>
            <w:shd w:val="clear" w:color="000000" w:fill="DAEEF3"/>
            <w:noWrap/>
            <w:vAlign w:val="center"/>
          </w:tcPr>
          <w:p w:rsidR="00DD66E7" w:rsidRPr="008D6095" w:rsidRDefault="00DD66E7" w:rsidP="00DD66E7">
            <w:pPr>
              <w:jc w:val="right"/>
              <w:rPr>
                <w:color w:val="000000"/>
                <w:sz w:val="16"/>
                <w:szCs w:val="16"/>
                <w:lang w:val="sq-AL"/>
              </w:rPr>
            </w:pPr>
            <w:r w:rsidRPr="008D6095">
              <w:rPr>
                <w:color w:val="000000"/>
                <w:sz w:val="16"/>
                <w:szCs w:val="16"/>
                <w:lang w:val="sq-AL"/>
              </w:rPr>
              <w:t>15,361,163</w:t>
            </w:r>
          </w:p>
        </w:tc>
        <w:tc>
          <w:tcPr>
            <w:tcW w:w="1187" w:type="dxa"/>
            <w:tcBorders>
              <w:top w:val="nil"/>
              <w:left w:val="single" w:sz="4" w:space="0" w:color="4F81BD"/>
              <w:bottom w:val="single" w:sz="4" w:space="0" w:color="auto"/>
              <w:right w:val="single" w:sz="4" w:space="0" w:color="4F81BD"/>
            </w:tcBorders>
            <w:shd w:val="clear" w:color="000000" w:fill="DAEEF3"/>
            <w:noWrap/>
            <w:vAlign w:val="center"/>
          </w:tcPr>
          <w:p w:rsidR="00DD66E7" w:rsidRPr="008D6095" w:rsidRDefault="00DD66E7" w:rsidP="00DD66E7">
            <w:pPr>
              <w:jc w:val="center"/>
              <w:rPr>
                <w:color w:val="000000"/>
                <w:sz w:val="16"/>
                <w:szCs w:val="16"/>
                <w:lang w:val="sq-AL"/>
              </w:rPr>
            </w:pPr>
            <w:r w:rsidRPr="008D6095">
              <w:rPr>
                <w:color w:val="000000"/>
                <w:sz w:val="16"/>
                <w:szCs w:val="16"/>
                <w:lang w:val="sq-AL"/>
              </w:rPr>
              <w:t>37%</w:t>
            </w:r>
          </w:p>
        </w:tc>
        <w:tc>
          <w:tcPr>
            <w:tcW w:w="1054" w:type="dxa"/>
            <w:tcBorders>
              <w:top w:val="nil"/>
              <w:left w:val="single" w:sz="4" w:space="0" w:color="4F81BD"/>
              <w:bottom w:val="single" w:sz="4" w:space="0" w:color="auto"/>
              <w:right w:val="single" w:sz="4" w:space="0" w:color="4F81BD"/>
            </w:tcBorders>
            <w:shd w:val="clear" w:color="000000" w:fill="DAEEF3"/>
            <w:noWrap/>
            <w:vAlign w:val="center"/>
          </w:tcPr>
          <w:p w:rsidR="00DD66E7" w:rsidRPr="008D6095" w:rsidRDefault="00DD66E7" w:rsidP="00DD66E7">
            <w:pPr>
              <w:jc w:val="center"/>
              <w:rPr>
                <w:color w:val="000000"/>
                <w:sz w:val="16"/>
                <w:szCs w:val="16"/>
                <w:lang w:val="sq-AL"/>
              </w:rPr>
            </w:pPr>
            <w:r w:rsidRPr="008D6095">
              <w:rPr>
                <w:color w:val="000000"/>
                <w:sz w:val="16"/>
                <w:szCs w:val="16"/>
                <w:lang w:val="sq-AL"/>
              </w:rPr>
              <w:t>38%</w:t>
            </w:r>
          </w:p>
        </w:tc>
        <w:tc>
          <w:tcPr>
            <w:tcW w:w="1054" w:type="dxa"/>
            <w:tcBorders>
              <w:top w:val="nil"/>
              <w:left w:val="single" w:sz="4" w:space="0" w:color="4F81BD"/>
              <w:bottom w:val="single" w:sz="4" w:space="0" w:color="auto"/>
              <w:right w:val="single" w:sz="4" w:space="0" w:color="auto"/>
            </w:tcBorders>
            <w:shd w:val="clear" w:color="000000" w:fill="DAEEF3"/>
            <w:noWrap/>
            <w:vAlign w:val="center"/>
          </w:tcPr>
          <w:p w:rsidR="00DD66E7" w:rsidRPr="008D6095" w:rsidRDefault="00DD66E7" w:rsidP="00DD66E7">
            <w:pPr>
              <w:jc w:val="center"/>
              <w:rPr>
                <w:color w:val="000000"/>
                <w:sz w:val="16"/>
                <w:szCs w:val="16"/>
                <w:lang w:val="sq-AL"/>
              </w:rPr>
            </w:pPr>
            <w:r w:rsidRPr="008D6095">
              <w:rPr>
                <w:color w:val="000000"/>
                <w:sz w:val="16"/>
                <w:szCs w:val="16"/>
                <w:lang w:val="sq-AL"/>
              </w:rPr>
              <w:t>21%</w:t>
            </w:r>
          </w:p>
        </w:tc>
      </w:tr>
      <w:tr w:rsidR="00DD66E7" w:rsidRPr="008D6095" w:rsidTr="00DD66E7">
        <w:trPr>
          <w:trHeight w:val="276"/>
          <w:jc w:val="center"/>
        </w:trPr>
        <w:tc>
          <w:tcPr>
            <w:tcW w:w="3634" w:type="dxa"/>
            <w:tcBorders>
              <w:top w:val="nil"/>
              <w:left w:val="single" w:sz="4" w:space="0" w:color="auto"/>
              <w:bottom w:val="single" w:sz="4" w:space="0" w:color="auto"/>
              <w:right w:val="single" w:sz="4" w:space="0" w:color="4F81BD"/>
            </w:tcBorders>
            <w:shd w:val="clear" w:color="auto" w:fill="auto"/>
            <w:noWrap/>
            <w:vAlign w:val="center"/>
            <w:hideMark/>
          </w:tcPr>
          <w:p w:rsidR="00DD66E7" w:rsidRPr="008D6095" w:rsidRDefault="00DD66E7" w:rsidP="00DD66E7">
            <w:pPr>
              <w:rPr>
                <w:b/>
                <w:bCs/>
                <w:color w:val="000000"/>
                <w:sz w:val="16"/>
                <w:szCs w:val="16"/>
                <w:lang w:val="sq-AL"/>
              </w:rPr>
            </w:pPr>
            <w:r w:rsidRPr="008D6095">
              <w:rPr>
                <w:b/>
                <w:bCs/>
                <w:color w:val="000000"/>
                <w:sz w:val="16"/>
                <w:szCs w:val="16"/>
                <w:lang w:val="sq-AL"/>
              </w:rPr>
              <w:t xml:space="preserve"> Ministria e Kultures                                                                             </w:t>
            </w:r>
          </w:p>
        </w:tc>
        <w:tc>
          <w:tcPr>
            <w:tcW w:w="1267" w:type="dxa"/>
            <w:tcBorders>
              <w:top w:val="nil"/>
              <w:left w:val="single" w:sz="4" w:space="0" w:color="4F81BD"/>
              <w:bottom w:val="single" w:sz="4" w:space="0" w:color="auto"/>
              <w:right w:val="single" w:sz="4" w:space="0" w:color="4F81BD"/>
            </w:tcBorders>
            <w:shd w:val="clear" w:color="auto" w:fill="auto"/>
            <w:noWrap/>
            <w:vAlign w:val="center"/>
          </w:tcPr>
          <w:p w:rsidR="00DD66E7" w:rsidRPr="008D6095" w:rsidRDefault="00DD66E7" w:rsidP="00DD66E7">
            <w:pPr>
              <w:jc w:val="right"/>
              <w:rPr>
                <w:color w:val="000000"/>
                <w:sz w:val="16"/>
                <w:szCs w:val="16"/>
                <w:lang w:val="sq-AL"/>
              </w:rPr>
            </w:pPr>
            <w:r w:rsidRPr="008D6095">
              <w:rPr>
                <w:color w:val="000000"/>
                <w:sz w:val="16"/>
                <w:szCs w:val="16"/>
                <w:lang w:val="sq-AL"/>
              </w:rPr>
              <w:t>2,256,204</w:t>
            </w:r>
          </w:p>
        </w:tc>
        <w:tc>
          <w:tcPr>
            <w:tcW w:w="1267" w:type="dxa"/>
            <w:tcBorders>
              <w:top w:val="nil"/>
              <w:left w:val="single" w:sz="4" w:space="0" w:color="4F81BD"/>
              <w:bottom w:val="single" w:sz="4" w:space="0" w:color="auto"/>
              <w:right w:val="single" w:sz="4" w:space="0" w:color="4F81BD"/>
            </w:tcBorders>
            <w:shd w:val="clear" w:color="auto" w:fill="auto"/>
            <w:noWrap/>
            <w:vAlign w:val="center"/>
          </w:tcPr>
          <w:p w:rsidR="00DD66E7" w:rsidRPr="008D6095" w:rsidRDefault="00DD66E7" w:rsidP="00DD66E7">
            <w:pPr>
              <w:jc w:val="right"/>
              <w:rPr>
                <w:color w:val="000000"/>
                <w:sz w:val="16"/>
                <w:szCs w:val="16"/>
                <w:lang w:val="sq-AL"/>
              </w:rPr>
            </w:pPr>
            <w:r w:rsidRPr="008D6095">
              <w:rPr>
                <w:color w:val="000000"/>
                <w:sz w:val="16"/>
                <w:szCs w:val="16"/>
                <w:lang w:val="sq-AL"/>
              </w:rPr>
              <w:t>2,467,331</w:t>
            </w:r>
          </w:p>
        </w:tc>
        <w:tc>
          <w:tcPr>
            <w:tcW w:w="1267" w:type="dxa"/>
            <w:tcBorders>
              <w:top w:val="nil"/>
              <w:left w:val="single" w:sz="4" w:space="0" w:color="4F81BD"/>
              <w:bottom w:val="single" w:sz="4" w:space="0" w:color="auto"/>
              <w:right w:val="single" w:sz="4" w:space="0" w:color="4F81BD"/>
            </w:tcBorders>
            <w:shd w:val="clear" w:color="auto" w:fill="auto"/>
            <w:noWrap/>
            <w:vAlign w:val="center"/>
          </w:tcPr>
          <w:p w:rsidR="00DD66E7" w:rsidRPr="008D6095" w:rsidRDefault="00DD66E7" w:rsidP="00DD66E7">
            <w:pPr>
              <w:jc w:val="right"/>
              <w:rPr>
                <w:color w:val="000000"/>
                <w:sz w:val="16"/>
                <w:szCs w:val="16"/>
                <w:lang w:val="sq-AL"/>
              </w:rPr>
            </w:pPr>
            <w:r w:rsidRPr="008D6095">
              <w:rPr>
                <w:color w:val="000000"/>
                <w:sz w:val="16"/>
                <w:szCs w:val="16"/>
                <w:lang w:val="sq-AL"/>
              </w:rPr>
              <w:t>727,420</w:t>
            </w:r>
          </w:p>
        </w:tc>
        <w:tc>
          <w:tcPr>
            <w:tcW w:w="1187" w:type="dxa"/>
            <w:tcBorders>
              <w:top w:val="nil"/>
              <w:left w:val="single" w:sz="4" w:space="0" w:color="4F81BD"/>
              <w:bottom w:val="single" w:sz="4" w:space="0" w:color="auto"/>
              <w:right w:val="single" w:sz="4" w:space="0" w:color="4F81BD"/>
            </w:tcBorders>
            <w:shd w:val="clear" w:color="auto" w:fill="auto"/>
            <w:noWrap/>
            <w:vAlign w:val="center"/>
          </w:tcPr>
          <w:p w:rsidR="00DD66E7" w:rsidRPr="008D6095" w:rsidRDefault="00DD66E7" w:rsidP="00DD66E7">
            <w:pPr>
              <w:jc w:val="center"/>
              <w:rPr>
                <w:color w:val="000000"/>
                <w:sz w:val="16"/>
                <w:szCs w:val="16"/>
                <w:lang w:val="sq-AL"/>
              </w:rPr>
            </w:pPr>
            <w:r w:rsidRPr="008D6095">
              <w:rPr>
                <w:color w:val="000000"/>
                <w:sz w:val="16"/>
                <w:szCs w:val="16"/>
                <w:lang w:val="sq-AL"/>
              </w:rPr>
              <w:t>29%</w:t>
            </w:r>
          </w:p>
        </w:tc>
        <w:tc>
          <w:tcPr>
            <w:tcW w:w="1054" w:type="dxa"/>
            <w:tcBorders>
              <w:top w:val="nil"/>
              <w:left w:val="single" w:sz="4" w:space="0" w:color="4F81BD"/>
              <w:bottom w:val="single" w:sz="4" w:space="0" w:color="auto"/>
              <w:right w:val="single" w:sz="4" w:space="0" w:color="4F81BD"/>
            </w:tcBorders>
            <w:shd w:val="clear" w:color="auto" w:fill="auto"/>
            <w:noWrap/>
            <w:vAlign w:val="center"/>
          </w:tcPr>
          <w:p w:rsidR="00DD66E7" w:rsidRPr="008D6095" w:rsidRDefault="00DD66E7" w:rsidP="00DD66E7">
            <w:pPr>
              <w:jc w:val="center"/>
              <w:rPr>
                <w:color w:val="000000"/>
                <w:sz w:val="16"/>
                <w:szCs w:val="16"/>
                <w:lang w:val="sq-AL"/>
              </w:rPr>
            </w:pPr>
            <w:r w:rsidRPr="008D6095">
              <w:rPr>
                <w:color w:val="000000"/>
                <w:sz w:val="16"/>
                <w:szCs w:val="16"/>
                <w:lang w:val="sq-AL"/>
              </w:rPr>
              <w:t>32%</w:t>
            </w:r>
          </w:p>
        </w:tc>
        <w:tc>
          <w:tcPr>
            <w:tcW w:w="1054" w:type="dxa"/>
            <w:tcBorders>
              <w:top w:val="nil"/>
              <w:left w:val="single" w:sz="4" w:space="0" w:color="4F81BD"/>
              <w:bottom w:val="single" w:sz="4" w:space="0" w:color="auto"/>
              <w:right w:val="single" w:sz="4" w:space="0" w:color="auto"/>
            </w:tcBorders>
            <w:shd w:val="clear" w:color="auto" w:fill="auto"/>
            <w:noWrap/>
            <w:vAlign w:val="center"/>
          </w:tcPr>
          <w:p w:rsidR="00DD66E7" w:rsidRPr="008D6095" w:rsidRDefault="00DD66E7" w:rsidP="00DD66E7">
            <w:pPr>
              <w:jc w:val="center"/>
              <w:rPr>
                <w:color w:val="000000"/>
                <w:sz w:val="16"/>
                <w:szCs w:val="16"/>
                <w:lang w:val="sq-AL"/>
              </w:rPr>
            </w:pPr>
            <w:r w:rsidRPr="008D6095">
              <w:rPr>
                <w:color w:val="000000"/>
                <w:sz w:val="16"/>
                <w:szCs w:val="16"/>
                <w:lang w:val="sq-AL"/>
              </w:rPr>
              <w:t>26%</w:t>
            </w:r>
          </w:p>
        </w:tc>
      </w:tr>
      <w:tr w:rsidR="00DD66E7" w:rsidRPr="008D6095" w:rsidTr="00DD66E7">
        <w:trPr>
          <w:trHeight w:val="276"/>
          <w:jc w:val="center"/>
        </w:trPr>
        <w:tc>
          <w:tcPr>
            <w:tcW w:w="3634" w:type="dxa"/>
            <w:tcBorders>
              <w:top w:val="nil"/>
              <w:left w:val="single" w:sz="4" w:space="0" w:color="auto"/>
              <w:bottom w:val="single" w:sz="4" w:space="0" w:color="auto"/>
              <w:right w:val="single" w:sz="4" w:space="0" w:color="4F81BD"/>
            </w:tcBorders>
            <w:shd w:val="clear" w:color="000000" w:fill="DAEEF3"/>
            <w:noWrap/>
            <w:vAlign w:val="center"/>
            <w:hideMark/>
          </w:tcPr>
          <w:p w:rsidR="00DD66E7" w:rsidRPr="008D6095" w:rsidRDefault="00DD66E7" w:rsidP="00DD66E7">
            <w:pPr>
              <w:rPr>
                <w:b/>
                <w:bCs/>
                <w:color w:val="000000"/>
                <w:sz w:val="16"/>
                <w:szCs w:val="16"/>
                <w:lang w:val="sq-AL"/>
              </w:rPr>
            </w:pPr>
            <w:r w:rsidRPr="008D6095">
              <w:rPr>
                <w:b/>
                <w:bCs/>
                <w:color w:val="000000"/>
                <w:sz w:val="16"/>
                <w:szCs w:val="16"/>
                <w:lang w:val="sq-AL"/>
              </w:rPr>
              <w:t xml:space="preserve"> Ministria e Shendetesise dhe Mbrojtjes Sociale                                                   </w:t>
            </w:r>
          </w:p>
        </w:tc>
        <w:tc>
          <w:tcPr>
            <w:tcW w:w="1267" w:type="dxa"/>
            <w:tcBorders>
              <w:top w:val="nil"/>
              <w:left w:val="single" w:sz="4" w:space="0" w:color="4F81BD"/>
              <w:bottom w:val="single" w:sz="4" w:space="0" w:color="auto"/>
              <w:right w:val="single" w:sz="4" w:space="0" w:color="4F81BD"/>
            </w:tcBorders>
            <w:shd w:val="clear" w:color="000000" w:fill="DAEEF3"/>
            <w:noWrap/>
            <w:vAlign w:val="center"/>
          </w:tcPr>
          <w:p w:rsidR="00DD66E7" w:rsidRPr="008D6095" w:rsidRDefault="00DD66E7" w:rsidP="00DD66E7">
            <w:pPr>
              <w:jc w:val="right"/>
              <w:rPr>
                <w:color w:val="000000"/>
                <w:sz w:val="16"/>
                <w:szCs w:val="16"/>
                <w:lang w:val="sq-AL"/>
              </w:rPr>
            </w:pPr>
            <w:r w:rsidRPr="008D6095">
              <w:rPr>
                <w:color w:val="000000"/>
                <w:sz w:val="16"/>
                <w:szCs w:val="16"/>
                <w:lang w:val="sq-AL"/>
              </w:rPr>
              <w:t>62,969,940</w:t>
            </w:r>
          </w:p>
        </w:tc>
        <w:tc>
          <w:tcPr>
            <w:tcW w:w="1267" w:type="dxa"/>
            <w:tcBorders>
              <w:top w:val="nil"/>
              <w:left w:val="single" w:sz="4" w:space="0" w:color="4F81BD"/>
              <w:bottom w:val="single" w:sz="4" w:space="0" w:color="auto"/>
              <w:right w:val="single" w:sz="4" w:space="0" w:color="4F81BD"/>
            </w:tcBorders>
            <w:shd w:val="clear" w:color="000000" w:fill="DAEEF3"/>
            <w:noWrap/>
            <w:vAlign w:val="center"/>
          </w:tcPr>
          <w:p w:rsidR="00DD66E7" w:rsidRPr="008D6095" w:rsidRDefault="00DD66E7" w:rsidP="00DD66E7">
            <w:pPr>
              <w:jc w:val="right"/>
              <w:rPr>
                <w:color w:val="000000"/>
                <w:sz w:val="16"/>
                <w:szCs w:val="16"/>
                <w:lang w:val="sq-AL"/>
              </w:rPr>
            </w:pPr>
            <w:r w:rsidRPr="008D6095">
              <w:rPr>
                <w:color w:val="000000"/>
                <w:sz w:val="16"/>
                <w:szCs w:val="16"/>
                <w:lang w:val="sq-AL"/>
              </w:rPr>
              <w:t>66,522,111</w:t>
            </w:r>
          </w:p>
        </w:tc>
        <w:tc>
          <w:tcPr>
            <w:tcW w:w="1267" w:type="dxa"/>
            <w:tcBorders>
              <w:top w:val="nil"/>
              <w:left w:val="single" w:sz="4" w:space="0" w:color="4F81BD"/>
              <w:bottom w:val="single" w:sz="4" w:space="0" w:color="auto"/>
              <w:right w:val="single" w:sz="4" w:space="0" w:color="4F81BD"/>
            </w:tcBorders>
            <w:shd w:val="clear" w:color="000000" w:fill="DAEEF3"/>
            <w:noWrap/>
            <w:vAlign w:val="center"/>
          </w:tcPr>
          <w:p w:rsidR="00DD66E7" w:rsidRPr="008D6095" w:rsidRDefault="00DD66E7" w:rsidP="00DD66E7">
            <w:pPr>
              <w:jc w:val="right"/>
              <w:rPr>
                <w:color w:val="000000"/>
                <w:sz w:val="16"/>
                <w:szCs w:val="16"/>
                <w:lang w:val="sq-AL"/>
              </w:rPr>
            </w:pPr>
            <w:r w:rsidRPr="008D6095">
              <w:rPr>
                <w:color w:val="000000"/>
                <w:sz w:val="16"/>
                <w:szCs w:val="16"/>
                <w:lang w:val="sq-AL"/>
              </w:rPr>
              <w:t>26,289,789</w:t>
            </w:r>
          </w:p>
        </w:tc>
        <w:tc>
          <w:tcPr>
            <w:tcW w:w="1187" w:type="dxa"/>
            <w:tcBorders>
              <w:top w:val="nil"/>
              <w:left w:val="single" w:sz="4" w:space="0" w:color="4F81BD"/>
              <w:bottom w:val="single" w:sz="4" w:space="0" w:color="auto"/>
              <w:right w:val="single" w:sz="4" w:space="0" w:color="4F81BD"/>
            </w:tcBorders>
            <w:shd w:val="clear" w:color="000000" w:fill="DAEEF3"/>
            <w:noWrap/>
            <w:vAlign w:val="center"/>
          </w:tcPr>
          <w:p w:rsidR="00DD66E7" w:rsidRPr="008D6095" w:rsidRDefault="00DD66E7" w:rsidP="00DD66E7">
            <w:pPr>
              <w:jc w:val="center"/>
              <w:rPr>
                <w:color w:val="000000"/>
                <w:sz w:val="16"/>
                <w:szCs w:val="16"/>
                <w:lang w:val="sq-AL"/>
              </w:rPr>
            </w:pPr>
            <w:r w:rsidRPr="008D6095">
              <w:rPr>
                <w:color w:val="000000"/>
                <w:sz w:val="16"/>
                <w:szCs w:val="16"/>
                <w:lang w:val="sq-AL"/>
              </w:rPr>
              <w:t>40%</w:t>
            </w:r>
          </w:p>
        </w:tc>
        <w:tc>
          <w:tcPr>
            <w:tcW w:w="1054" w:type="dxa"/>
            <w:tcBorders>
              <w:top w:val="nil"/>
              <w:left w:val="single" w:sz="4" w:space="0" w:color="4F81BD"/>
              <w:bottom w:val="single" w:sz="4" w:space="0" w:color="auto"/>
              <w:right w:val="single" w:sz="4" w:space="0" w:color="4F81BD"/>
            </w:tcBorders>
            <w:shd w:val="clear" w:color="000000" w:fill="DAEEF3"/>
            <w:noWrap/>
            <w:vAlign w:val="center"/>
          </w:tcPr>
          <w:p w:rsidR="00DD66E7" w:rsidRPr="008D6095" w:rsidRDefault="00DD66E7" w:rsidP="00DD66E7">
            <w:pPr>
              <w:jc w:val="center"/>
              <w:rPr>
                <w:color w:val="000000"/>
                <w:sz w:val="16"/>
                <w:szCs w:val="16"/>
                <w:lang w:val="sq-AL"/>
              </w:rPr>
            </w:pPr>
            <w:r w:rsidRPr="008D6095">
              <w:rPr>
                <w:color w:val="000000"/>
                <w:sz w:val="16"/>
                <w:szCs w:val="16"/>
                <w:lang w:val="sq-AL"/>
              </w:rPr>
              <w:t>41%</w:t>
            </w:r>
          </w:p>
        </w:tc>
        <w:tc>
          <w:tcPr>
            <w:tcW w:w="1054" w:type="dxa"/>
            <w:tcBorders>
              <w:top w:val="nil"/>
              <w:left w:val="single" w:sz="4" w:space="0" w:color="4F81BD"/>
              <w:bottom w:val="single" w:sz="4" w:space="0" w:color="auto"/>
              <w:right w:val="single" w:sz="4" w:space="0" w:color="auto"/>
            </w:tcBorders>
            <w:shd w:val="clear" w:color="000000" w:fill="DAEEF3"/>
            <w:noWrap/>
            <w:vAlign w:val="center"/>
          </w:tcPr>
          <w:p w:rsidR="00DD66E7" w:rsidRPr="008D6095" w:rsidRDefault="00DD66E7" w:rsidP="00DD66E7">
            <w:pPr>
              <w:jc w:val="center"/>
              <w:rPr>
                <w:color w:val="000000"/>
                <w:sz w:val="16"/>
                <w:szCs w:val="16"/>
                <w:lang w:val="sq-AL"/>
              </w:rPr>
            </w:pPr>
            <w:r w:rsidRPr="008D6095">
              <w:rPr>
                <w:color w:val="000000"/>
                <w:sz w:val="16"/>
                <w:szCs w:val="16"/>
                <w:lang w:val="sq-AL"/>
              </w:rPr>
              <w:t>11%</w:t>
            </w:r>
          </w:p>
        </w:tc>
      </w:tr>
      <w:tr w:rsidR="00DD66E7" w:rsidRPr="008D6095" w:rsidTr="00DD66E7">
        <w:trPr>
          <w:trHeight w:val="276"/>
          <w:jc w:val="center"/>
        </w:trPr>
        <w:tc>
          <w:tcPr>
            <w:tcW w:w="3634" w:type="dxa"/>
            <w:tcBorders>
              <w:top w:val="nil"/>
              <w:left w:val="single" w:sz="4" w:space="0" w:color="auto"/>
              <w:bottom w:val="single" w:sz="4" w:space="0" w:color="auto"/>
              <w:right w:val="single" w:sz="4" w:space="0" w:color="4F81BD"/>
            </w:tcBorders>
            <w:shd w:val="clear" w:color="auto" w:fill="auto"/>
            <w:noWrap/>
            <w:vAlign w:val="center"/>
            <w:hideMark/>
          </w:tcPr>
          <w:p w:rsidR="00DD66E7" w:rsidRPr="008D6095" w:rsidRDefault="00DD66E7" w:rsidP="00DD66E7">
            <w:pPr>
              <w:rPr>
                <w:b/>
                <w:bCs/>
                <w:color w:val="000000"/>
                <w:sz w:val="16"/>
                <w:szCs w:val="16"/>
                <w:lang w:val="sq-AL"/>
              </w:rPr>
            </w:pPr>
            <w:r w:rsidRPr="008D6095">
              <w:rPr>
                <w:b/>
                <w:bCs/>
                <w:color w:val="000000"/>
                <w:sz w:val="16"/>
                <w:szCs w:val="16"/>
                <w:lang w:val="sq-AL"/>
              </w:rPr>
              <w:t xml:space="preserve"> Ministria e Drejtesise                                                                           </w:t>
            </w:r>
          </w:p>
        </w:tc>
        <w:tc>
          <w:tcPr>
            <w:tcW w:w="1267" w:type="dxa"/>
            <w:tcBorders>
              <w:top w:val="nil"/>
              <w:left w:val="single" w:sz="4" w:space="0" w:color="4F81BD"/>
              <w:bottom w:val="single" w:sz="4" w:space="0" w:color="auto"/>
              <w:right w:val="single" w:sz="4" w:space="0" w:color="4F81BD"/>
            </w:tcBorders>
            <w:shd w:val="clear" w:color="auto" w:fill="auto"/>
            <w:noWrap/>
            <w:vAlign w:val="center"/>
          </w:tcPr>
          <w:p w:rsidR="00DD66E7" w:rsidRPr="008D6095" w:rsidRDefault="00DD66E7" w:rsidP="00DD66E7">
            <w:pPr>
              <w:jc w:val="right"/>
              <w:rPr>
                <w:color w:val="000000"/>
                <w:sz w:val="16"/>
                <w:szCs w:val="16"/>
                <w:lang w:val="sq-AL"/>
              </w:rPr>
            </w:pPr>
            <w:r w:rsidRPr="008D6095">
              <w:rPr>
                <w:color w:val="000000"/>
                <w:sz w:val="16"/>
                <w:szCs w:val="16"/>
                <w:lang w:val="sq-AL"/>
              </w:rPr>
              <w:t>10,846,390</w:t>
            </w:r>
          </w:p>
        </w:tc>
        <w:tc>
          <w:tcPr>
            <w:tcW w:w="1267" w:type="dxa"/>
            <w:tcBorders>
              <w:top w:val="nil"/>
              <w:left w:val="single" w:sz="4" w:space="0" w:color="4F81BD"/>
              <w:bottom w:val="single" w:sz="4" w:space="0" w:color="auto"/>
              <w:right w:val="single" w:sz="4" w:space="0" w:color="4F81BD"/>
            </w:tcBorders>
            <w:shd w:val="clear" w:color="auto" w:fill="auto"/>
            <w:noWrap/>
            <w:vAlign w:val="center"/>
          </w:tcPr>
          <w:p w:rsidR="00DD66E7" w:rsidRPr="008D6095" w:rsidRDefault="00DD66E7" w:rsidP="00DD66E7">
            <w:pPr>
              <w:jc w:val="right"/>
              <w:rPr>
                <w:color w:val="000000"/>
                <w:sz w:val="16"/>
                <w:szCs w:val="16"/>
                <w:lang w:val="sq-AL"/>
              </w:rPr>
            </w:pPr>
            <w:r w:rsidRPr="008D6095">
              <w:rPr>
                <w:color w:val="000000"/>
                <w:sz w:val="16"/>
                <w:szCs w:val="16"/>
                <w:lang w:val="sq-AL"/>
              </w:rPr>
              <w:t>10,659,615</w:t>
            </w:r>
          </w:p>
        </w:tc>
        <w:tc>
          <w:tcPr>
            <w:tcW w:w="1267" w:type="dxa"/>
            <w:tcBorders>
              <w:top w:val="nil"/>
              <w:left w:val="single" w:sz="4" w:space="0" w:color="4F81BD"/>
              <w:bottom w:val="single" w:sz="4" w:space="0" w:color="auto"/>
              <w:right w:val="single" w:sz="4" w:space="0" w:color="4F81BD"/>
            </w:tcBorders>
            <w:shd w:val="clear" w:color="auto" w:fill="auto"/>
            <w:noWrap/>
            <w:vAlign w:val="center"/>
          </w:tcPr>
          <w:p w:rsidR="00DD66E7" w:rsidRPr="008D6095" w:rsidRDefault="00DD66E7" w:rsidP="00DD66E7">
            <w:pPr>
              <w:jc w:val="right"/>
              <w:rPr>
                <w:color w:val="000000"/>
                <w:sz w:val="16"/>
                <w:szCs w:val="16"/>
                <w:lang w:val="sq-AL"/>
              </w:rPr>
            </w:pPr>
            <w:r w:rsidRPr="008D6095">
              <w:rPr>
                <w:color w:val="000000"/>
                <w:sz w:val="16"/>
                <w:szCs w:val="16"/>
                <w:lang w:val="sq-AL"/>
              </w:rPr>
              <w:t>3,467,477</w:t>
            </w:r>
          </w:p>
        </w:tc>
        <w:tc>
          <w:tcPr>
            <w:tcW w:w="1187" w:type="dxa"/>
            <w:tcBorders>
              <w:top w:val="nil"/>
              <w:left w:val="single" w:sz="4" w:space="0" w:color="4F81BD"/>
              <w:bottom w:val="single" w:sz="4" w:space="0" w:color="auto"/>
              <w:right w:val="single" w:sz="4" w:space="0" w:color="4F81BD"/>
            </w:tcBorders>
            <w:shd w:val="clear" w:color="auto" w:fill="auto"/>
            <w:noWrap/>
            <w:vAlign w:val="center"/>
          </w:tcPr>
          <w:p w:rsidR="00DD66E7" w:rsidRPr="008D6095" w:rsidRDefault="00DD66E7" w:rsidP="00DD66E7">
            <w:pPr>
              <w:jc w:val="center"/>
              <w:rPr>
                <w:color w:val="000000"/>
                <w:sz w:val="16"/>
                <w:szCs w:val="16"/>
                <w:lang w:val="sq-AL"/>
              </w:rPr>
            </w:pPr>
            <w:r w:rsidRPr="008D6095">
              <w:rPr>
                <w:color w:val="000000"/>
                <w:sz w:val="16"/>
                <w:szCs w:val="16"/>
                <w:lang w:val="sq-AL"/>
              </w:rPr>
              <w:t>33%</w:t>
            </w:r>
          </w:p>
        </w:tc>
        <w:tc>
          <w:tcPr>
            <w:tcW w:w="1054" w:type="dxa"/>
            <w:tcBorders>
              <w:top w:val="nil"/>
              <w:left w:val="single" w:sz="4" w:space="0" w:color="4F81BD"/>
              <w:bottom w:val="single" w:sz="4" w:space="0" w:color="auto"/>
              <w:right w:val="single" w:sz="4" w:space="0" w:color="4F81BD"/>
            </w:tcBorders>
            <w:shd w:val="clear" w:color="auto" w:fill="auto"/>
            <w:noWrap/>
            <w:vAlign w:val="center"/>
          </w:tcPr>
          <w:p w:rsidR="00DD66E7" w:rsidRPr="008D6095" w:rsidRDefault="00DD66E7" w:rsidP="00DD66E7">
            <w:pPr>
              <w:jc w:val="center"/>
              <w:rPr>
                <w:color w:val="000000"/>
                <w:sz w:val="16"/>
                <w:szCs w:val="16"/>
                <w:lang w:val="sq-AL"/>
              </w:rPr>
            </w:pPr>
            <w:r w:rsidRPr="008D6095">
              <w:rPr>
                <w:color w:val="000000"/>
                <w:sz w:val="16"/>
                <w:szCs w:val="16"/>
                <w:lang w:val="sq-AL"/>
              </w:rPr>
              <w:t>32%</w:t>
            </w:r>
          </w:p>
        </w:tc>
        <w:tc>
          <w:tcPr>
            <w:tcW w:w="1054" w:type="dxa"/>
            <w:tcBorders>
              <w:top w:val="nil"/>
              <w:left w:val="single" w:sz="4" w:space="0" w:color="4F81BD"/>
              <w:bottom w:val="single" w:sz="4" w:space="0" w:color="auto"/>
              <w:right w:val="single" w:sz="4" w:space="0" w:color="auto"/>
            </w:tcBorders>
            <w:shd w:val="clear" w:color="auto" w:fill="auto"/>
            <w:noWrap/>
            <w:vAlign w:val="center"/>
          </w:tcPr>
          <w:p w:rsidR="00DD66E7" w:rsidRPr="008D6095" w:rsidRDefault="00DD66E7" w:rsidP="00DD66E7">
            <w:pPr>
              <w:jc w:val="center"/>
              <w:rPr>
                <w:color w:val="000000"/>
                <w:sz w:val="16"/>
                <w:szCs w:val="16"/>
                <w:lang w:val="sq-AL"/>
              </w:rPr>
            </w:pPr>
            <w:r w:rsidRPr="008D6095">
              <w:rPr>
                <w:color w:val="000000"/>
                <w:sz w:val="16"/>
                <w:szCs w:val="16"/>
                <w:lang w:val="sq-AL"/>
              </w:rPr>
              <w:t>39%</w:t>
            </w:r>
          </w:p>
        </w:tc>
      </w:tr>
      <w:tr w:rsidR="00DD66E7" w:rsidRPr="008D6095" w:rsidTr="00DD66E7">
        <w:trPr>
          <w:trHeight w:val="276"/>
          <w:jc w:val="center"/>
        </w:trPr>
        <w:tc>
          <w:tcPr>
            <w:tcW w:w="3634" w:type="dxa"/>
            <w:tcBorders>
              <w:top w:val="nil"/>
              <w:left w:val="single" w:sz="4" w:space="0" w:color="auto"/>
              <w:bottom w:val="single" w:sz="4" w:space="0" w:color="auto"/>
              <w:right w:val="single" w:sz="4" w:space="0" w:color="4F81BD"/>
            </w:tcBorders>
            <w:shd w:val="clear" w:color="000000" w:fill="DAEEF3"/>
            <w:noWrap/>
            <w:vAlign w:val="center"/>
            <w:hideMark/>
          </w:tcPr>
          <w:p w:rsidR="00DD66E7" w:rsidRPr="008D6095" w:rsidRDefault="00DD66E7" w:rsidP="00DD66E7">
            <w:pPr>
              <w:rPr>
                <w:b/>
                <w:bCs/>
                <w:color w:val="000000"/>
                <w:sz w:val="16"/>
                <w:szCs w:val="16"/>
                <w:lang w:val="sq-AL"/>
              </w:rPr>
            </w:pPr>
            <w:r w:rsidRPr="008D6095">
              <w:rPr>
                <w:b/>
                <w:bCs/>
                <w:color w:val="000000"/>
                <w:sz w:val="16"/>
                <w:szCs w:val="16"/>
                <w:lang w:val="sq-AL"/>
              </w:rPr>
              <w:t xml:space="preserve"> Ministria per Evropen dhe Punet e Jashtme                                                        </w:t>
            </w:r>
          </w:p>
        </w:tc>
        <w:tc>
          <w:tcPr>
            <w:tcW w:w="1267" w:type="dxa"/>
            <w:tcBorders>
              <w:top w:val="nil"/>
              <w:left w:val="single" w:sz="4" w:space="0" w:color="4F81BD"/>
              <w:bottom w:val="single" w:sz="4" w:space="0" w:color="auto"/>
              <w:right w:val="single" w:sz="4" w:space="0" w:color="4F81BD"/>
            </w:tcBorders>
            <w:shd w:val="clear" w:color="000000" w:fill="DAEEF3"/>
            <w:noWrap/>
            <w:vAlign w:val="center"/>
          </w:tcPr>
          <w:p w:rsidR="00DD66E7" w:rsidRPr="008D6095" w:rsidRDefault="00DD66E7" w:rsidP="00DD66E7">
            <w:pPr>
              <w:jc w:val="right"/>
              <w:rPr>
                <w:color w:val="000000"/>
                <w:sz w:val="16"/>
                <w:szCs w:val="16"/>
                <w:lang w:val="sq-AL"/>
              </w:rPr>
            </w:pPr>
            <w:r w:rsidRPr="008D6095">
              <w:rPr>
                <w:color w:val="000000"/>
                <w:sz w:val="16"/>
                <w:szCs w:val="16"/>
                <w:lang w:val="sq-AL"/>
              </w:rPr>
              <w:t>3,416,380</w:t>
            </w:r>
          </w:p>
        </w:tc>
        <w:tc>
          <w:tcPr>
            <w:tcW w:w="1267" w:type="dxa"/>
            <w:tcBorders>
              <w:top w:val="nil"/>
              <w:left w:val="single" w:sz="4" w:space="0" w:color="4F81BD"/>
              <w:bottom w:val="single" w:sz="4" w:space="0" w:color="auto"/>
              <w:right w:val="single" w:sz="4" w:space="0" w:color="4F81BD"/>
            </w:tcBorders>
            <w:shd w:val="clear" w:color="000000" w:fill="DAEEF3"/>
            <w:noWrap/>
            <w:vAlign w:val="center"/>
          </w:tcPr>
          <w:p w:rsidR="00DD66E7" w:rsidRPr="008D6095" w:rsidRDefault="00DD66E7" w:rsidP="00DD66E7">
            <w:pPr>
              <w:jc w:val="right"/>
              <w:rPr>
                <w:color w:val="000000"/>
                <w:sz w:val="16"/>
                <w:szCs w:val="16"/>
                <w:lang w:val="sq-AL"/>
              </w:rPr>
            </w:pPr>
            <w:r w:rsidRPr="008D6095">
              <w:rPr>
                <w:color w:val="000000"/>
                <w:sz w:val="16"/>
                <w:szCs w:val="16"/>
                <w:lang w:val="sq-AL"/>
              </w:rPr>
              <w:t>3,292,380</w:t>
            </w:r>
          </w:p>
        </w:tc>
        <w:tc>
          <w:tcPr>
            <w:tcW w:w="1267" w:type="dxa"/>
            <w:tcBorders>
              <w:top w:val="nil"/>
              <w:left w:val="single" w:sz="4" w:space="0" w:color="4F81BD"/>
              <w:bottom w:val="single" w:sz="4" w:space="0" w:color="auto"/>
              <w:right w:val="single" w:sz="4" w:space="0" w:color="4F81BD"/>
            </w:tcBorders>
            <w:shd w:val="clear" w:color="000000" w:fill="DAEEF3"/>
            <w:noWrap/>
            <w:vAlign w:val="center"/>
          </w:tcPr>
          <w:p w:rsidR="00DD66E7" w:rsidRPr="008D6095" w:rsidRDefault="00DD66E7" w:rsidP="00DD66E7">
            <w:pPr>
              <w:jc w:val="right"/>
              <w:rPr>
                <w:color w:val="000000"/>
                <w:sz w:val="16"/>
                <w:szCs w:val="16"/>
                <w:lang w:val="sq-AL"/>
              </w:rPr>
            </w:pPr>
            <w:r w:rsidRPr="008D6095">
              <w:rPr>
                <w:color w:val="000000"/>
                <w:sz w:val="16"/>
                <w:szCs w:val="16"/>
                <w:lang w:val="sq-AL"/>
              </w:rPr>
              <w:t>1,202,647</w:t>
            </w:r>
          </w:p>
        </w:tc>
        <w:tc>
          <w:tcPr>
            <w:tcW w:w="1187" w:type="dxa"/>
            <w:tcBorders>
              <w:top w:val="nil"/>
              <w:left w:val="single" w:sz="4" w:space="0" w:color="4F81BD"/>
              <w:bottom w:val="single" w:sz="4" w:space="0" w:color="auto"/>
              <w:right w:val="single" w:sz="4" w:space="0" w:color="4F81BD"/>
            </w:tcBorders>
            <w:shd w:val="clear" w:color="000000" w:fill="DAEEF3"/>
            <w:noWrap/>
            <w:vAlign w:val="center"/>
          </w:tcPr>
          <w:p w:rsidR="00DD66E7" w:rsidRPr="008D6095" w:rsidRDefault="00DD66E7" w:rsidP="00DD66E7">
            <w:pPr>
              <w:jc w:val="center"/>
              <w:rPr>
                <w:color w:val="000000"/>
                <w:sz w:val="16"/>
                <w:szCs w:val="16"/>
                <w:lang w:val="sq-AL"/>
              </w:rPr>
            </w:pPr>
            <w:r w:rsidRPr="008D6095">
              <w:rPr>
                <w:color w:val="000000"/>
                <w:sz w:val="16"/>
                <w:szCs w:val="16"/>
                <w:lang w:val="sq-AL"/>
              </w:rPr>
              <w:t>37%</w:t>
            </w:r>
          </w:p>
        </w:tc>
        <w:tc>
          <w:tcPr>
            <w:tcW w:w="1054" w:type="dxa"/>
            <w:tcBorders>
              <w:top w:val="nil"/>
              <w:left w:val="single" w:sz="4" w:space="0" w:color="4F81BD"/>
              <w:bottom w:val="single" w:sz="4" w:space="0" w:color="auto"/>
              <w:right w:val="single" w:sz="4" w:space="0" w:color="4F81BD"/>
            </w:tcBorders>
            <w:shd w:val="clear" w:color="000000" w:fill="DAEEF3"/>
            <w:noWrap/>
            <w:vAlign w:val="center"/>
          </w:tcPr>
          <w:p w:rsidR="00DD66E7" w:rsidRPr="008D6095" w:rsidRDefault="00DD66E7" w:rsidP="00DD66E7">
            <w:pPr>
              <w:jc w:val="center"/>
              <w:rPr>
                <w:color w:val="000000"/>
                <w:sz w:val="16"/>
                <w:szCs w:val="16"/>
                <w:lang w:val="sq-AL"/>
              </w:rPr>
            </w:pPr>
            <w:r w:rsidRPr="008D6095">
              <w:rPr>
                <w:color w:val="000000"/>
                <w:sz w:val="16"/>
                <w:szCs w:val="16"/>
                <w:lang w:val="sq-AL"/>
              </w:rPr>
              <w:t>38%</w:t>
            </w:r>
          </w:p>
        </w:tc>
        <w:tc>
          <w:tcPr>
            <w:tcW w:w="1054" w:type="dxa"/>
            <w:tcBorders>
              <w:top w:val="nil"/>
              <w:left w:val="single" w:sz="4" w:space="0" w:color="4F81BD"/>
              <w:bottom w:val="single" w:sz="4" w:space="0" w:color="auto"/>
              <w:right w:val="single" w:sz="4" w:space="0" w:color="auto"/>
            </w:tcBorders>
            <w:shd w:val="clear" w:color="000000" w:fill="DAEEF3"/>
            <w:noWrap/>
            <w:vAlign w:val="center"/>
          </w:tcPr>
          <w:p w:rsidR="00DD66E7" w:rsidRPr="008D6095" w:rsidRDefault="00DD66E7" w:rsidP="00DD66E7">
            <w:pPr>
              <w:jc w:val="center"/>
              <w:rPr>
                <w:color w:val="000000"/>
                <w:sz w:val="16"/>
                <w:szCs w:val="16"/>
                <w:lang w:val="sq-AL"/>
              </w:rPr>
            </w:pPr>
            <w:r w:rsidRPr="008D6095">
              <w:rPr>
                <w:color w:val="000000"/>
                <w:sz w:val="16"/>
                <w:szCs w:val="16"/>
                <w:lang w:val="sq-AL"/>
              </w:rPr>
              <w:t>12%</w:t>
            </w:r>
          </w:p>
        </w:tc>
      </w:tr>
      <w:tr w:rsidR="00DD66E7" w:rsidRPr="008D6095" w:rsidTr="00DD66E7">
        <w:trPr>
          <w:trHeight w:val="276"/>
          <w:jc w:val="center"/>
        </w:trPr>
        <w:tc>
          <w:tcPr>
            <w:tcW w:w="3634" w:type="dxa"/>
            <w:tcBorders>
              <w:top w:val="nil"/>
              <w:left w:val="single" w:sz="4" w:space="0" w:color="auto"/>
              <w:bottom w:val="single" w:sz="4" w:space="0" w:color="auto"/>
              <w:right w:val="single" w:sz="4" w:space="0" w:color="4F81BD"/>
            </w:tcBorders>
            <w:shd w:val="clear" w:color="auto" w:fill="auto"/>
            <w:noWrap/>
            <w:vAlign w:val="center"/>
            <w:hideMark/>
          </w:tcPr>
          <w:p w:rsidR="00DD66E7" w:rsidRPr="008D6095" w:rsidRDefault="00DD66E7" w:rsidP="00DD66E7">
            <w:pPr>
              <w:rPr>
                <w:b/>
                <w:bCs/>
                <w:color w:val="000000"/>
                <w:sz w:val="16"/>
                <w:szCs w:val="16"/>
                <w:lang w:val="sq-AL"/>
              </w:rPr>
            </w:pPr>
            <w:r w:rsidRPr="008D6095">
              <w:rPr>
                <w:b/>
                <w:bCs/>
                <w:color w:val="000000"/>
                <w:sz w:val="16"/>
                <w:szCs w:val="16"/>
                <w:lang w:val="sq-AL"/>
              </w:rPr>
              <w:t xml:space="preserve">  Ministria e Brendshme                                                                            </w:t>
            </w:r>
          </w:p>
        </w:tc>
        <w:tc>
          <w:tcPr>
            <w:tcW w:w="1267" w:type="dxa"/>
            <w:tcBorders>
              <w:top w:val="nil"/>
              <w:left w:val="single" w:sz="4" w:space="0" w:color="4F81BD"/>
              <w:bottom w:val="single" w:sz="4" w:space="0" w:color="auto"/>
              <w:right w:val="single" w:sz="4" w:space="0" w:color="4F81BD"/>
            </w:tcBorders>
            <w:shd w:val="clear" w:color="auto" w:fill="auto"/>
            <w:noWrap/>
            <w:vAlign w:val="center"/>
          </w:tcPr>
          <w:p w:rsidR="00DD66E7" w:rsidRPr="008D6095" w:rsidRDefault="00DD66E7" w:rsidP="00DD66E7">
            <w:pPr>
              <w:jc w:val="right"/>
              <w:rPr>
                <w:color w:val="000000"/>
                <w:sz w:val="16"/>
                <w:szCs w:val="16"/>
                <w:lang w:val="sq-AL"/>
              </w:rPr>
            </w:pPr>
            <w:r w:rsidRPr="008D6095">
              <w:rPr>
                <w:color w:val="000000"/>
                <w:sz w:val="16"/>
                <w:szCs w:val="16"/>
                <w:lang w:val="sq-AL"/>
              </w:rPr>
              <w:t>20,545,648</w:t>
            </w:r>
          </w:p>
        </w:tc>
        <w:tc>
          <w:tcPr>
            <w:tcW w:w="1267" w:type="dxa"/>
            <w:tcBorders>
              <w:top w:val="nil"/>
              <w:left w:val="single" w:sz="4" w:space="0" w:color="4F81BD"/>
              <w:bottom w:val="single" w:sz="4" w:space="0" w:color="auto"/>
              <w:right w:val="single" w:sz="4" w:space="0" w:color="4F81BD"/>
            </w:tcBorders>
            <w:shd w:val="clear" w:color="auto" w:fill="auto"/>
            <w:noWrap/>
            <w:vAlign w:val="center"/>
          </w:tcPr>
          <w:p w:rsidR="00DD66E7" w:rsidRPr="008D6095" w:rsidRDefault="00DD66E7" w:rsidP="00DD66E7">
            <w:pPr>
              <w:jc w:val="right"/>
              <w:rPr>
                <w:color w:val="000000"/>
                <w:sz w:val="16"/>
                <w:szCs w:val="16"/>
                <w:lang w:val="sq-AL"/>
              </w:rPr>
            </w:pPr>
            <w:r w:rsidRPr="008D6095">
              <w:rPr>
                <w:color w:val="000000"/>
                <w:sz w:val="16"/>
                <w:szCs w:val="16"/>
                <w:lang w:val="sq-AL"/>
              </w:rPr>
              <w:t>20,747,540</w:t>
            </w:r>
          </w:p>
        </w:tc>
        <w:tc>
          <w:tcPr>
            <w:tcW w:w="1267" w:type="dxa"/>
            <w:tcBorders>
              <w:top w:val="nil"/>
              <w:left w:val="single" w:sz="4" w:space="0" w:color="4F81BD"/>
              <w:bottom w:val="single" w:sz="4" w:space="0" w:color="auto"/>
              <w:right w:val="single" w:sz="4" w:space="0" w:color="4F81BD"/>
            </w:tcBorders>
            <w:shd w:val="clear" w:color="auto" w:fill="auto"/>
            <w:noWrap/>
            <w:vAlign w:val="center"/>
          </w:tcPr>
          <w:p w:rsidR="00DD66E7" w:rsidRPr="008D6095" w:rsidRDefault="00DD66E7" w:rsidP="00DD66E7">
            <w:pPr>
              <w:jc w:val="right"/>
              <w:rPr>
                <w:color w:val="000000"/>
                <w:sz w:val="16"/>
                <w:szCs w:val="16"/>
                <w:lang w:val="sq-AL"/>
              </w:rPr>
            </w:pPr>
            <w:r w:rsidRPr="008D6095">
              <w:rPr>
                <w:color w:val="000000"/>
                <w:sz w:val="16"/>
                <w:szCs w:val="16"/>
                <w:lang w:val="sq-AL"/>
              </w:rPr>
              <w:t>7,528,380</w:t>
            </w:r>
          </w:p>
        </w:tc>
        <w:tc>
          <w:tcPr>
            <w:tcW w:w="1187" w:type="dxa"/>
            <w:tcBorders>
              <w:top w:val="nil"/>
              <w:left w:val="single" w:sz="4" w:space="0" w:color="4F81BD"/>
              <w:bottom w:val="single" w:sz="4" w:space="0" w:color="auto"/>
              <w:right w:val="single" w:sz="4" w:space="0" w:color="4F81BD"/>
            </w:tcBorders>
            <w:shd w:val="clear" w:color="auto" w:fill="auto"/>
            <w:noWrap/>
            <w:vAlign w:val="center"/>
          </w:tcPr>
          <w:p w:rsidR="00DD66E7" w:rsidRPr="008D6095" w:rsidRDefault="00DD66E7" w:rsidP="00DD66E7">
            <w:pPr>
              <w:jc w:val="center"/>
              <w:rPr>
                <w:color w:val="000000"/>
                <w:sz w:val="16"/>
                <w:szCs w:val="16"/>
                <w:lang w:val="sq-AL"/>
              </w:rPr>
            </w:pPr>
            <w:r w:rsidRPr="008D6095">
              <w:rPr>
                <w:color w:val="000000"/>
                <w:sz w:val="16"/>
                <w:szCs w:val="16"/>
                <w:lang w:val="sq-AL"/>
              </w:rPr>
              <w:t>36%</w:t>
            </w:r>
          </w:p>
        </w:tc>
        <w:tc>
          <w:tcPr>
            <w:tcW w:w="1054" w:type="dxa"/>
            <w:tcBorders>
              <w:top w:val="nil"/>
              <w:left w:val="single" w:sz="4" w:space="0" w:color="4F81BD"/>
              <w:bottom w:val="single" w:sz="4" w:space="0" w:color="auto"/>
              <w:right w:val="single" w:sz="4" w:space="0" w:color="4F81BD"/>
            </w:tcBorders>
            <w:shd w:val="clear" w:color="auto" w:fill="auto"/>
            <w:noWrap/>
            <w:vAlign w:val="center"/>
          </w:tcPr>
          <w:p w:rsidR="00DD66E7" w:rsidRPr="008D6095" w:rsidRDefault="00DD66E7" w:rsidP="00DD66E7">
            <w:pPr>
              <w:jc w:val="center"/>
              <w:rPr>
                <w:color w:val="000000"/>
                <w:sz w:val="16"/>
                <w:szCs w:val="16"/>
                <w:lang w:val="sq-AL"/>
              </w:rPr>
            </w:pPr>
            <w:r w:rsidRPr="008D6095">
              <w:rPr>
                <w:color w:val="000000"/>
                <w:sz w:val="16"/>
                <w:szCs w:val="16"/>
                <w:lang w:val="sq-AL"/>
              </w:rPr>
              <w:t>37%</w:t>
            </w:r>
          </w:p>
        </w:tc>
        <w:tc>
          <w:tcPr>
            <w:tcW w:w="1054" w:type="dxa"/>
            <w:tcBorders>
              <w:top w:val="nil"/>
              <w:left w:val="single" w:sz="4" w:space="0" w:color="4F81BD"/>
              <w:bottom w:val="single" w:sz="4" w:space="0" w:color="auto"/>
              <w:right w:val="single" w:sz="4" w:space="0" w:color="auto"/>
            </w:tcBorders>
            <w:shd w:val="clear" w:color="auto" w:fill="auto"/>
            <w:noWrap/>
            <w:vAlign w:val="center"/>
          </w:tcPr>
          <w:p w:rsidR="00DD66E7" w:rsidRPr="008D6095" w:rsidRDefault="00DD66E7" w:rsidP="00DD66E7">
            <w:pPr>
              <w:jc w:val="center"/>
              <w:rPr>
                <w:color w:val="000000"/>
                <w:sz w:val="16"/>
                <w:szCs w:val="16"/>
                <w:lang w:val="sq-AL"/>
              </w:rPr>
            </w:pPr>
            <w:r w:rsidRPr="008D6095">
              <w:rPr>
                <w:color w:val="000000"/>
                <w:sz w:val="16"/>
                <w:szCs w:val="16"/>
                <w:lang w:val="sq-AL"/>
              </w:rPr>
              <w:t>33%</w:t>
            </w:r>
          </w:p>
        </w:tc>
      </w:tr>
      <w:tr w:rsidR="00DD66E7" w:rsidRPr="008D6095" w:rsidTr="00DD66E7">
        <w:trPr>
          <w:trHeight w:val="276"/>
          <w:jc w:val="center"/>
        </w:trPr>
        <w:tc>
          <w:tcPr>
            <w:tcW w:w="3634" w:type="dxa"/>
            <w:tcBorders>
              <w:top w:val="nil"/>
              <w:left w:val="single" w:sz="4" w:space="0" w:color="auto"/>
              <w:bottom w:val="single" w:sz="4" w:space="0" w:color="auto"/>
              <w:right w:val="single" w:sz="4" w:space="0" w:color="4F81BD"/>
            </w:tcBorders>
            <w:shd w:val="clear" w:color="000000" w:fill="DAEEF3"/>
            <w:noWrap/>
            <w:vAlign w:val="center"/>
            <w:hideMark/>
          </w:tcPr>
          <w:p w:rsidR="00DD66E7" w:rsidRPr="008D6095" w:rsidRDefault="00DD66E7" w:rsidP="00DD66E7">
            <w:pPr>
              <w:rPr>
                <w:b/>
                <w:bCs/>
                <w:color w:val="000000"/>
                <w:sz w:val="16"/>
                <w:szCs w:val="16"/>
                <w:lang w:val="sq-AL"/>
              </w:rPr>
            </w:pPr>
            <w:r w:rsidRPr="008D6095">
              <w:rPr>
                <w:b/>
                <w:bCs/>
                <w:color w:val="000000"/>
                <w:sz w:val="16"/>
                <w:szCs w:val="16"/>
                <w:lang w:val="sq-AL"/>
              </w:rPr>
              <w:t xml:space="preserve"> Ministria e Mbrojtjes                                                                            </w:t>
            </w:r>
          </w:p>
        </w:tc>
        <w:tc>
          <w:tcPr>
            <w:tcW w:w="1267" w:type="dxa"/>
            <w:tcBorders>
              <w:top w:val="nil"/>
              <w:left w:val="single" w:sz="4" w:space="0" w:color="4F81BD"/>
              <w:bottom w:val="single" w:sz="4" w:space="0" w:color="auto"/>
              <w:right w:val="single" w:sz="4" w:space="0" w:color="4F81BD"/>
            </w:tcBorders>
            <w:shd w:val="clear" w:color="000000" w:fill="DAEEF3"/>
            <w:noWrap/>
            <w:vAlign w:val="center"/>
          </w:tcPr>
          <w:p w:rsidR="00DD66E7" w:rsidRPr="008D6095" w:rsidRDefault="00DD66E7" w:rsidP="00DD66E7">
            <w:pPr>
              <w:jc w:val="right"/>
              <w:rPr>
                <w:color w:val="000000"/>
                <w:sz w:val="16"/>
                <w:szCs w:val="16"/>
                <w:lang w:val="sq-AL"/>
              </w:rPr>
            </w:pPr>
            <w:r w:rsidRPr="008D6095">
              <w:rPr>
                <w:color w:val="000000"/>
                <w:sz w:val="16"/>
                <w:szCs w:val="16"/>
                <w:lang w:val="sq-AL"/>
              </w:rPr>
              <w:t>24,108,845</w:t>
            </w:r>
          </w:p>
        </w:tc>
        <w:tc>
          <w:tcPr>
            <w:tcW w:w="1267" w:type="dxa"/>
            <w:tcBorders>
              <w:top w:val="nil"/>
              <w:left w:val="single" w:sz="4" w:space="0" w:color="4F81BD"/>
              <w:bottom w:val="single" w:sz="4" w:space="0" w:color="auto"/>
              <w:right w:val="single" w:sz="4" w:space="0" w:color="4F81BD"/>
            </w:tcBorders>
            <w:shd w:val="clear" w:color="000000" w:fill="DAEEF3"/>
            <w:noWrap/>
            <w:vAlign w:val="center"/>
          </w:tcPr>
          <w:p w:rsidR="00DD66E7" w:rsidRPr="008D6095" w:rsidRDefault="00DD66E7" w:rsidP="00DD66E7">
            <w:pPr>
              <w:jc w:val="right"/>
              <w:rPr>
                <w:color w:val="000000"/>
                <w:sz w:val="16"/>
                <w:szCs w:val="16"/>
                <w:lang w:val="sq-AL"/>
              </w:rPr>
            </w:pPr>
            <w:r w:rsidRPr="008D6095">
              <w:rPr>
                <w:color w:val="000000"/>
                <w:sz w:val="16"/>
                <w:szCs w:val="16"/>
                <w:lang w:val="sq-AL"/>
              </w:rPr>
              <w:t>23,225,805</w:t>
            </w:r>
          </w:p>
        </w:tc>
        <w:tc>
          <w:tcPr>
            <w:tcW w:w="1267" w:type="dxa"/>
            <w:tcBorders>
              <w:top w:val="nil"/>
              <w:left w:val="single" w:sz="4" w:space="0" w:color="4F81BD"/>
              <w:bottom w:val="single" w:sz="4" w:space="0" w:color="auto"/>
              <w:right w:val="single" w:sz="4" w:space="0" w:color="4F81BD"/>
            </w:tcBorders>
            <w:shd w:val="clear" w:color="000000" w:fill="DAEEF3"/>
            <w:noWrap/>
            <w:vAlign w:val="center"/>
          </w:tcPr>
          <w:p w:rsidR="00DD66E7" w:rsidRPr="008D6095" w:rsidRDefault="00DD66E7" w:rsidP="00DD66E7">
            <w:pPr>
              <w:jc w:val="right"/>
              <w:rPr>
                <w:color w:val="000000"/>
                <w:sz w:val="16"/>
                <w:szCs w:val="16"/>
                <w:lang w:val="sq-AL"/>
              </w:rPr>
            </w:pPr>
            <w:r w:rsidRPr="008D6095">
              <w:rPr>
                <w:color w:val="000000"/>
                <w:sz w:val="16"/>
                <w:szCs w:val="16"/>
                <w:lang w:val="sq-AL"/>
              </w:rPr>
              <w:t>7,597,798</w:t>
            </w:r>
          </w:p>
        </w:tc>
        <w:tc>
          <w:tcPr>
            <w:tcW w:w="1187" w:type="dxa"/>
            <w:tcBorders>
              <w:top w:val="nil"/>
              <w:left w:val="single" w:sz="4" w:space="0" w:color="4F81BD"/>
              <w:bottom w:val="single" w:sz="4" w:space="0" w:color="auto"/>
              <w:right w:val="single" w:sz="4" w:space="0" w:color="4F81BD"/>
            </w:tcBorders>
            <w:shd w:val="clear" w:color="000000" w:fill="DAEEF3"/>
            <w:noWrap/>
            <w:vAlign w:val="center"/>
          </w:tcPr>
          <w:p w:rsidR="00DD66E7" w:rsidRPr="008D6095" w:rsidRDefault="00DD66E7" w:rsidP="00DD66E7">
            <w:pPr>
              <w:jc w:val="center"/>
              <w:rPr>
                <w:color w:val="000000"/>
                <w:sz w:val="16"/>
                <w:szCs w:val="16"/>
                <w:lang w:val="sq-AL"/>
              </w:rPr>
            </w:pPr>
            <w:r w:rsidRPr="008D6095">
              <w:rPr>
                <w:color w:val="000000"/>
                <w:sz w:val="16"/>
                <w:szCs w:val="16"/>
                <w:lang w:val="sq-AL"/>
              </w:rPr>
              <w:t>33%</w:t>
            </w:r>
          </w:p>
        </w:tc>
        <w:tc>
          <w:tcPr>
            <w:tcW w:w="1054" w:type="dxa"/>
            <w:tcBorders>
              <w:top w:val="nil"/>
              <w:left w:val="single" w:sz="4" w:space="0" w:color="4F81BD"/>
              <w:bottom w:val="single" w:sz="4" w:space="0" w:color="auto"/>
              <w:right w:val="single" w:sz="4" w:space="0" w:color="4F81BD"/>
            </w:tcBorders>
            <w:shd w:val="clear" w:color="000000" w:fill="DAEEF3"/>
            <w:noWrap/>
            <w:vAlign w:val="center"/>
          </w:tcPr>
          <w:p w:rsidR="00DD66E7" w:rsidRPr="008D6095" w:rsidRDefault="00DD66E7" w:rsidP="00DD66E7">
            <w:pPr>
              <w:jc w:val="center"/>
              <w:rPr>
                <w:color w:val="000000"/>
                <w:sz w:val="16"/>
                <w:szCs w:val="16"/>
                <w:lang w:val="sq-AL"/>
              </w:rPr>
            </w:pPr>
            <w:r w:rsidRPr="008D6095">
              <w:rPr>
                <w:color w:val="000000"/>
                <w:sz w:val="16"/>
                <w:szCs w:val="16"/>
                <w:lang w:val="sq-AL"/>
              </w:rPr>
              <w:t>35%</w:t>
            </w:r>
          </w:p>
        </w:tc>
        <w:tc>
          <w:tcPr>
            <w:tcW w:w="1054" w:type="dxa"/>
            <w:tcBorders>
              <w:top w:val="nil"/>
              <w:left w:val="single" w:sz="4" w:space="0" w:color="4F81BD"/>
              <w:bottom w:val="single" w:sz="4" w:space="0" w:color="auto"/>
              <w:right w:val="single" w:sz="4" w:space="0" w:color="auto"/>
            </w:tcBorders>
            <w:shd w:val="clear" w:color="000000" w:fill="DAEEF3"/>
            <w:noWrap/>
            <w:vAlign w:val="center"/>
          </w:tcPr>
          <w:p w:rsidR="00DD66E7" w:rsidRPr="008D6095" w:rsidRDefault="00DD66E7" w:rsidP="00DD66E7">
            <w:pPr>
              <w:jc w:val="center"/>
              <w:rPr>
                <w:color w:val="000000"/>
                <w:sz w:val="16"/>
                <w:szCs w:val="16"/>
                <w:lang w:val="sq-AL"/>
              </w:rPr>
            </w:pPr>
            <w:r w:rsidRPr="008D6095">
              <w:rPr>
                <w:color w:val="000000"/>
                <w:sz w:val="16"/>
                <w:szCs w:val="16"/>
                <w:lang w:val="sq-AL"/>
              </w:rPr>
              <w:t>20%</w:t>
            </w:r>
          </w:p>
        </w:tc>
      </w:tr>
      <w:tr w:rsidR="00DD66E7" w:rsidRPr="008D6095" w:rsidTr="00DD66E7">
        <w:trPr>
          <w:trHeight w:val="276"/>
          <w:jc w:val="center"/>
        </w:trPr>
        <w:tc>
          <w:tcPr>
            <w:tcW w:w="3634" w:type="dxa"/>
            <w:tcBorders>
              <w:top w:val="nil"/>
              <w:left w:val="single" w:sz="4" w:space="0" w:color="auto"/>
              <w:bottom w:val="single" w:sz="4" w:space="0" w:color="auto"/>
              <w:right w:val="single" w:sz="4" w:space="0" w:color="4F81BD"/>
            </w:tcBorders>
            <w:shd w:val="clear" w:color="auto" w:fill="auto"/>
            <w:noWrap/>
            <w:vAlign w:val="center"/>
            <w:hideMark/>
          </w:tcPr>
          <w:p w:rsidR="00DD66E7" w:rsidRPr="008D6095" w:rsidRDefault="00DD66E7" w:rsidP="00DD66E7">
            <w:pPr>
              <w:rPr>
                <w:b/>
                <w:bCs/>
                <w:color w:val="000000"/>
                <w:sz w:val="16"/>
                <w:szCs w:val="16"/>
                <w:lang w:val="sq-AL"/>
              </w:rPr>
            </w:pPr>
            <w:r w:rsidRPr="008D6095">
              <w:rPr>
                <w:b/>
                <w:bCs/>
                <w:color w:val="000000"/>
                <w:sz w:val="16"/>
                <w:szCs w:val="16"/>
                <w:lang w:val="sq-AL"/>
              </w:rPr>
              <w:t xml:space="preserve"> Akademia e Shkencave                                                                             </w:t>
            </w:r>
          </w:p>
        </w:tc>
        <w:tc>
          <w:tcPr>
            <w:tcW w:w="1267" w:type="dxa"/>
            <w:tcBorders>
              <w:top w:val="nil"/>
              <w:left w:val="single" w:sz="4" w:space="0" w:color="4F81BD"/>
              <w:bottom w:val="single" w:sz="4" w:space="0" w:color="auto"/>
              <w:right w:val="single" w:sz="4" w:space="0" w:color="4F81BD"/>
            </w:tcBorders>
            <w:shd w:val="clear" w:color="auto" w:fill="auto"/>
            <w:noWrap/>
            <w:vAlign w:val="center"/>
          </w:tcPr>
          <w:p w:rsidR="00DD66E7" w:rsidRPr="008D6095" w:rsidRDefault="00DD66E7" w:rsidP="00DD66E7">
            <w:pPr>
              <w:jc w:val="right"/>
              <w:rPr>
                <w:color w:val="000000"/>
                <w:sz w:val="16"/>
                <w:szCs w:val="16"/>
                <w:lang w:val="sq-AL"/>
              </w:rPr>
            </w:pPr>
            <w:r w:rsidRPr="008D6095">
              <w:rPr>
                <w:color w:val="000000"/>
                <w:sz w:val="16"/>
                <w:szCs w:val="16"/>
                <w:lang w:val="sq-AL"/>
              </w:rPr>
              <w:t>106,000</w:t>
            </w:r>
          </w:p>
        </w:tc>
        <w:tc>
          <w:tcPr>
            <w:tcW w:w="1267" w:type="dxa"/>
            <w:tcBorders>
              <w:top w:val="nil"/>
              <w:left w:val="single" w:sz="4" w:space="0" w:color="4F81BD"/>
              <w:bottom w:val="single" w:sz="4" w:space="0" w:color="auto"/>
              <w:right w:val="single" w:sz="4" w:space="0" w:color="4F81BD"/>
            </w:tcBorders>
            <w:shd w:val="clear" w:color="auto" w:fill="auto"/>
            <w:noWrap/>
            <w:vAlign w:val="center"/>
          </w:tcPr>
          <w:p w:rsidR="00DD66E7" w:rsidRPr="008D6095" w:rsidRDefault="00DD66E7" w:rsidP="00DD66E7">
            <w:pPr>
              <w:jc w:val="right"/>
              <w:rPr>
                <w:color w:val="000000"/>
                <w:sz w:val="16"/>
                <w:szCs w:val="16"/>
                <w:lang w:val="sq-AL"/>
              </w:rPr>
            </w:pPr>
            <w:r w:rsidRPr="008D6095">
              <w:rPr>
                <w:color w:val="000000"/>
                <w:sz w:val="16"/>
                <w:szCs w:val="16"/>
                <w:lang w:val="sq-AL"/>
              </w:rPr>
              <w:t>98,130</w:t>
            </w:r>
          </w:p>
        </w:tc>
        <w:tc>
          <w:tcPr>
            <w:tcW w:w="1267" w:type="dxa"/>
            <w:tcBorders>
              <w:top w:val="nil"/>
              <w:left w:val="single" w:sz="4" w:space="0" w:color="4F81BD"/>
              <w:bottom w:val="single" w:sz="4" w:space="0" w:color="auto"/>
              <w:right w:val="single" w:sz="4" w:space="0" w:color="4F81BD"/>
            </w:tcBorders>
            <w:shd w:val="clear" w:color="auto" w:fill="auto"/>
            <w:noWrap/>
            <w:vAlign w:val="center"/>
          </w:tcPr>
          <w:p w:rsidR="00DD66E7" w:rsidRPr="008D6095" w:rsidRDefault="00DD66E7" w:rsidP="00DD66E7">
            <w:pPr>
              <w:jc w:val="right"/>
              <w:rPr>
                <w:color w:val="000000"/>
                <w:sz w:val="16"/>
                <w:szCs w:val="16"/>
                <w:lang w:val="sq-AL"/>
              </w:rPr>
            </w:pPr>
            <w:r w:rsidRPr="008D6095">
              <w:rPr>
                <w:color w:val="000000"/>
                <w:sz w:val="16"/>
                <w:szCs w:val="16"/>
                <w:lang w:val="sq-AL"/>
              </w:rPr>
              <w:t>27,753</w:t>
            </w:r>
          </w:p>
        </w:tc>
        <w:tc>
          <w:tcPr>
            <w:tcW w:w="1187" w:type="dxa"/>
            <w:tcBorders>
              <w:top w:val="nil"/>
              <w:left w:val="single" w:sz="4" w:space="0" w:color="4F81BD"/>
              <w:bottom w:val="single" w:sz="4" w:space="0" w:color="auto"/>
              <w:right w:val="single" w:sz="4" w:space="0" w:color="4F81BD"/>
            </w:tcBorders>
            <w:shd w:val="clear" w:color="auto" w:fill="auto"/>
            <w:noWrap/>
            <w:vAlign w:val="center"/>
          </w:tcPr>
          <w:p w:rsidR="00DD66E7" w:rsidRPr="008D6095" w:rsidRDefault="00DD66E7" w:rsidP="00DD66E7">
            <w:pPr>
              <w:jc w:val="center"/>
              <w:rPr>
                <w:color w:val="000000"/>
                <w:sz w:val="16"/>
                <w:szCs w:val="16"/>
                <w:lang w:val="sq-AL"/>
              </w:rPr>
            </w:pPr>
            <w:r w:rsidRPr="008D6095">
              <w:rPr>
                <w:color w:val="000000"/>
                <w:sz w:val="16"/>
                <w:szCs w:val="16"/>
                <w:lang w:val="sq-AL"/>
              </w:rPr>
              <w:t>28%</w:t>
            </w:r>
          </w:p>
        </w:tc>
        <w:tc>
          <w:tcPr>
            <w:tcW w:w="1054" w:type="dxa"/>
            <w:tcBorders>
              <w:top w:val="nil"/>
              <w:left w:val="single" w:sz="4" w:space="0" w:color="4F81BD"/>
              <w:bottom w:val="single" w:sz="4" w:space="0" w:color="auto"/>
              <w:right w:val="single" w:sz="4" w:space="0" w:color="4F81BD"/>
            </w:tcBorders>
            <w:shd w:val="clear" w:color="auto" w:fill="auto"/>
            <w:noWrap/>
            <w:vAlign w:val="center"/>
          </w:tcPr>
          <w:p w:rsidR="00DD66E7" w:rsidRPr="008D6095" w:rsidRDefault="00DD66E7" w:rsidP="00DD66E7">
            <w:pPr>
              <w:jc w:val="center"/>
              <w:rPr>
                <w:color w:val="000000"/>
                <w:sz w:val="16"/>
                <w:szCs w:val="16"/>
                <w:lang w:val="sq-AL"/>
              </w:rPr>
            </w:pPr>
            <w:r w:rsidRPr="008D6095">
              <w:rPr>
                <w:color w:val="000000"/>
                <w:sz w:val="16"/>
                <w:szCs w:val="16"/>
                <w:lang w:val="sq-AL"/>
              </w:rPr>
              <w:t>29%</w:t>
            </w:r>
          </w:p>
        </w:tc>
        <w:tc>
          <w:tcPr>
            <w:tcW w:w="1054" w:type="dxa"/>
            <w:tcBorders>
              <w:top w:val="nil"/>
              <w:left w:val="single" w:sz="4" w:space="0" w:color="4F81BD"/>
              <w:bottom w:val="single" w:sz="4" w:space="0" w:color="auto"/>
              <w:right w:val="single" w:sz="4" w:space="0" w:color="auto"/>
            </w:tcBorders>
            <w:shd w:val="clear" w:color="auto" w:fill="auto"/>
            <w:noWrap/>
            <w:vAlign w:val="center"/>
          </w:tcPr>
          <w:p w:rsidR="00DD66E7" w:rsidRPr="008D6095" w:rsidRDefault="00DD66E7" w:rsidP="00DD66E7">
            <w:pPr>
              <w:jc w:val="center"/>
              <w:rPr>
                <w:color w:val="000000"/>
                <w:sz w:val="16"/>
                <w:szCs w:val="16"/>
                <w:lang w:val="sq-AL"/>
              </w:rPr>
            </w:pPr>
            <w:r w:rsidRPr="008D6095">
              <w:rPr>
                <w:color w:val="000000"/>
                <w:sz w:val="16"/>
                <w:szCs w:val="16"/>
                <w:lang w:val="sq-AL"/>
              </w:rPr>
              <w:t>0%</w:t>
            </w:r>
          </w:p>
        </w:tc>
      </w:tr>
      <w:tr w:rsidR="00DD66E7" w:rsidRPr="008D6095" w:rsidTr="00DD66E7">
        <w:trPr>
          <w:trHeight w:val="276"/>
          <w:jc w:val="center"/>
        </w:trPr>
        <w:tc>
          <w:tcPr>
            <w:tcW w:w="3634" w:type="dxa"/>
            <w:tcBorders>
              <w:top w:val="nil"/>
              <w:left w:val="single" w:sz="4" w:space="0" w:color="auto"/>
              <w:bottom w:val="single" w:sz="4" w:space="0" w:color="auto"/>
              <w:right w:val="single" w:sz="4" w:space="0" w:color="4F81BD"/>
            </w:tcBorders>
            <w:shd w:val="clear" w:color="000000" w:fill="DAEEF3"/>
            <w:noWrap/>
            <w:vAlign w:val="center"/>
            <w:hideMark/>
          </w:tcPr>
          <w:p w:rsidR="00DD66E7" w:rsidRPr="008D6095" w:rsidRDefault="00DD66E7" w:rsidP="00DD66E7">
            <w:pPr>
              <w:rPr>
                <w:b/>
                <w:bCs/>
                <w:color w:val="000000"/>
                <w:sz w:val="16"/>
                <w:szCs w:val="16"/>
                <w:lang w:val="sq-AL"/>
              </w:rPr>
            </w:pPr>
            <w:r w:rsidRPr="008D6095">
              <w:rPr>
                <w:b/>
                <w:bCs/>
                <w:color w:val="000000"/>
                <w:sz w:val="16"/>
                <w:szCs w:val="16"/>
                <w:lang w:val="sq-AL"/>
              </w:rPr>
              <w:t xml:space="preserve"> Kontrolli Larte i Shtetit                                                                        </w:t>
            </w:r>
          </w:p>
        </w:tc>
        <w:tc>
          <w:tcPr>
            <w:tcW w:w="1267" w:type="dxa"/>
            <w:tcBorders>
              <w:top w:val="nil"/>
              <w:left w:val="single" w:sz="4" w:space="0" w:color="4F81BD"/>
              <w:bottom w:val="single" w:sz="4" w:space="0" w:color="auto"/>
              <w:right w:val="single" w:sz="4" w:space="0" w:color="4F81BD"/>
            </w:tcBorders>
            <w:shd w:val="clear" w:color="000000" w:fill="DAEEF3"/>
            <w:noWrap/>
            <w:vAlign w:val="center"/>
          </w:tcPr>
          <w:p w:rsidR="00DD66E7" w:rsidRPr="008D6095" w:rsidRDefault="00DD66E7" w:rsidP="00DD66E7">
            <w:pPr>
              <w:jc w:val="right"/>
              <w:rPr>
                <w:color w:val="000000"/>
                <w:sz w:val="16"/>
                <w:szCs w:val="16"/>
                <w:lang w:val="sq-AL"/>
              </w:rPr>
            </w:pPr>
            <w:r w:rsidRPr="008D6095">
              <w:rPr>
                <w:color w:val="000000"/>
                <w:sz w:val="16"/>
                <w:szCs w:val="16"/>
                <w:lang w:val="sq-AL"/>
              </w:rPr>
              <w:t>444,036</w:t>
            </w:r>
          </w:p>
        </w:tc>
        <w:tc>
          <w:tcPr>
            <w:tcW w:w="1267" w:type="dxa"/>
            <w:tcBorders>
              <w:top w:val="nil"/>
              <w:left w:val="single" w:sz="4" w:space="0" w:color="4F81BD"/>
              <w:bottom w:val="single" w:sz="4" w:space="0" w:color="auto"/>
              <w:right w:val="single" w:sz="4" w:space="0" w:color="4F81BD"/>
            </w:tcBorders>
            <w:shd w:val="clear" w:color="000000" w:fill="DAEEF3"/>
            <w:noWrap/>
            <w:vAlign w:val="center"/>
          </w:tcPr>
          <w:p w:rsidR="00DD66E7" w:rsidRPr="008D6095" w:rsidRDefault="00DD66E7" w:rsidP="00DD66E7">
            <w:pPr>
              <w:jc w:val="right"/>
              <w:rPr>
                <w:color w:val="000000"/>
                <w:sz w:val="16"/>
                <w:szCs w:val="16"/>
                <w:lang w:val="sq-AL"/>
              </w:rPr>
            </w:pPr>
            <w:r w:rsidRPr="008D6095">
              <w:rPr>
                <w:color w:val="000000"/>
                <w:sz w:val="16"/>
                <w:szCs w:val="16"/>
                <w:lang w:val="sq-AL"/>
              </w:rPr>
              <w:t>420,636</w:t>
            </w:r>
          </w:p>
        </w:tc>
        <w:tc>
          <w:tcPr>
            <w:tcW w:w="1267" w:type="dxa"/>
            <w:tcBorders>
              <w:top w:val="nil"/>
              <w:left w:val="single" w:sz="4" w:space="0" w:color="4F81BD"/>
              <w:bottom w:val="single" w:sz="4" w:space="0" w:color="auto"/>
              <w:right w:val="single" w:sz="4" w:space="0" w:color="4F81BD"/>
            </w:tcBorders>
            <w:shd w:val="clear" w:color="000000" w:fill="DAEEF3"/>
            <w:noWrap/>
            <w:vAlign w:val="center"/>
          </w:tcPr>
          <w:p w:rsidR="00DD66E7" w:rsidRPr="008D6095" w:rsidRDefault="00DD66E7" w:rsidP="00DD66E7">
            <w:pPr>
              <w:jc w:val="right"/>
              <w:rPr>
                <w:color w:val="000000"/>
                <w:sz w:val="16"/>
                <w:szCs w:val="16"/>
                <w:lang w:val="sq-AL"/>
              </w:rPr>
            </w:pPr>
            <w:r w:rsidRPr="008D6095">
              <w:rPr>
                <w:color w:val="000000"/>
                <w:sz w:val="16"/>
                <w:szCs w:val="16"/>
                <w:lang w:val="sq-AL"/>
              </w:rPr>
              <w:t>152,264</w:t>
            </w:r>
          </w:p>
        </w:tc>
        <w:tc>
          <w:tcPr>
            <w:tcW w:w="1187" w:type="dxa"/>
            <w:tcBorders>
              <w:top w:val="nil"/>
              <w:left w:val="single" w:sz="4" w:space="0" w:color="4F81BD"/>
              <w:bottom w:val="single" w:sz="4" w:space="0" w:color="auto"/>
              <w:right w:val="single" w:sz="4" w:space="0" w:color="4F81BD"/>
            </w:tcBorders>
            <w:shd w:val="clear" w:color="000000" w:fill="DAEEF3"/>
            <w:noWrap/>
            <w:vAlign w:val="center"/>
          </w:tcPr>
          <w:p w:rsidR="00DD66E7" w:rsidRPr="008D6095" w:rsidRDefault="00DD66E7" w:rsidP="00DD66E7">
            <w:pPr>
              <w:jc w:val="center"/>
              <w:rPr>
                <w:color w:val="000000"/>
                <w:sz w:val="16"/>
                <w:szCs w:val="16"/>
                <w:lang w:val="sq-AL"/>
              </w:rPr>
            </w:pPr>
            <w:r w:rsidRPr="008D6095">
              <w:rPr>
                <w:color w:val="000000"/>
                <w:sz w:val="16"/>
                <w:szCs w:val="16"/>
                <w:lang w:val="sq-AL"/>
              </w:rPr>
              <w:t>36%</w:t>
            </w:r>
          </w:p>
        </w:tc>
        <w:tc>
          <w:tcPr>
            <w:tcW w:w="1054" w:type="dxa"/>
            <w:tcBorders>
              <w:top w:val="nil"/>
              <w:left w:val="single" w:sz="4" w:space="0" w:color="4F81BD"/>
              <w:bottom w:val="single" w:sz="4" w:space="0" w:color="auto"/>
              <w:right w:val="single" w:sz="4" w:space="0" w:color="4F81BD"/>
            </w:tcBorders>
            <w:shd w:val="clear" w:color="000000" w:fill="DAEEF3"/>
            <w:noWrap/>
            <w:vAlign w:val="center"/>
          </w:tcPr>
          <w:p w:rsidR="00DD66E7" w:rsidRPr="008D6095" w:rsidRDefault="00DD66E7" w:rsidP="00DD66E7">
            <w:pPr>
              <w:jc w:val="center"/>
              <w:rPr>
                <w:color w:val="000000"/>
                <w:sz w:val="16"/>
                <w:szCs w:val="16"/>
                <w:lang w:val="sq-AL"/>
              </w:rPr>
            </w:pPr>
            <w:r w:rsidRPr="008D6095">
              <w:rPr>
                <w:color w:val="000000"/>
                <w:sz w:val="16"/>
                <w:szCs w:val="16"/>
                <w:lang w:val="sq-AL"/>
              </w:rPr>
              <w:t>37%</w:t>
            </w:r>
          </w:p>
        </w:tc>
        <w:tc>
          <w:tcPr>
            <w:tcW w:w="1054" w:type="dxa"/>
            <w:tcBorders>
              <w:top w:val="nil"/>
              <w:left w:val="single" w:sz="4" w:space="0" w:color="4F81BD"/>
              <w:bottom w:val="single" w:sz="4" w:space="0" w:color="auto"/>
              <w:right w:val="single" w:sz="4" w:space="0" w:color="auto"/>
            </w:tcBorders>
            <w:shd w:val="clear" w:color="000000" w:fill="DAEEF3"/>
            <w:noWrap/>
            <w:vAlign w:val="center"/>
          </w:tcPr>
          <w:p w:rsidR="00DD66E7" w:rsidRPr="008D6095" w:rsidRDefault="00DD66E7" w:rsidP="00DD66E7">
            <w:pPr>
              <w:jc w:val="center"/>
              <w:rPr>
                <w:color w:val="000000"/>
                <w:sz w:val="16"/>
                <w:szCs w:val="16"/>
                <w:lang w:val="sq-AL"/>
              </w:rPr>
            </w:pPr>
            <w:r w:rsidRPr="008D6095">
              <w:rPr>
                <w:color w:val="000000"/>
                <w:sz w:val="16"/>
                <w:szCs w:val="16"/>
                <w:lang w:val="sq-AL"/>
              </w:rPr>
              <w:t>26%</w:t>
            </w:r>
          </w:p>
        </w:tc>
      </w:tr>
      <w:tr w:rsidR="00DD66E7" w:rsidRPr="008D6095" w:rsidTr="00DD66E7">
        <w:trPr>
          <w:trHeight w:val="276"/>
          <w:jc w:val="center"/>
        </w:trPr>
        <w:tc>
          <w:tcPr>
            <w:tcW w:w="3634" w:type="dxa"/>
            <w:tcBorders>
              <w:top w:val="nil"/>
              <w:left w:val="single" w:sz="4" w:space="0" w:color="auto"/>
              <w:bottom w:val="single" w:sz="4" w:space="0" w:color="auto"/>
              <w:right w:val="single" w:sz="4" w:space="0" w:color="4F81BD"/>
            </w:tcBorders>
            <w:shd w:val="clear" w:color="auto" w:fill="auto"/>
            <w:noWrap/>
            <w:vAlign w:val="center"/>
            <w:hideMark/>
          </w:tcPr>
          <w:p w:rsidR="00DD66E7" w:rsidRPr="008D6095" w:rsidRDefault="00DD66E7" w:rsidP="00DD66E7">
            <w:pPr>
              <w:rPr>
                <w:b/>
                <w:bCs/>
                <w:color w:val="000000"/>
                <w:sz w:val="16"/>
                <w:szCs w:val="16"/>
                <w:lang w:val="sq-AL"/>
              </w:rPr>
            </w:pPr>
            <w:r w:rsidRPr="008D6095">
              <w:rPr>
                <w:b/>
                <w:bCs/>
                <w:color w:val="000000"/>
                <w:sz w:val="16"/>
                <w:szCs w:val="16"/>
                <w:lang w:val="sq-AL"/>
              </w:rPr>
              <w:t xml:space="preserve"> Ministria e Turizmit dhe Mjedisit                                                                </w:t>
            </w:r>
          </w:p>
        </w:tc>
        <w:tc>
          <w:tcPr>
            <w:tcW w:w="1267" w:type="dxa"/>
            <w:tcBorders>
              <w:top w:val="nil"/>
              <w:left w:val="single" w:sz="4" w:space="0" w:color="4F81BD"/>
              <w:bottom w:val="single" w:sz="4" w:space="0" w:color="auto"/>
              <w:right w:val="single" w:sz="4" w:space="0" w:color="4F81BD"/>
            </w:tcBorders>
            <w:shd w:val="clear" w:color="auto" w:fill="auto"/>
            <w:noWrap/>
            <w:vAlign w:val="center"/>
          </w:tcPr>
          <w:p w:rsidR="00DD66E7" w:rsidRPr="008D6095" w:rsidRDefault="00DD66E7" w:rsidP="00DD66E7">
            <w:pPr>
              <w:jc w:val="right"/>
              <w:rPr>
                <w:color w:val="000000"/>
                <w:sz w:val="16"/>
                <w:szCs w:val="16"/>
                <w:lang w:val="sq-AL"/>
              </w:rPr>
            </w:pPr>
            <w:r w:rsidRPr="008D6095">
              <w:rPr>
                <w:color w:val="000000"/>
                <w:sz w:val="16"/>
                <w:szCs w:val="16"/>
                <w:lang w:val="sq-AL"/>
              </w:rPr>
              <w:t>2,241,030</w:t>
            </w:r>
          </w:p>
        </w:tc>
        <w:tc>
          <w:tcPr>
            <w:tcW w:w="1267" w:type="dxa"/>
            <w:tcBorders>
              <w:top w:val="nil"/>
              <w:left w:val="single" w:sz="4" w:space="0" w:color="4F81BD"/>
              <w:bottom w:val="single" w:sz="4" w:space="0" w:color="auto"/>
              <w:right w:val="single" w:sz="4" w:space="0" w:color="4F81BD"/>
            </w:tcBorders>
            <w:shd w:val="clear" w:color="auto" w:fill="auto"/>
            <w:noWrap/>
            <w:vAlign w:val="center"/>
          </w:tcPr>
          <w:p w:rsidR="00DD66E7" w:rsidRPr="008D6095" w:rsidRDefault="00DD66E7" w:rsidP="00DD66E7">
            <w:pPr>
              <w:jc w:val="right"/>
              <w:rPr>
                <w:color w:val="000000"/>
                <w:sz w:val="16"/>
                <w:szCs w:val="16"/>
                <w:lang w:val="sq-AL"/>
              </w:rPr>
            </w:pPr>
            <w:r w:rsidRPr="008D6095">
              <w:rPr>
                <w:color w:val="000000"/>
                <w:sz w:val="16"/>
                <w:szCs w:val="16"/>
                <w:lang w:val="sq-AL"/>
              </w:rPr>
              <w:t>2,458,850</w:t>
            </w:r>
          </w:p>
        </w:tc>
        <w:tc>
          <w:tcPr>
            <w:tcW w:w="1267" w:type="dxa"/>
            <w:tcBorders>
              <w:top w:val="nil"/>
              <w:left w:val="single" w:sz="4" w:space="0" w:color="4F81BD"/>
              <w:bottom w:val="single" w:sz="4" w:space="0" w:color="auto"/>
              <w:right w:val="single" w:sz="4" w:space="0" w:color="4F81BD"/>
            </w:tcBorders>
            <w:shd w:val="clear" w:color="auto" w:fill="auto"/>
            <w:noWrap/>
            <w:vAlign w:val="center"/>
          </w:tcPr>
          <w:p w:rsidR="00DD66E7" w:rsidRPr="008D6095" w:rsidRDefault="00DD66E7" w:rsidP="00DD66E7">
            <w:pPr>
              <w:jc w:val="right"/>
              <w:rPr>
                <w:color w:val="000000"/>
                <w:sz w:val="16"/>
                <w:szCs w:val="16"/>
                <w:lang w:val="sq-AL"/>
              </w:rPr>
            </w:pPr>
            <w:r w:rsidRPr="008D6095">
              <w:rPr>
                <w:color w:val="000000"/>
                <w:sz w:val="16"/>
                <w:szCs w:val="16"/>
                <w:lang w:val="sq-AL"/>
              </w:rPr>
              <w:t>939,615</w:t>
            </w:r>
          </w:p>
        </w:tc>
        <w:tc>
          <w:tcPr>
            <w:tcW w:w="1187" w:type="dxa"/>
            <w:tcBorders>
              <w:top w:val="nil"/>
              <w:left w:val="single" w:sz="4" w:space="0" w:color="4F81BD"/>
              <w:bottom w:val="single" w:sz="4" w:space="0" w:color="auto"/>
              <w:right w:val="single" w:sz="4" w:space="0" w:color="4F81BD"/>
            </w:tcBorders>
            <w:shd w:val="clear" w:color="auto" w:fill="auto"/>
            <w:noWrap/>
            <w:vAlign w:val="center"/>
          </w:tcPr>
          <w:p w:rsidR="00DD66E7" w:rsidRPr="008D6095" w:rsidRDefault="00DD66E7" w:rsidP="00DD66E7">
            <w:pPr>
              <w:jc w:val="center"/>
              <w:rPr>
                <w:color w:val="000000"/>
                <w:sz w:val="16"/>
                <w:szCs w:val="16"/>
                <w:lang w:val="sq-AL"/>
              </w:rPr>
            </w:pPr>
            <w:r w:rsidRPr="008D6095">
              <w:rPr>
                <w:color w:val="000000"/>
                <w:sz w:val="16"/>
                <w:szCs w:val="16"/>
                <w:lang w:val="sq-AL"/>
              </w:rPr>
              <w:t>38%</w:t>
            </w:r>
          </w:p>
        </w:tc>
        <w:tc>
          <w:tcPr>
            <w:tcW w:w="1054" w:type="dxa"/>
            <w:tcBorders>
              <w:top w:val="nil"/>
              <w:left w:val="single" w:sz="4" w:space="0" w:color="4F81BD"/>
              <w:bottom w:val="single" w:sz="4" w:space="0" w:color="auto"/>
              <w:right w:val="single" w:sz="4" w:space="0" w:color="4F81BD"/>
            </w:tcBorders>
            <w:shd w:val="clear" w:color="auto" w:fill="auto"/>
            <w:noWrap/>
            <w:vAlign w:val="center"/>
          </w:tcPr>
          <w:p w:rsidR="00DD66E7" w:rsidRPr="008D6095" w:rsidRDefault="00DD66E7" w:rsidP="00DD66E7">
            <w:pPr>
              <w:jc w:val="center"/>
              <w:rPr>
                <w:color w:val="000000"/>
                <w:sz w:val="16"/>
                <w:szCs w:val="16"/>
                <w:lang w:val="sq-AL"/>
              </w:rPr>
            </w:pPr>
            <w:r w:rsidRPr="008D6095">
              <w:rPr>
                <w:color w:val="000000"/>
                <w:sz w:val="16"/>
                <w:szCs w:val="16"/>
                <w:lang w:val="sq-AL"/>
              </w:rPr>
              <w:t>36%</w:t>
            </w:r>
          </w:p>
        </w:tc>
        <w:tc>
          <w:tcPr>
            <w:tcW w:w="1054" w:type="dxa"/>
            <w:tcBorders>
              <w:top w:val="nil"/>
              <w:left w:val="single" w:sz="4" w:space="0" w:color="4F81BD"/>
              <w:bottom w:val="single" w:sz="4" w:space="0" w:color="auto"/>
              <w:right w:val="single" w:sz="4" w:space="0" w:color="auto"/>
            </w:tcBorders>
            <w:shd w:val="clear" w:color="auto" w:fill="auto"/>
            <w:noWrap/>
            <w:vAlign w:val="center"/>
          </w:tcPr>
          <w:p w:rsidR="00DD66E7" w:rsidRPr="008D6095" w:rsidRDefault="00DD66E7" w:rsidP="00DD66E7">
            <w:pPr>
              <w:jc w:val="center"/>
              <w:rPr>
                <w:color w:val="000000"/>
                <w:sz w:val="16"/>
                <w:szCs w:val="16"/>
                <w:lang w:val="sq-AL"/>
              </w:rPr>
            </w:pPr>
            <w:r w:rsidRPr="008D6095">
              <w:rPr>
                <w:color w:val="000000"/>
                <w:sz w:val="16"/>
                <w:szCs w:val="16"/>
                <w:lang w:val="sq-AL"/>
              </w:rPr>
              <w:t>42%</w:t>
            </w:r>
          </w:p>
        </w:tc>
      </w:tr>
      <w:tr w:rsidR="00DD66E7" w:rsidRPr="008D6095" w:rsidTr="00DD66E7">
        <w:trPr>
          <w:trHeight w:val="276"/>
          <w:jc w:val="center"/>
        </w:trPr>
        <w:tc>
          <w:tcPr>
            <w:tcW w:w="3634" w:type="dxa"/>
            <w:tcBorders>
              <w:top w:val="nil"/>
              <w:left w:val="single" w:sz="4" w:space="0" w:color="auto"/>
              <w:bottom w:val="single" w:sz="4" w:space="0" w:color="auto"/>
              <w:right w:val="single" w:sz="4" w:space="0" w:color="4F81BD"/>
            </w:tcBorders>
            <w:shd w:val="clear" w:color="000000" w:fill="DAEEF3"/>
            <w:noWrap/>
            <w:vAlign w:val="center"/>
            <w:hideMark/>
          </w:tcPr>
          <w:p w:rsidR="00DD66E7" w:rsidRPr="008D6095" w:rsidRDefault="00DD66E7" w:rsidP="00DD66E7">
            <w:pPr>
              <w:rPr>
                <w:b/>
                <w:bCs/>
                <w:color w:val="000000"/>
                <w:sz w:val="16"/>
                <w:szCs w:val="16"/>
                <w:lang w:val="sq-AL"/>
              </w:rPr>
            </w:pPr>
            <w:r w:rsidRPr="008D6095">
              <w:rPr>
                <w:b/>
                <w:bCs/>
                <w:color w:val="000000"/>
                <w:sz w:val="16"/>
                <w:szCs w:val="16"/>
                <w:lang w:val="sq-AL"/>
              </w:rPr>
              <w:t xml:space="preserve"> Prokuroria e Pergjithshme                                                                        </w:t>
            </w:r>
          </w:p>
        </w:tc>
        <w:tc>
          <w:tcPr>
            <w:tcW w:w="1267" w:type="dxa"/>
            <w:tcBorders>
              <w:top w:val="nil"/>
              <w:left w:val="single" w:sz="4" w:space="0" w:color="4F81BD"/>
              <w:bottom w:val="single" w:sz="4" w:space="0" w:color="auto"/>
              <w:right w:val="single" w:sz="4" w:space="0" w:color="4F81BD"/>
            </w:tcBorders>
            <w:shd w:val="clear" w:color="000000" w:fill="DAEEF3"/>
            <w:noWrap/>
            <w:vAlign w:val="center"/>
          </w:tcPr>
          <w:p w:rsidR="00DD66E7" w:rsidRPr="008D6095" w:rsidRDefault="00DD66E7" w:rsidP="00DD66E7">
            <w:pPr>
              <w:jc w:val="right"/>
              <w:rPr>
                <w:color w:val="000000"/>
                <w:sz w:val="16"/>
                <w:szCs w:val="16"/>
                <w:lang w:val="sq-AL"/>
              </w:rPr>
            </w:pPr>
            <w:r w:rsidRPr="008D6095">
              <w:rPr>
                <w:color w:val="000000"/>
                <w:sz w:val="16"/>
                <w:szCs w:val="16"/>
                <w:lang w:val="sq-AL"/>
              </w:rPr>
              <w:t>2,308,800</w:t>
            </w:r>
          </w:p>
        </w:tc>
        <w:tc>
          <w:tcPr>
            <w:tcW w:w="1267" w:type="dxa"/>
            <w:tcBorders>
              <w:top w:val="nil"/>
              <w:left w:val="single" w:sz="4" w:space="0" w:color="4F81BD"/>
              <w:bottom w:val="single" w:sz="4" w:space="0" w:color="auto"/>
              <w:right w:val="single" w:sz="4" w:space="0" w:color="4F81BD"/>
            </w:tcBorders>
            <w:shd w:val="clear" w:color="000000" w:fill="DAEEF3"/>
            <w:noWrap/>
            <w:vAlign w:val="center"/>
          </w:tcPr>
          <w:p w:rsidR="00DD66E7" w:rsidRPr="008D6095" w:rsidRDefault="00DD66E7" w:rsidP="00DD66E7">
            <w:pPr>
              <w:jc w:val="right"/>
              <w:rPr>
                <w:color w:val="000000"/>
                <w:sz w:val="16"/>
                <w:szCs w:val="16"/>
                <w:lang w:val="sq-AL"/>
              </w:rPr>
            </w:pPr>
            <w:r w:rsidRPr="008D6095">
              <w:rPr>
                <w:color w:val="000000"/>
                <w:sz w:val="16"/>
                <w:szCs w:val="16"/>
                <w:lang w:val="sq-AL"/>
              </w:rPr>
              <w:t>2,301,600</w:t>
            </w:r>
          </w:p>
        </w:tc>
        <w:tc>
          <w:tcPr>
            <w:tcW w:w="1267" w:type="dxa"/>
            <w:tcBorders>
              <w:top w:val="nil"/>
              <w:left w:val="single" w:sz="4" w:space="0" w:color="4F81BD"/>
              <w:bottom w:val="single" w:sz="4" w:space="0" w:color="auto"/>
              <w:right w:val="single" w:sz="4" w:space="0" w:color="4F81BD"/>
            </w:tcBorders>
            <w:shd w:val="clear" w:color="000000" w:fill="DAEEF3"/>
            <w:noWrap/>
            <w:vAlign w:val="center"/>
          </w:tcPr>
          <w:p w:rsidR="00DD66E7" w:rsidRPr="008D6095" w:rsidRDefault="00DD66E7" w:rsidP="00DD66E7">
            <w:pPr>
              <w:jc w:val="right"/>
              <w:rPr>
                <w:color w:val="000000"/>
                <w:sz w:val="16"/>
                <w:szCs w:val="16"/>
                <w:lang w:val="sq-AL"/>
              </w:rPr>
            </w:pPr>
            <w:r w:rsidRPr="008D6095">
              <w:rPr>
                <w:color w:val="000000"/>
                <w:sz w:val="16"/>
                <w:szCs w:val="16"/>
                <w:lang w:val="sq-AL"/>
              </w:rPr>
              <w:t>800,218</w:t>
            </w:r>
          </w:p>
        </w:tc>
        <w:tc>
          <w:tcPr>
            <w:tcW w:w="1187" w:type="dxa"/>
            <w:tcBorders>
              <w:top w:val="nil"/>
              <w:left w:val="single" w:sz="4" w:space="0" w:color="4F81BD"/>
              <w:bottom w:val="single" w:sz="4" w:space="0" w:color="auto"/>
              <w:right w:val="single" w:sz="4" w:space="0" w:color="4F81BD"/>
            </w:tcBorders>
            <w:shd w:val="clear" w:color="000000" w:fill="DAEEF3"/>
            <w:noWrap/>
            <w:vAlign w:val="center"/>
          </w:tcPr>
          <w:p w:rsidR="00DD66E7" w:rsidRPr="008D6095" w:rsidRDefault="00DD66E7" w:rsidP="00DD66E7">
            <w:pPr>
              <w:jc w:val="center"/>
              <w:rPr>
                <w:color w:val="000000"/>
                <w:sz w:val="16"/>
                <w:szCs w:val="16"/>
                <w:lang w:val="sq-AL"/>
              </w:rPr>
            </w:pPr>
            <w:r w:rsidRPr="008D6095">
              <w:rPr>
                <w:color w:val="000000"/>
                <w:sz w:val="16"/>
                <w:szCs w:val="16"/>
                <w:lang w:val="sq-AL"/>
              </w:rPr>
              <w:t>35%</w:t>
            </w:r>
          </w:p>
        </w:tc>
        <w:tc>
          <w:tcPr>
            <w:tcW w:w="1054" w:type="dxa"/>
            <w:tcBorders>
              <w:top w:val="nil"/>
              <w:left w:val="single" w:sz="4" w:space="0" w:color="4F81BD"/>
              <w:bottom w:val="single" w:sz="4" w:space="0" w:color="auto"/>
              <w:right w:val="single" w:sz="4" w:space="0" w:color="4F81BD"/>
            </w:tcBorders>
            <w:shd w:val="clear" w:color="000000" w:fill="DAEEF3"/>
            <w:noWrap/>
            <w:vAlign w:val="center"/>
          </w:tcPr>
          <w:p w:rsidR="00DD66E7" w:rsidRPr="008D6095" w:rsidRDefault="00DD66E7" w:rsidP="00DD66E7">
            <w:pPr>
              <w:jc w:val="center"/>
              <w:rPr>
                <w:color w:val="000000"/>
                <w:sz w:val="16"/>
                <w:szCs w:val="16"/>
                <w:lang w:val="sq-AL"/>
              </w:rPr>
            </w:pPr>
            <w:r w:rsidRPr="008D6095">
              <w:rPr>
                <w:color w:val="000000"/>
                <w:sz w:val="16"/>
                <w:szCs w:val="16"/>
                <w:lang w:val="sq-AL"/>
              </w:rPr>
              <w:t>37%</w:t>
            </w:r>
          </w:p>
        </w:tc>
        <w:tc>
          <w:tcPr>
            <w:tcW w:w="1054" w:type="dxa"/>
            <w:tcBorders>
              <w:top w:val="nil"/>
              <w:left w:val="single" w:sz="4" w:space="0" w:color="4F81BD"/>
              <w:bottom w:val="single" w:sz="4" w:space="0" w:color="auto"/>
              <w:right w:val="single" w:sz="4" w:space="0" w:color="auto"/>
            </w:tcBorders>
            <w:shd w:val="clear" w:color="000000" w:fill="DAEEF3"/>
            <w:noWrap/>
            <w:vAlign w:val="center"/>
          </w:tcPr>
          <w:p w:rsidR="00DD66E7" w:rsidRPr="008D6095" w:rsidRDefault="00DD66E7" w:rsidP="00DD66E7">
            <w:pPr>
              <w:jc w:val="center"/>
              <w:rPr>
                <w:color w:val="000000"/>
                <w:sz w:val="16"/>
                <w:szCs w:val="16"/>
                <w:lang w:val="sq-AL"/>
              </w:rPr>
            </w:pPr>
            <w:r w:rsidRPr="008D6095">
              <w:rPr>
                <w:color w:val="000000"/>
                <w:sz w:val="16"/>
                <w:szCs w:val="16"/>
                <w:lang w:val="sq-AL"/>
              </w:rPr>
              <w:t>0%</w:t>
            </w:r>
          </w:p>
        </w:tc>
      </w:tr>
      <w:tr w:rsidR="00DD66E7" w:rsidRPr="008D6095" w:rsidTr="00DD66E7">
        <w:trPr>
          <w:trHeight w:val="276"/>
          <w:jc w:val="center"/>
        </w:trPr>
        <w:tc>
          <w:tcPr>
            <w:tcW w:w="3634" w:type="dxa"/>
            <w:tcBorders>
              <w:top w:val="nil"/>
              <w:left w:val="single" w:sz="4" w:space="0" w:color="auto"/>
              <w:bottom w:val="single" w:sz="4" w:space="0" w:color="auto"/>
              <w:right w:val="single" w:sz="4" w:space="0" w:color="4F81BD"/>
            </w:tcBorders>
            <w:shd w:val="clear" w:color="auto" w:fill="auto"/>
            <w:noWrap/>
            <w:vAlign w:val="center"/>
            <w:hideMark/>
          </w:tcPr>
          <w:p w:rsidR="00DD66E7" w:rsidRPr="008D6095" w:rsidRDefault="00DD66E7" w:rsidP="00DD66E7">
            <w:pPr>
              <w:rPr>
                <w:b/>
                <w:bCs/>
                <w:color w:val="000000"/>
                <w:sz w:val="16"/>
                <w:szCs w:val="16"/>
                <w:lang w:val="sq-AL"/>
              </w:rPr>
            </w:pPr>
            <w:r w:rsidRPr="008D6095">
              <w:rPr>
                <w:b/>
                <w:bCs/>
                <w:color w:val="000000"/>
                <w:sz w:val="16"/>
                <w:szCs w:val="16"/>
                <w:lang w:val="sq-AL"/>
              </w:rPr>
              <w:t xml:space="preserve"> Keshilli i Larte Gjyqesor                                                                        </w:t>
            </w:r>
          </w:p>
        </w:tc>
        <w:tc>
          <w:tcPr>
            <w:tcW w:w="1267" w:type="dxa"/>
            <w:tcBorders>
              <w:top w:val="nil"/>
              <w:left w:val="single" w:sz="4" w:space="0" w:color="4F81BD"/>
              <w:bottom w:val="single" w:sz="4" w:space="0" w:color="auto"/>
              <w:right w:val="single" w:sz="4" w:space="0" w:color="4F81BD"/>
            </w:tcBorders>
            <w:shd w:val="clear" w:color="auto" w:fill="auto"/>
            <w:noWrap/>
            <w:vAlign w:val="center"/>
          </w:tcPr>
          <w:p w:rsidR="00DD66E7" w:rsidRPr="008D6095" w:rsidRDefault="00DD66E7" w:rsidP="00DD66E7">
            <w:pPr>
              <w:jc w:val="right"/>
              <w:rPr>
                <w:color w:val="000000"/>
                <w:sz w:val="16"/>
                <w:szCs w:val="16"/>
                <w:lang w:val="sq-AL"/>
              </w:rPr>
            </w:pPr>
            <w:r w:rsidRPr="008D6095">
              <w:rPr>
                <w:color w:val="000000"/>
                <w:sz w:val="16"/>
                <w:szCs w:val="16"/>
                <w:lang w:val="sq-AL"/>
              </w:rPr>
              <w:t>3,409,150</w:t>
            </w:r>
          </w:p>
        </w:tc>
        <w:tc>
          <w:tcPr>
            <w:tcW w:w="1267" w:type="dxa"/>
            <w:tcBorders>
              <w:top w:val="nil"/>
              <w:left w:val="single" w:sz="4" w:space="0" w:color="4F81BD"/>
              <w:bottom w:val="single" w:sz="4" w:space="0" w:color="auto"/>
              <w:right w:val="single" w:sz="4" w:space="0" w:color="4F81BD"/>
            </w:tcBorders>
            <w:shd w:val="clear" w:color="auto" w:fill="auto"/>
            <w:noWrap/>
            <w:vAlign w:val="center"/>
          </w:tcPr>
          <w:p w:rsidR="00DD66E7" w:rsidRPr="008D6095" w:rsidRDefault="00DD66E7" w:rsidP="00DD66E7">
            <w:pPr>
              <w:jc w:val="right"/>
              <w:rPr>
                <w:color w:val="000000"/>
                <w:sz w:val="16"/>
                <w:szCs w:val="16"/>
                <w:lang w:val="sq-AL"/>
              </w:rPr>
            </w:pPr>
            <w:r w:rsidRPr="008D6095">
              <w:rPr>
                <w:color w:val="000000"/>
                <w:sz w:val="16"/>
                <w:szCs w:val="16"/>
                <w:lang w:val="sq-AL"/>
              </w:rPr>
              <w:t>3,304,650</w:t>
            </w:r>
          </w:p>
        </w:tc>
        <w:tc>
          <w:tcPr>
            <w:tcW w:w="1267" w:type="dxa"/>
            <w:tcBorders>
              <w:top w:val="nil"/>
              <w:left w:val="single" w:sz="4" w:space="0" w:color="4F81BD"/>
              <w:bottom w:val="single" w:sz="4" w:space="0" w:color="auto"/>
              <w:right w:val="single" w:sz="4" w:space="0" w:color="4F81BD"/>
            </w:tcBorders>
            <w:shd w:val="clear" w:color="auto" w:fill="auto"/>
            <w:noWrap/>
            <w:vAlign w:val="center"/>
          </w:tcPr>
          <w:p w:rsidR="00DD66E7" w:rsidRPr="008D6095" w:rsidRDefault="00DD66E7" w:rsidP="00DD66E7">
            <w:pPr>
              <w:jc w:val="right"/>
              <w:rPr>
                <w:color w:val="000000"/>
                <w:sz w:val="16"/>
                <w:szCs w:val="16"/>
                <w:lang w:val="sq-AL"/>
              </w:rPr>
            </w:pPr>
            <w:r w:rsidRPr="008D6095">
              <w:rPr>
                <w:color w:val="000000"/>
                <w:sz w:val="16"/>
                <w:szCs w:val="16"/>
                <w:lang w:val="sq-AL"/>
              </w:rPr>
              <w:t>1,015,355</w:t>
            </w:r>
          </w:p>
        </w:tc>
        <w:tc>
          <w:tcPr>
            <w:tcW w:w="1187" w:type="dxa"/>
            <w:tcBorders>
              <w:top w:val="nil"/>
              <w:left w:val="single" w:sz="4" w:space="0" w:color="4F81BD"/>
              <w:bottom w:val="single" w:sz="4" w:space="0" w:color="auto"/>
              <w:right w:val="single" w:sz="4" w:space="0" w:color="4F81BD"/>
            </w:tcBorders>
            <w:shd w:val="clear" w:color="auto" w:fill="auto"/>
            <w:noWrap/>
            <w:vAlign w:val="center"/>
          </w:tcPr>
          <w:p w:rsidR="00DD66E7" w:rsidRPr="008D6095" w:rsidRDefault="00DD66E7" w:rsidP="00DD66E7">
            <w:pPr>
              <w:jc w:val="center"/>
              <w:rPr>
                <w:color w:val="000000"/>
                <w:sz w:val="16"/>
                <w:szCs w:val="16"/>
                <w:lang w:val="sq-AL"/>
              </w:rPr>
            </w:pPr>
            <w:r w:rsidRPr="008D6095">
              <w:rPr>
                <w:color w:val="000000"/>
                <w:sz w:val="16"/>
                <w:szCs w:val="16"/>
                <w:lang w:val="sq-AL"/>
              </w:rPr>
              <w:t>31%</w:t>
            </w:r>
          </w:p>
        </w:tc>
        <w:tc>
          <w:tcPr>
            <w:tcW w:w="1054" w:type="dxa"/>
            <w:tcBorders>
              <w:top w:val="nil"/>
              <w:left w:val="single" w:sz="4" w:space="0" w:color="4F81BD"/>
              <w:bottom w:val="single" w:sz="4" w:space="0" w:color="auto"/>
              <w:right w:val="single" w:sz="4" w:space="0" w:color="4F81BD"/>
            </w:tcBorders>
            <w:shd w:val="clear" w:color="auto" w:fill="auto"/>
            <w:noWrap/>
            <w:vAlign w:val="center"/>
          </w:tcPr>
          <w:p w:rsidR="00DD66E7" w:rsidRPr="008D6095" w:rsidRDefault="00DD66E7" w:rsidP="00DD66E7">
            <w:pPr>
              <w:jc w:val="center"/>
              <w:rPr>
                <w:color w:val="000000"/>
                <w:sz w:val="16"/>
                <w:szCs w:val="16"/>
                <w:lang w:val="sq-AL"/>
              </w:rPr>
            </w:pPr>
            <w:r w:rsidRPr="008D6095">
              <w:rPr>
                <w:color w:val="000000"/>
                <w:sz w:val="16"/>
                <w:szCs w:val="16"/>
                <w:lang w:val="sq-AL"/>
              </w:rPr>
              <w:t>33%</w:t>
            </w:r>
          </w:p>
        </w:tc>
        <w:tc>
          <w:tcPr>
            <w:tcW w:w="1054" w:type="dxa"/>
            <w:tcBorders>
              <w:top w:val="nil"/>
              <w:left w:val="single" w:sz="4" w:space="0" w:color="4F81BD"/>
              <w:bottom w:val="single" w:sz="4" w:space="0" w:color="auto"/>
              <w:right w:val="single" w:sz="4" w:space="0" w:color="auto"/>
            </w:tcBorders>
            <w:shd w:val="clear" w:color="auto" w:fill="auto"/>
            <w:noWrap/>
            <w:vAlign w:val="center"/>
          </w:tcPr>
          <w:p w:rsidR="00DD66E7" w:rsidRPr="008D6095" w:rsidRDefault="00DD66E7" w:rsidP="00DD66E7">
            <w:pPr>
              <w:jc w:val="center"/>
              <w:rPr>
                <w:color w:val="000000"/>
                <w:sz w:val="16"/>
                <w:szCs w:val="16"/>
                <w:lang w:val="sq-AL"/>
              </w:rPr>
            </w:pPr>
            <w:r w:rsidRPr="008D6095">
              <w:rPr>
                <w:color w:val="000000"/>
                <w:sz w:val="16"/>
                <w:szCs w:val="16"/>
                <w:lang w:val="sq-AL"/>
              </w:rPr>
              <w:t>0%</w:t>
            </w:r>
          </w:p>
        </w:tc>
      </w:tr>
      <w:tr w:rsidR="00DD66E7" w:rsidRPr="008D6095" w:rsidTr="00DD66E7">
        <w:trPr>
          <w:trHeight w:val="276"/>
          <w:jc w:val="center"/>
        </w:trPr>
        <w:tc>
          <w:tcPr>
            <w:tcW w:w="3634" w:type="dxa"/>
            <w:tcBorders>
              <w:top w:val="nil"/>
              <w:left w:val="single" w:sz="4" w:space="0" w:color="auto"/>
              <w:bottom w:val="single" w:sz="4" w:space="0" w:color="auto"/>
              <w:right w:val="single" w:sz="4" w:space="0" w:color="4F81BD"/>
            </w:tcBorders>
            <w:shd w:val="clear" w:color="000000" w:fill="DAEEF3"/>
            <w:noWrap/>
            <w:vAlign w:val="center"/>
            <w:hideMark/>
          </w:tcPr>
          <w:p w:rsidR="00DD66E7" w:rsidRPr="008D6095" w:rsidRDefault="00DD66E7" w:rsidP="00DD66E7">
            <w:pPr>
              <w:rPr>
                <w:b/>
                <w:bCs/>
                <w:color w:val="000000"/>
                <w:sz w:val="16"/>
                <w:szCs w:val="16"/>
                <w:lang w:val="sq-AL"/>
              </w:rPr>
            </w:pPr>
            <w:r w:rsidRPr="008D6095">
              <w:rPr>
                <w:b/>
                <w:bCs/>
                <w:color w:val="000000"/>
                <w:sz w:val="16"/>
                <w:szCs w:val="16"/>
                <w:lang w:val="sq-AL"/>
              </w:rPr>
              <w:t xml:space="preserve"> Gjykata Kushtetuese                                                                              </w:t>
            </w:r>
          </w:p>
        </w:tc>
        <w:tc>
          <w:tcPr>
            <w:tcW w:w="1267" w:type="dxa"/>
            <w:tcBorders>
              <w:top w:val="nil"/>
              <w:left w:val="single" w:sz="4" w:space="0" w:color="4F81BD"/>
              <w:bottom w:val="single" w:sz="4" w:space="0" w:color="auto"/>
              <w:right w:val="single" w:sz="4" w:space="0" w:color="4F81BD"/>
            </w:tcBorders>
            <w:shd w:val="clear" w:color="000000" w:fill="DAEEF3"/>
            <w:noWrap/>
            <w:vAlign w:val="center"/>
          </w:tcPr>
          <w:p w:rsidR="00DD66E7" w:rsidRPr="008D6095" w:rsidRDefault="00DD66E7" w:rsidP="00DD66E7">
            <w:pPr>
              <w:jc w:val="right"/>
              <w:rPr>
                <w:color w:val="000000"/>
                <w:sz w:val="16"/>
                <w:szCs w:val="16"/>
                <w:lang w:val="sq-AL"/>
              </w:rPr>
            </w:pPr>
            <w:r w:rsidRPr="008D6095">
              <w:rPr>
                <w:color w:val="000000"/>
                <w:sz w:val="16"/>
                <w:szCs w:val="16"/>
                <w:lang w:val="sq-AL"/>
              </w:rPr>
              <w:t>147,000</w:t>
            </w:r>
          </w:p>
        </w:tc>
        <w:tc>
          <w:tcPr>
            <w:tcW w:w="1267" w:type="dxa"/>
            <w:tcBorders>
              <w:top w:val="nil"/>
              <w:left w:val="single" w:sz="4" w:space="0" w:color="4F81BD"/>
              <w:bottom w:val="single" w:sz="4" w:space="0" w:color="auto"/>
              <w:right w:val="single" w:sz="4" w:space="0" w:color="4F81BD"/>
            </w:tcBorders>
            <w:shd w:val="clear" w:color="000000" w:fill="DAEEF3"/>
            <w:noWrap/>
            <w:vAlign w:val="center"/>
          </w:tcPr>
          <w:p w:rsidR="00DD66E7" w:rsidRPr="008D6095" w:rsidRDefault="00DD66E7" w:rsidP="00DD66E7">
            <w:pPr>
              <w:jc w:val="right"/>
              <w:rPr>
                <w:color w:val="000000"/>
                <w:sz w:val="16"/>
                <w:szCs w:val="16"/>
                <w:lang w:val="sq-AL"/>
              </w:rPr>
            </w:pPr>
            <w:r w:rsidRPr="008D6095">
              <w:rPr>
                <w:color w:val="000000"/>
                <w:sz w:val="16"/>
                <w:szCs w:val="16"/>
                <w:lang w:val="sq-AL"/>
              </w:rPr>
              <w:t>128,350</w:t>
            </w:r>
          </w:p>
        </w:tc>
        <w:tc>
          <w:tcPr>
            <w:tcW w:w="1267" w:type="dxa"/>
            <w:tcBorders>
              <w:top w:val="nil"/>
              <w:left w:val="single" w:sz="4" w:space="0" w:color="4F81BD"/>
              <w:bottom w:val="single" w:sz="4" w:space="0" w:color="auto"/>
              <w:right w:val="single" w:sz="4" w:space="0" w:color="4F81BD"/>
            </w:tcBorders>
            <w:shd w:val="clear" w:color="000000" w:fill="DAEEF3"/>
            <w:noWrap/>
            <w:vAlign w:val="center"/>
          </w:tcPr>
          <w:p w:rsidR="00DD66E7" w:rsidRPr="008D6095" w:rsidRDefault="00DD66E7" w:rsidP="00DD66E7">
            <w:pPr>
              <w:jc w:val="right"/>
              <w:rPr>
                <w:color w:val="000000"/>
                <w:sz w:val="16"/>
                <w:szCs w:val="16"/>
                <w:lang w:val="sq-AL"/>
              </w:rPr>
            </w:pPr>
            <w:r w:rsidRPr="008D6095">
              <w:rPr>
                <w:color w:val="000000"/>
                <w:sz w:val="16"/>
                <w:szCs w:val="16"/>
                <w:lang w:val="sq-AL"/>
              </w:rPr>
              <w:t>36,855</w:t>
            </w:r>
          </w:p>
        </w:tc>
        <w:tc>
          <w:tcPr>
            <w:tcW w:w="1187" w:type="dxa"/>
            <w:tcBorders>
              <w:top w:val="nil"/>
              <w:left w:val="single" w:sz="4" w:space="0" w:color="4F81BD"/>
              <w:bottom w:val="single" w:sz="4" w:space="0" w:color="auto"/>
              <w:right w:val="single" w:sz="4" w:space="0" w:color="4F81BD"/>
            </w:tcBorders>
            <w:shd w:val="clear" w:color="000000" w:fill="DAEEF3"/>
            <w:noWrap/>
            <w:vAlign w:val="center"/>
          </w:tcPr>
          <w:p w:rsidR="00DD66E7" w:rsidRPr="008D6095" w:rsidRDefault="00DD66E7" w:rsidP="00DD66E7">
            <w:pPr>
              <w:jc w:val="center"/>
              <w:rPr>
                <w:color w:val="000000"/>
                <w:sz w:val="16"/>
                <w:szCs w:val="16"/>
                <w:lang w:val="sq-AL"/>
              </w:rPr>
            </w:pPr>
            <w:r w:rsidRPr="008D6095">
              <w:rPr>
                <w:color w:val="000000"/>
                <w:sz w:val="16"/>
                <w:szCs w:val="16"/>
                <w:lang w:val="sq-AL"/>
              </w:rPr>
              <w:t>29%</w:t>
            </w:r>
          </w:p>
        </w:tc>
        <w:tc>
          <w:tcPr>
            <w:tcW w:w="1054" w:type="dxa"/>
            <w:tcBorders>
              <w:top w:val="nil"/>
              <w:left w:val="single" w:sz="4" w:space="0" w:color="4F81BD"/>
              <w:bottom w:val="single" w:sz="4" w:space="0" w:color="auto"/>
              <w:right w:val="single" w:sz="4" w:space="0" w:color="4F81BD"/>
            </w:tcBorders>
            <w:shd w:val="clear" w:color="000000" w:fill="DAEEF3"/>
            <w:noWrap/>
            <w:vAlign w:val="center"/>
          </w:tcPr>
          <w:p w:rsidR="00DD66E7" w:rsidRPr="008D6095" w:rsidRDefault="00DD66E7" w:rsidP="00DD66E7">
            <w:pPr>
              <w:jc w:val="center"/>
              <w:rPr>
                <w:color w:val="000000"/>
                <w:sz w:val="16"/>
                <w:szCs w:val="16"/>
                <w:lang w:val="sq-AL"/>
              </w:rPr>
            </w:pPr>
            <w:r w:rsidRPr="008D6095">
              <w:rPr>
                <w:color w:val="000000"/>
                <w:sz w:val="16"/>
                <w:szCs w:val="16"/>
                <w:lang w:val="sq-AL"/>
              </w:rPr>
              <w:t>29%</w:t>
            </w:r>
          </w:p>
        </w:tc>
        <w:tc>
          <w:tcPr>
            <w:tcW w:w="1054" w:type="dxa"/>
            <w:tcBorders>
              <w:top w:val="nil"/>
              <w:left w:val="single" w:sz="4" w:space="0" w:color="4F81BD"/>
              <w:bottom w:val="single" w:sz="4" w:space="0" w:color="auto"/>
              <w:right w:val="single" w:sz="4" w:space="0" w:color="auto"/>
            </w:tcBorders>
            <w:shd w:val="clear" w:color="000000" w:fill="DAEEF3"/>
            <w:noWrap/>
            <w:vAlign w:val="center"/>
          </w:tcPr>
          <w:p w:rsidR="00DD66E7" w:rsidRPr="008D6095" w:rsidRDefault="00DD66E7" w:rsidP="00DD66E7">
            <w:pPr>
              <w:jc w:val="center"/>
              <w:rPr>
                <w:color w:val="000000"/>
                <w:sz w:val="16"/>
                <w:szCs w:val="16"/>
                <w:lang w:val="sq-AL"/>
              </w:rPr>
            </w:pPr>
            <w:r w:rsidRPr="008D6095">
              <w:rPr>
                <w:color w:val="000000"/>
                <w:sz w:val="16"/>
                <w:szCs w:val="16"/>
                <w:lang w:val="sq-AL"/>
              </w:rPr>
              <w:t>0%</w:t>
            </w:r>
          </w:p>
        </w:tc>
      </w:tr>
      <w:tr w:rsidR="00DD66E7" w:rsidRPr="008D6095" w:rsidTr="00DD66E7">
        <w:trPr>
          <w:trHeight w:val="276"/>
          <w:jc w:val="center"/>
        </w:trPr>
        <w:tc>
          <w:tcPr>
            <w:tcW w:w="3634" w:type="dxa"/>
            <w:tcBorders>
              <w:top w:val="nil"/>
              <w:left w:val="single" w:sz="4" w:space="0" w:color="auto"/>
              <w:bottom w:val="single" w:sz="4" w:space="0" w:color="auto"/>
              <w:right w:val="single" w:sz="4" w:space="0" w:color="4F81BD"/>
            </w:tcBorders>
            <w:shd w:val="clear" w:color="auto" w:fill="auto"/>
            <w:vAlign w:val="center"/>
            <w:hideMark/>
          </w:tcPr>
          <w:p w:rsidR="00DD66E7" w:rsidRPr="008D6095" w:rsidRDefault="00DD66E7" w:rsidP="00DD66E7">
            <w:pPr>
              <w:rPr>
                <w:b/>
                <w:bCs/>
                <w:color w:val="000000"/>
                <w:sz w:val="16"/>
                <w:szCs w:val="16"/>
                <w:lang w:val="sq-AL"/>
              </w:rPr>
            </w:pPr>
            <w:r w:rsidRPr="008D6095">
              <w:rPr>
                <w:b/>
                <w:bCs/>
                <w:color w:val="000000"/>
                <w:sz w:val="16"/>
                <w:szCs w:val="16"/>
                <w:lang w:val="sq-AL"/>
              </w:rPr>
              <w:t xml:space="preserve"> Keshilli i Larte i Prokurorise                                                                   </w:t>
            </w:r>
          </w:p>
        </w:tc>
        <w:tc>
          <w:tcPr>
            <w:tcW w:w="1267" w:type="dxa"/>
            <w:tcBorders>
              <w:top w:val="nil"/>
              <w:left w:val="single" w:sz="4" w:space="0" w:color="4F81BD"/>
              <w:bottom w:val="single" w:sz="4" w:space="0" w:color="auto"/>
              <w:right w:val="single" w:sz="4" w:space="0" w:color="4F81BD"/>
            </w:tcBorders>
            <w:shd w:val="clear" w:color="auto" w:fill="auto"/>
            <w:noWrap/>
            <w:vAlign w:val="center"/>
          </w:tcPr>
          <w:p w:rsidR="00DD66E7" w:rsidRPr="008D6095" w:rsidRDefault="00DD66E7" w:rsidP="00DD66E7">
            <w:pPr>
              <w:jc w:val="right"/>
              <w:rPr>
                <w:color w:val="000000"/>
                <w:sz w:val="16"/>
                <w:szCs w:val="16"/>
                <w:lang w:val="sq-AL"/>
              </w:rPr>
            </w:pPr>
            <w:r w:rsidRPr="008D6095">
              <w:rPr>
                <w:color w:val="000000"/>
                <w:sz w:val="16"/>
                <w:szCs w:val="16"/>
                <w:lang w:val="sq-AL"/>
              </w:rPr>
              <w:t>152,324</w:t>
            </w:r>
          </w:p>
        </w:tc>
        <w:tc>
          <w:tcPr>
            <w:tcW w:w="1267" w:type="dxa"/>
            <w:tcBorders>
              <w:top w:val="nil"/>
              <w:left w:val="single" w:sz="4" w:space="0" w:color="4F81BD"/>
              <w:bottom w:val="single" w:sz="4" w:space="0" w:color="auto"/>
              <w:right w:val="single" w:sz="4" w:space="0" w:color="4F81BD"/>
            </w:tcBorders>
            <w:shd w:val="clear" w:color="auto" w:fill="auto"/>
            <w:noWrap/>
            <w:vAlign w:val="center"/>
          </w:tcPr>
          <w:p w:rsidR="00DD66E7" w:rsidRPr="008D6095" w:rsidRDefault="00DD66E7" w:rsidP="00DD66E7">
            <w:pPr>
              <w:jc w:val="right"/>
              <w:rPr>
                <w:color w:val="000000"/>
                <w:sz w:val="16"/>
                <w:szCs w:val="16"/>
                <w:lang w:val="sq-AL"/>
              </w:rPr>
            </w:pPr>
            <w:r w:rsidRPr="008D6095">
              <w:rPr>
                <w:color w:val="000000"/>
                <w:sz w:val="16"/>
                <w:szCs w:val="16"/>
                <w:lang w:val="sq-AL"/>
              </w:rPr>
              <w:t>143,674</w:t>
            </w:r>
          </w:p>
        </w:tc>
        <w:tc>
          <w:tcPr>
            <w:tcW w:w="1267" w:type="dxa"/>
            <w:tcBorders>
              <w:top w:val="nil"/>
              <w:left w:val="single" w:sz="4" w:space="0" w:color="4F81BD"/>
              <w:bottom w:val="single" w:sz="4" w:space="0" w:color="auto"/>
              <w:right w:val="single" w:sz="4" w:space="0" w:color="4F81BD"/>
            </w:tcBorders>
            <w:shd w:val="clear" w:color="auto" w:fill="auto"/>
            <w:noWrap/>
            <w:vAlign w:val="center"/>
          </w:tcPr>
          <w:p w:rsidR="00DD66E7" w:rsidRPr="008D6095" w:rsidRDefault="00DD66E7" w:rsidP="00DD66E7">
            <w:pPr>
              <w:jc w:val="right"/>
              <w:rPr>
                <w:color w:val="000000"/>
                <w:sz w:val="16"/>
                <w:szCs w:val="16"/>
                <w:lang w:val="sq-AL"/>
              </w:rPr>
            </w:pPr>
            <w:r w:rsidRPr="008D6095">
              <w:rPr>
                <w:color w:val="000000"/>
                <w:sz w:val="16"/>
                <w:szCs w:val="16"/>
                <w:lang w:val="sq-AL"/>
              </w:rPr>
              <w:t>34,184</w:t>
            </w:r>
          </w:p>
        </w:tc>
        <w:tc>
          <w:tcPr>
            <w:tcW w:w="1187" w:type="dxa"/>
            <w:tcBorders>
              <w:top w:val="nil"/>
              <w:left w:val="single" w:sz="4" w:space="0" w:color="4F81BD"/>
              <w:bottom w:val="single" w:sz="4" w:space="0" w:color="auto"/>
              <w:right w:val="single" w:sz="4" w:space="0" w:color="4F81BD"/>
            </w:tcBorders>
            <w:shd w:val="clear" w:color="auto" w:fill="auto"/>
            <w:noWrap/>
            <w:vAlign w:val="center"/>
          </w:tcPr>
          <w:p w:rsidR="00DD66E7" w:rsidRPr="008D6095" w:rsidRDefault="00DD66E7" w:rsidP="00DD66E7">
            <w:pPr>
              <w:jc w:val="center"/>
              <w:rPr>
                <w:color w:val="000000"/>
                <w:sz w:val="16"/>
                <w:szCs w:val="16"/>
                <w:lang w:val="sq-AL"/>
              </w:rPr>
            </w:pPr>
            <w:r w:rsidRPr="008D6095">
              <w:rPr>
                <w:color w:val="000000"/>
                <w:sz w:val="16"/>
                <w:szCs w:val="16"/>
                <w:lang w:val="sq-AL"/>
              </w:rPr>
              <w:t>24%</w:t>
            </w:r>
          </w:p>
        </w:tc>
        <w:tc>
          <w:tcPr>
            <w:tcW w:w="1054" w:type="dxa"/>
            <w:tcBorders>
              <w:top w:val="nil"/>
              <w:left w:val="single" w:sz="4" w:space="0" w:color="4F81BD"/>
              <w:bottom w:val="single" w:sz="4" w:space="0" w:color="auto"/>
              <w:right w:val="single" w:sz="4" w:space="0" w:color="4F81BD"/>
            </w:tcBorders>
            <w:shd w:val="clear" w:color="auto" w:fill="auto"/>
            <w:noWrap/>
            <w:vAlign w:val="center"/>
          </w:tcPr>
          <w:p w:rsidR="00DD66E7" w:rsidRPr="008D6095" w:rsidRDefault="00DD66E7" w:rsidP="00DD66E7">
            <w:pPr>
              <w:jc w:val="center"/>
              <w:rPr>
                <w:color w:val="000000"/>
                <w:sz w:val="16"/>
                <w:szCs w:val="16"/>
                <w:lang w:val="sq-AL"/>
              </w:rPr>
            </w:pPr>
            <w:r w:rsidRPr="008D6095">
              <w:rPr>
                <w:color w:val="000000"/>
                <w:sz w:val="16"/>
                <w:szCs w:val="16"/>
                <w:lang w:val="sq-AL"/>
              </w:rPr>
              <w:t>27%</w:t>
            </w:r>
          </w:p>
        </w:tc>
        <w:tc>
          <w:tcPr>
            <w:tcW w:w="1054" w:type="dxa"/>
            <w:tcBorders>
              <w:top w:val="nil"/>
              <w:left w:val="single" w:sz="4" w:space="0" w:color="4F81BD"/>
              <w:bottom w:val="single" w:sz="4" w:space="0" w:color="auto"/>
              <w:right w:val="single" w:sz="4" w:space="0" w:color="auto"/>
            </w:tcBorders>
            <w:shd w:val="clear" w:color="auto" w:fill="auto"/>
            <w:noWrap/>
            <w:vAlign w:val="center"/>
          </w:tcPr>
          <w:p w:rsidR="00DD66E7" w:rsidRPr="008D6095" w:rsidRDefault="00DD66E7" w:rsidP="00DD66E7">
            <w:pPr>
              <w:jc w:val="center"/>
              <w:rPr>
                <w:color w:val="000000"/>
                <w:sz w:val="16"/>
                <w:szCs w:val="16"/>
                <w:lang w:val="sq-AL"/>
              </w:rPr>
            </w:pPr>
            <w:r w:rsidRPr="008D6095">
              <w:rPr>
                <w:color w:val="000000"/>
                <w:sz w:val="16"/>
                <w:szCs w:val="16"/>
                <w:lang w:val="sq-AL"/>
              </w:rPr>
              <w:t>0%</w:t>
            </w:r>
          </w:p>
        </w:tc>
      </w:tr>
      <w:tr w:rsidR="00DD66E7" w:rsidRPr="008D6095" w:rsidTr="00DD66E7">
        <w:trPr>
          <w:trHeight w:val="276"/>
          <w:jc w:val="center"/>
        </w:trPr>
        <w:tc>
          <w:tcPr>
            <w:tcW w:w="3634" w:type="dxa"/>
            <w:tcBorders>
              <w:top w:val="nil"/>
              <w:left w:val="single" w:sz="4" w:space="0" w:color="auto"/>
              <w:bottom w:val="single" w:sz="4" w:space="0" w:color="auto"/>
              <w:right w:val="single" w:sz="4" w:space="0" w:color="4F81BD"/>
            </w:tcBorders>
            <w:shd w:val="clear" w:color="000000" w:fill="DAEEF3"/>
            <w:noWrap/>
            <w:vAlign w:val="center"/>
            <w:hideMark/>
          </w:tcPr>
          <w:p w:rsidR="00DD66E7" w:rsidRPr="008D6095" w:rsidRDefault="00DD66E7" w:rsidP="00DD66E7">
            <w:pPr>
              <w:rPr>
                <w:b/>
                <w:bCs/>
                <w:color w:val="000000"/>
                <w:sz w:val="16"/>
                <w:szCs w:val="16"/>
                <w:lang w:val="sq-AL"/>
              </w:rPr>
            </w:pPr>
            <w:r w:rsidRPr="008D6095">
              <w:rPr>
                <w:b/>
                <w:bCs/>
                <w:color w:val="000000"/>
                <w:sz w:val="16"/>
                <w:szCs w:val="16"/>
                <w:lang w:val="sq-AL"/>
              </w:rPr>
              <w:t xml:space="preserve"> Fondi i Zhvillimit Shqipetar                                                                     </w:t>
            </w:r>
          </w:p>
        </w:tc>
        <w:tc>
          <w:tcPr>
            <w:tcW w:w="1267" w:type="dxa"/>
            <w:tcBorders>
              <w:top w:val="nil"/>
              <w:left w:val="single" w:sz="4" w:space="0" w:color="4F81BD"/>
              <w:bottom w:val="single" w:sz="4" w:space="0" w:color="auto"/>
              <w:right w:val="single" w:sz="4" w:space="0" w:color="4F81BD"/>
            </w:tcBorders>
            <w:shd w:val="clear" w:color="000000" w:fill="DAEEF3"/>
            <w:noWrap/>
            <w:vAlign w:val="center"/>
          </w:tcPr>
          <w:p w:rsidR="00DD66E7" w:rsidRPr="008D6095" w:rsidRDefault="00DD66E7" w:rsidP="00DD66E7">
            <w:pPr>
              <w:jc w:val="right"/>
              <w:rPr>
                <w:color w:val="000000"/>
                <w:sz w:val="16"/>
                <w:szCs w:val="16"/>
                <w:lang w:val="sq-AL"/>
              </w:rPr>
            </w:pPr>
            <w:r w:rsidRPr="008D6095">
              <w:rPr>
                <w:color w:val="000000"/>
                <w:sz w:val="16"/>
                <w:szCs w:val="16"/>
                <w:lang w:val="sq-AL"/>
              </w:rPr>
              <w:t>14,898,000</w:t>
            </w:r>
          </w:p>
        </w:tc>
        <w:tc>
          <w:tcPr>
            <w:tcW w:w="1267" w:type="dxa"/>
            <w:tcBorders>
              <w:top w:val="nil"/>
              <w:left w:val="single" w:sz="4" w:space="0" w:color="4F81BD"/>
              <w:bottom w:val="single" w:sz="4" w:space="0" w:color="auto"/>
              <w:right w:val="single" w:sz="4" w:space="0" w:color="4F81BD"/>
            </w:tcBorders>
            <w:shd w:val="clear" w:color="000000" w:fill="DAEEF3"/>
            <w:noWrap/>
            <w:vAlign w:val="center"/>
          </w:tcPr>
          <w:p w:rsidR="00DD66E7" w:rsidRPr="008D6095" w:rsidRDefault="00DD66E7" w:rsidP="00DD66E7">
            <w:pPr>
              <w:jc w:val="right"/>
              <w:rPr>
                <w:color w:val="000000"/>
                <w:sz w:val="16"/>
                <w:szCs w:val="16"/>
                <w:lang w:val="sq-AL"/>
              </w:rPr>
            </w:pPr>
            <w:r w:rsidRPr="008D6095">
              <w:rPr>
                <w:color w:val="000000"/>
                <w:sz w:val="16"/>
                <w:szCs w:val="16"/>
                <w:lang w:val="sq-AL"/>
              </w:rPr>
              <w:t>22,513,503</w:t>
            </w:r>
          </w:p>
        </w:tc>
        <w:tc>
          <w:tcPr>
            <w:tcW w:w="1267" w:type="dxa"/>
            <w:tcBorders>
              <w:top w:val="nil"/>
              <w:left w:val="single" w:sz="4" w:space="0" w:color="4F81BD"/>
              <w:bottom w:val="single" w:sz="4" w:space="0" w:color="auto"/>
              <w:right w:val="single" w:sz="4" w:space="0" w:color="4F81BD"/>
            </w:tcBorders>
            <w:shd w:val="clear" w:color="000000" w:fill="DAEEF3"/>
            <w:noWrap/>
            <w:vAlign w:val="center"/>
          </w:tcPr>
          <w:p w:rsidR="00DD66E7" w:rsidRPr="008D6095" w:rsidRDefault="00DD66E7" w:rsidP="00DD66E7">
            <w:pPr>
              <w:jc w:val="right"/>
              <w:rPr>
                <w:color w:val="000000"/>
                <w:sz w:val="16"/>
                <w:szCs w:val="16"/>
                <w:lang w:val="sq-AL"/>
              </w:rPr>
            </w:pPr>
            <w:r w:rsidRPr="008D6095">
              <w:rPr>
                <w:color w:val="000000"/>
                <w:sz w:val="16"/>
                <w:szCs w:val="16"/>
                <w:lang w:val="sq-AL"/>
              </w:rPr>
              <w:t>2,336,565</w:t>
            </w:r>
          </w:p>
        </w:tc>
        <w:tc>
          <w:tcPr>
            <w:tcW w:w="1187" w:type="dxa"/>
            <w:tcBorders>
              <w:top w:val="nil"/>
              <w:left w:val="single" w:sz="4" w:space="0" w:color="4F81BD"/>
              <w:bottom w:val="single" w:sz="4" w:space="0" w:color="auto"/>
              <w:right w:val="single" w:sz="4" w:space="0" w:color="4F81BD"/>
            </w:tcBorders>
            <w:shd w:val="clear" w:color="000000" w:fill="DAEEF3"/>
            <w:noWrap/>
            <w:vAlign w:val="center"/>
          </w:tcPr>
          <w:p w:rsidR="00DD66E7" w:rsidRPr="008D6095" w:rsidRDefault="00DD66E7" w:rsidP="00DD66E7">
            <w:pPr>
              <w:jc w:val="center"/>
              <w:rPr>
                <w:color w:val="000000"/>
                <w:sz w:val="16"/>
                <w:szCs w:val="16"/>
                <w:lang w:val="sq-AL"/>
              </w:rPr>
            </w:pPr>
            <w:r w:rsidRPr="008D6095">
              <w:rPr>
                <w:color w:val="000000"/>
                <w:sz w:val="16"/>
                <w:szCs w:val="16"/>
                <w:lang w:val="sq-AL"/>
              </w:rPr>
              <w:t>10%</w:t>
            </w:r>
          </w:p>
        </w:tc>
        <w:tc>
          <w:tcPr>
            <w:tcW w:w="1054" w:type="dxa"/>
            <w:tcBorders>
              <w:top w:val="nil"/>
              <w:left w:val="single" w:sz="4" w:space="0" w:color="4F81BD"/>
              <w:bottom w:val="single" w:sz="4" w:space="0" w:color="auto"/>
              <w:right w:val="single" w:sz="4" w:space="0" w:color="4F81BD"/>
            </w:tcBorders>
            <w:shd w:val="clear" w:color="000000" w:fill="DAEEF3"/>
            <w:noWrap/>
            <w:vAlign w:val="center"/>
          </w:tcPr>
          <w:p w:rsidR="00DD66E7" w:rsidRPr="008D6095" w:rsidRDefault="00DD66E7" w:rsidP="00DD66E7">
            <w:pPr>
              <w:jc w:val="center"/>
              <w:rPr>
                <w:color w:val="000000"/>
                <w:sz w:val="16"/>
                <w:szCs w:val="16"/>
                <w:lang w:val="sq-AL"/>
              </w:rPr>
            </w:pPr>
            <w:r w:rsidRPr="008D6095">
              <w:rPr>
                <w:color w:val="000000"/>
                <w:sz w:val="16"/>
                <w:szCs w:val="16"/>
                <w:lang w:val="sq-AL"/>
              </w:rPr>
              <w:t>-</w:t>
            </w:r>
          </w:p>
        </w:tc>
        <w:tc>
          <w:tcPr>
            <w:tcW w:w="1054" w:type="dxa"/>
            <w:tcBorders>
              <w:top w:val="nil"/>
              <w:left w:val="single" w:sz="4" w:space="0" w:color="4F81BD"/>
              <w:bottom w:val="single" w:sz="4" w:space="0" w:color="auto"/>
              <w:right w:val="single" w:sz="4" w:space="0" w:color="auto"/>
            </w:tcBorders>
            <w:shd w:val="clear" w:color="000000" w:fill="DAEEF3"/>
            <w:noWrap/>
            <w:vAlign w:val="center"/>
          </w:tcPr>
          <w:p w:rsidR="00DD66E7" w:rsidRPr="008D6095" w:rsidRDefault="00DD66E7" w:rsidP="00DD66E7">
            <w:pPr>
              <w:jc w:val="center"/>
              <w:rPr>
                <w:color w:val="000000"/>
                <w:sz w:val="16"/>
                <w:szCs w:val="16"/>
                <w:lang w:val="sq-AL"/>
              </w:rPr>
            </w:pPr>
            <w:r w:rsidRPr="008D6095">
              <w:rPr>
                <w:color w:val="000000"/>
                <w:sz w:val="16"/>
                <w:szCs w:val="16"/>
                <w:lang w:val="sq-AL"/>
              </w:rPr>
              <w:t>10%</w:t>
            </w:r>
          </w:p>
        </w:tc>
      </w:tr>
      <w:tr w:rsidR="00DD66E7" w:rsidRPr="008D6095" w:rsidTr="00DD66E7">
        <w:trPr>
          <w:trHeight w:val="276"/>
          <w:jc w:val="center"/>
        </w:trPr>
        <w:tc>
          <w:tcPr>
            <w:tcW w:w="3634" w:type="dxa"/>
            <w:tcBorders>
              <w:top w:val="nil"/>
              <w:left w:val="single" w:sz="4" w:space="0" w:color="auto"/>
              <w:bottom w:val="single" w:sz="4" w:space="0" w:color="auto"/>
              <w:right w:val="single" w:sz="4" w:space="0" w:color="4F81BD"/>
            </w:tcBorders>
            <w:shd w:val="clear" w:color="auto" w:fill="auto"/>
            <w:noWrap/>
            <w:vAlign w:val="center"/>
            <w:hideMark/>
          </w:tcPr>
          <w:p w:rsidR="00DD66E7" w:rsidRPr="008D6095" w:rsidRDefault="00DD66E7" w:rsidP="00DD66E7">
            <w:pPr>
              <w:rPr>
                <w:b/>
                <w:bCs/>
                <w:color w:val="000000"/>
                <w:sz w:val="16"/>
                <w:szCs w:val="16"/>
                <w:lang w:val="sq-AL"/>
              </w:rPr>
            </w:pPr>
            <w:r w:rsidRPr="008D6095">
              <w:rPr>
                <w:b/>
                <w:bCs/>
                <w:color w:val="000000"/>
                <w:sz w:val="16"/>
                <w:szCs w:val="16"/>
                <w:lang w:val="sq-AL"/>
              </w:rPr>
              <w:t>Institucionet e sistemit te drejtesise</w:t>
            </w:r>
          </w:p>
        </w:tc>
        <w:tc>
          <w:tcPr>
            <w:tcW w:w="1267" w:type="dxa"/>
            <w:tcBorders>
              <w:top w:val="nil"/>
              <w:left w:val="single" w:sz="4" w:space="0" w:color="4F81BD"/>
              <w:bottom w:val="single" w:sz="4" w:space="0" w:color="auto"/>
              <w:right w:val="single" w:sz="4" w:space="0" w:color="4F81BD"/>
            </w:tcBorders>
            <w:shd w:val="clear" w:color="auto" w:fill="auto"/>
            <w:noWrap/>
            <w:vAlign w:val="center"/>
          </w:tcPr>
          <w:p w:rsidR="00DD66E7" w:rsidRPr="008D6095" w:rsidRDefault="00DD66E7" w:rsidP="00DD66E7">
            <w:pPr>
              <w:jc w:val="right"/>
              <w:rPr>
                <w:color w:val="000000"/>
                <w:sz w:val="16"/>
                <w:szCs w:val="16"/>
                <w:lang w:val="sq-AL"/>
              </w:rPr>
            </w:pPr>
            <w:r w:rsidRPr="008D6095">
              <w:rPr>
                <w:color w:val="000000"/>
                <w:sz w:val="16"/>
                <w:szCs w:val="16"/>
                <w:lang w:val="sq-AL"/>
              </w:rPr>
              <w:t>484,600</w:t>
            </w:r>
          </w:p>
        </w:tc>
        <w:tc>
          <w:tcPr>
            <w:tcW w:w="1267" w:type="dxa"/>
            <w:tcBorders>
              <w:top w:val="nil"/>
              <w:left w:val="single" w:sz="4" w:space="0" w:color="4F81BD"/>
              <w:bottom w:val="single" w:sz="4" w:space="0" w:color="auto"/>
              <w:right w:val="single" w:sz="4" w:space="0" w:color="4F81BD"/>
            </w:tcBorders>
            <w:shd w:val="clear" w:color="auto" w:fill="auto"/>
            <w:noWrap/>
            <w:vAlign w:val="center"/>
          </w:tcPr>
          <w:p w:rsidR="00DD66E7" w:rsidRPr="008D6095" w:rsidRDefault="00DD66E7" w:rsidP="00DD66E7">
            <w:pPr>
              <w:jc w:val="right"/>
              <w:rPr>
                <w:color w:val="000000"/>
                <w:sz w:val="16"/>
                <w:szCs w:val="16"/>
                <w:lang w:val="sq-AL"/>
              </w:rPr>
            </w:pPr>
            <w:r w:rsidRPr="008D6095">
              <w:rPr>
                <w:color w:val="000000"/>
                <w:sz w:val="16"/>
                <w:szCs w:val="16"/>
                <w:lang w:val="sq-AL"/>
              </w:rPr>
              <w:t>470,900</w:t>
            </w:r>
          </w:p>
        </w:tc>
        <w:tc>
          <w:tcPr>
            <w:tcW w:w="1267" w:type="dxa"/>
            <w:tcBorders>
              <w:top w:val="nil"/>
              <w:left w:val="single" w:sz="4" w:space="0" w:color="4F81BD"/>
              <w:bottom w:val="single" w:sz="4" w:space="0" w:color="auto"/>
              <w:right w:val="single" w:sz="4" w:space="0" w:color="4F81BD"/>
            </w:tcBorders>
            <w:shd w:val="clear" w:color="auto" w:fill="auto"/>
            <w:noWrap/>
            <w:vAlign w:val="center"/>
          </w:tcPr>
          <w:p w:rsidR="00DD66E7" w:rsidRPr="008D6095" w:rsidRDefault="00DD66E7" w:rsidP="00DD66E7">
            <w:pPr>
              <w:jc w:val="right"/>
              <w:rPr>
                <w:color w:val="000000"/>
                <w:sz w:val="16"/>
                <w:szCs w:val="16"/>
                <w:lang w:val="sq-AL"/>
              </w:rPr>
            </w:pPr>
            <w:r w:rsidRPr="008D6095">
              <w:rPr>
                <w:color w:val="000000"/>
                <w:sz w:val="16"/>
                <w:szCs w:val="16"/>
                <w:lang w:val="sq-AL"/>
              </w:rPr>
              <w:t>152,181</w:t>
            </w:r>
          </w:p>
        </w:tc>
        <w:tc>
          <w:tcPr>
            <w:tcW w:w="1187" w:type="dxa"/>
            <w:tcBorders>
              <w:top w:val="nil"/>
              <w:left w:val="single" w:sz="4" w:space="0" w:color="4F81BD"/>
              <w:bottom w:val="single" w:sz="4" w:space="0" w:color="auto"/>
              <w:right w:val="single" w:sz="4" w:space="0" w:color="4F81BD"/>
            </w:tcBorders>
            <w:shd w:val="clear" w:color="auto" w:fill="auto"/>
            <w:noWrap/>
            <w:vAlign w:val="center"/>
          </w:tcPr>
          <w:p w:rsidR="00DD66E7" w:rsidRPr="008D6095" w:rsidRDefault="00DD66E7" w:rsidP="00DD66E7">
            <w:pPr>
              <w:jc w:val="center"/>
              <w:rPr>
                <w:color w:val="000000"/>
                <w:sz w:val="16"/>
                <w:szCs w:val="16"/>
                <w:lang w:val="sq-AL"/>
              </w:rPr>
            </w:pPr>
            <w:r w:rsidRPr="008D6095">
              <w:rPr>
                <w:color w:val="000000"/>
                <w:sz w:val="16"/>
                <w:szCs w:val="16"/>
                <w:lang w:val="sq-AL"/>
              </w:rPr>
              <w:t>32%</w:t>
            </w:r>
          </w:p>
        </w:tc>
        <w:tc>
          <w:tcPr>
            <w:tcW w:w="1054" w:type="dxa"/>
            <w:tcBorders>
              <w:top w:val="nil"/>
              <w:left w:val="single" w:sz="4" w:space="0" w:color="4F81BD"/>
              <w:bottom w:val="single" w:sz="4" w:space="0" w:color="auto"/>
              <w:right w:val="single" w:sz="4" w:space="0" w:color="4F81BD"/>
            </w:tcBorders>
            <w:shd w:val="clear" w:color="auto" w:fill="auto"/>
            <w:noWrap/>
            <w:vAlign w:val="center"/>
          </w:tcPr>
          <w:p w:rsidR="00DD66E7" w:rsidRPr="008D6095" w:rsidRDefault="00DD66E7" w:rsidP="00DD66E7">
            <w:pPr>
              <w:jc w:val="center"/>
              <w:rPr>
                <w:color w:val="000000"/>
                <w:sz w:val="16"/>
                <w:szCs w:val="16"/>
                <w:lang w:val="sq-AL"/>
              </w:rPr>
            </w:pPr>
            <w:r w:rsidRPr="008D6095">
              <w:rPr>
                <w:color w:val="000000"/>
                <w:sz w:val="16"/>
                <w:szCs w:val="16"/>
                <w:lang w:val="sq-AL"/>
              </w:rPr>
              <w:t>33%</w:t>
            </w:r>
          </w:p>
        </w:tc>
        <w:tc>
          <w:tcPr>
            <w:tcW w:w="1054" w:type="dxa"/>
            <w:tcBorders>
              <w:top w:val="nil"/>
              <w:left w:val="single" w:sz="4" w:space="0" w:color="4F81BD"/>
              <w:bottom w:val="single" w:sz="4" w:space="0" w:color="auto"/>
              <w:right w:val="single" w:sz="4" w:space="0" w:color="auto"/>
            </w:tcBorders>
            <w:shd w:val="clear" w:color="auto" w:fill="auto"/>
            <w:noWrap/>
            <w:vAlign w:val="center"/>
          </w:tcPr>
          <w:p w:rsidR="00DD66E7" w:rsidRPr="008D6095" w:rsidRDefault="00DD66E7" w:rsidP="00DD66E7">
            <w:pPr>
              <w:jc w:val="center"/>
              <w:rPr>
                <w:color w:val="000000"/>
                <w:sz w:val="16"/>
                <w:szCs w:val="16"/>
                <w:lang w:val="sq-AL"/>
              </w:rPr>
            </w:pPr>
            <w:r w:rsidRPr="008D6095">
              <w:rPr>
                <w:color w:val="000000"/>
                <w:sz w:val="16"/>
                <w:szCs w:val="16"/>
                <w:lang w:val="sq-AL"/>
              </w:rPr>
              <w:t>1%</w:t>
            </w:r>
          </w:p>
        </w:tc>
      </w:tr>
      <w:tr w:rsidR="00DD66E7" w:rsidRPr="008D6095" w:rsidTr="00DD66E7">
        <w:trPr>
          <w:trHeight w:val="276"/>
          <w:jc w:val="center"/>
        </w:trPr>
        <w:tc>
          <w:tcPr>
            <w:tcW w:w="3634" w:type="dxa"/>
            <w:tcBorders>
              <w:top w:val="nil"/>
              <w:left w:val="single" w:sz="4" w:space="0" w:color="auto"/>
              <w:bottom w:val="single" w:sz="4" w:space="0" w:color="auto"/>
              <w:right w:val="single" w:sz="4" w:space="0" w:color="4F81BD"/>
            </w:tcBorders>
            <w:shd w:val="clear" w:color="000000" w:fill="DAEEF3"/>
            <w:noWrap/>
            <w:vAlign w:val="center"/>
            <w:hideMark/>
          </w:tcPr>
          <w:p w:rsidR="00DD66E7" w:rsidRPr="008D6095" w:rsidRDefault="00DD66E7" w:rsidP="00DD66E7">
            <w:pPr>
              <w:rPr>
                <w:b/>
                <w:bCs/>
                <w:color w:val="000000"/>
                <w:sz w:val="16"/>
                <w:szCs w:val="16"/>
                <w:lang w:val="sq-AL"/>
              </w:rPr>
            </w:pPr>
            <w:r w:rsidRPr="008D6095">
              <w:rPr>
                <w:b/>
                <w:bCs/>
                <w:color w:val="000000"/>
                <w:sz w:val="16"/>
                <w:szCs w:val="16"/>
                <w:lang w:val="sq-AL"/>
              </w:rPr>
              <w:t xml:space="preserve"> Institucione te tjera Qeveritare                                                                 </w:t>
            </w:r>
          </w:p>
        </w:tc>
        <w:tc>
          <w:tcPr>
            <w:tcW w:w="1267" w:type="dxa"/>
            <w:tcBorders>
              <w:top w:val="nil"/>
              <w:left w:val="single" w:sz="4" w:space="0" w:color="4F81BD"/>
              <w:bottom w:val="single" w:sz="4" w:space="0" w:color="auto"/>
              <w:right w:val="single" w:sz="4" w:space="0" w:color="4F81BD"/>
            </w:tcBorders>
            <w:shd w:val="clear" w:color="000000" w:fill="DAEEF3"/>
            <w:noWrap/>
            <w:vAlign w:val="center"/>
          </w:tcPr>
          <w:p w:rsidR="00DD66E7" w:rsidRPr="008D6095" w:rsidRDefault="00DD66E7" w:rsidP="00DD66E7">
            <w:pPr>
              <w:jc w:val="right"/>
              <w:rPr>
                <w:color w:val="000000"/>
                <w:sz w:val="16"/>
                <w:szCs w:val="16"/>
                <w:lang w:val="sq-AL"/>
              </w:rPr>
            </w:pPr>
            <w:r w:rsidRPr="008D6095">
              <w:rPr>
                <w:color w:val="000000"/>
                <w:sz w:val="16"/>
                <w:szCs w:val="16"/>
                <w:lang w:val="sq-AL"/>
              </w:rPr>
              <w:t>6,519,020</w:t>
            </w:r>
          </w:p>
        </w:tc>
        <w:tc>
          <w:tcPr>
            <w:tcW w:w="1267" w:type="dxa"/>
            <w:tcBorders>
              <w:top w:val="nil"/>
              <w:left w:val="single" w:sz="4" w:space="0" w:color="4F81BD"/>
              <w:bottom w:val="single" w:sz="4" w:space="0" w:color="auto"/>
              <w:right w:val="single" w:sz="4" w:space="0" w:color="4F81BD"/>
            </w:tcBorders>
            <w:shd w:val="clear" w:color="000000" w:fill="DAEEF3"/>
            <w:noWrap/>
            <w:vAlign w:val="center"/>
          </w:tcPr>
          <w:p w:rsidR="00DD66E7" w:rsidRPr="008D6095" w:rsidRDefault="00DD66E7" w:rsidP="00DD66E7">
            <w:pPr>
              <w:jc w:val="right"/>
              <w:rPr>
                <w:color w:val="000000"/>
                <w:sz w:val="16"/>
                <w:szCs w:val="16"/>
                <w:lang w:val="sq-AL"/>
              </w:rPr>
            </w:pPr>
            <w:r w:rsidRPr="008D6095">
              <w:rPr>
                <w:color w:val="000000"/>
                <w:sz w:val="16"/>
                <w:szCs w:val="16"/>
                <w:lang w:val="sq-AL"/>
              </w:rPr>
              <w:t>6,997,380</w:t>
            </w:r>
          </w:p>
        </w:tc>
        <w:tc>
          <w:tcPr>
            <w:tcW w:w="1267" w:type="dxa"/>
            <w:tcBorders>
              <w:top w:val="nil"/>
              <w:left w:val="single" w:sz="4" w:space="0" w:color="4F81BD"/>
              <w:bottom w:val="single" w:sz="4" w:space="0" w:color="auto"/>
              <w:right w:val="single" w:sz="4" w:space="0" w:color="4F81BD"/>
            </w:tcBorders>
            <w:shd w:val="clear" w:color="000000" w:fill="DAEEF3"/>
            <w:noWrap/>
            <w:vAlign w:val="center"/>
          </w:tcPr>
          <w:p w:rsidR="00DD66E7" w:rsidRPr="008D6095" w:rsidRDefault="00DD66E7" w:rsidP="00DD66E7">
            <w:pPr>
              <w:jc w:val="right"/>
              <w:rPr>
                <w:color w:val="000000"/>
                <w:sz w:val="16"/>
                <w:szCs w:val="16"/>
                <w:lang w:val="sq-AL"/>
              </w:rPr>
            </w:pPr>
            <w:r w:rsidRPr="008D6095">
              <w:rPr>
                <w:color w:val="000000"/>
                <w:sz w:val="16"/>
                <w:szCs w:val="16"/>
                <w:lang w:val="sq-AL"/>
              </w:rPr>
              <w:t>3,482,346</w:t>
            </w:r>
          </w:p>
        </w:tc>
        <w:tc>
          <w:tcPr>
            <w:tcW w:w="1187" w:type="dxa"/>
            <w:tcBorders>
              <w:top w:val="nil"/>
              <w:left w:val="single" w:sz="4" w:space="0" w:color="4F81BD"/>
              <w:bottom w:val="single" w:sz="4" w:space="0" w:color="auto"/>
              <w:right w:val="single" w:sz="4" w:space="0" w:color="4F81BD"/>
            </w:tcBorders>
            <w:shd w:val="clear" w:color="000000" w:fill="DAEEF3"/>
            <w:noWrap/>
            <w:vAlign w:val="center"/>
          </w:tcPr>
          <w:p w:rsidR="00DD66E7" w:rsidRPr="008D6095" w:rsidRDefault="00DD66E7" w:rsidP="00DD66E7">
            <w:pPr>
              <w:jc w:val="center"/>
              <w:rPr>
                <w:color w:val="000000"/>
                <w:sz w:val="16"/>
                <w:szCs w:val="16"/>
                <w:lang w:val="sq-AL"/>
              </w:rPr>
            </w:pPr>
            <w:r w:rsidRPr="008D6095">
              <w:rPr>
                <w:color w:val="000000"/>
                <w:sz w:val="16"/>
                <w:szCs w:val="16"/>
                <w:lang w:val="sq-AL"/>
              </w:rPr>
              <w:t>50%</w:t>
            </w:r>
          </w:p>
        </w:tc>
        <w:tc>
          <w:tcPr>
            <w:tcW w:w="1054" w:type="dxa"/>
            <w:tcBorders>
              <w:top w:val="nil"/>
              <w:left w:val="single" w:sz="4" w:space="0" w:color="4F81BD"/>
              <w:bottom w:val="single" w:sz="4" w:space="0" w:color="auto"/>
              <w:right w:val="single" w:sz="4" w:space="0" w:color="4F81BD"/>
            </w:tcBorders>
            <w:shd w:val="clear" w:color="000000" w:fill="DAEEF3"/>
            <w:noWrap/>
            <w:vAlign w:val="center"/>
          </w:tcPr>
          <w:p w:rsidR="00DD66E7" w:rsidRPr="008D6095" w:rsidRDefault="00DD66E7" w:rsidP="00DD66E7">
            <w:pPr>
              <w:jc w:val="center"/>
              <w:rPr>
                <w:color w:val="000000"/>
                <w:sz w:val="16"/>
                <w:szCs w:val="16"/>
                <w:lang w:val="sq-AL"/>
              </w:rPr>
            </w:pPr>
            <w:r w:rsidRPr="008D6095">
              <w:rPr>
                <w:color w:val="000000"/>
                <w:sz w:val="16"/>
                <w:szCs w:val="16"/>
                <w:lang w:val="sq-AL"/>
              </w:rPr>
              <w:t>43%</w:t>
            </w:r>
          </w:p>
        </w:tc>
        <w:tc>
          <w:tcPr>
            <w:tcW w:w="1054" w:type="dxa"/>
            <w:tcBorders>
              <w:top w:val="nil"/>
              <w:left w:val="single" w:sz="4" w:space="0" w:color="4F81BD"/>
              <w:bottom w:val="single" w:sz="4" w:space="0" w:color="auto"/>
              <w:right w:val="single" w:sz="4" w:space="0" w:color="auto"/>
            </w:tcBorders>
            <w:shd w:val="clear" w:color="000000" w:fill="DAEEF3"/>
            <w:noWrap/>
            <w:vAlign w:val="center"/>
          </w:tcPr>
          <w:p w:rsidR="00DD66E7" w:rsidRPr="008D6095" w:rsidRDefault="00DD66E7" w:rsidP="004872EF">
            <w:pPr>
              <w:keepNext/>
              <w:jc w:val="center"/>
              <w:rPr>
                <w:color w:val="000000"/>
                <w:sz w:val="16"/>
                <w:szCs w:val="16"/>
                <w:lang w:val="sq-AL"/>
              </w:rPr>
            </w:pPr>
            <w:r w:rsidRPr="008D6095">
              <w:rPr>
                <w:color w:val="000000"/>
                <w:sz w:val="16"/>
                <w:szCs w:val="16"/>
                <w:lang w:val="sq-AL"/>
              </w:rPr>
              <w:t>64%</w:t>
            </w:r>
          </w:p>
        </w:tc>
      </w:tr>
    </w:tbl>
    <w:p w:rsidR="00AD66E2" w:rsidRDefault="00AD66E2" w:rsidP="00527686">
      <w:pPr>
        <w:spacing w:line="276" w:lineRule="auto"/>
        <w:rPr>
          <w:rFonts w:ascii="Calibri" w:eastAsia="MS Mincho" w:hAnsi="Calibri"/>
          <w:lang w:val="sq-AL"/>
        </w:rPr>
      </w:pPr>
    </w:p>
    <w:p w:rsidR="004872EF" w:rsidRDefault="004872EF" w:rsidP="00527686">
      <w:pPr>
        <w:spacing w:line="276" w:lineRule="auto"/>
        <w:rPr>
          <w:rFonts w:ascii="Calibri" w:eastAsia="MS Mincho" w:hAnsi="Calibri"/>
          <w:lang w:val="sq-AL"/>
        </w:rPr>
      </w:pPr>
    </w:p>
    <w:p w:rsidR="004872EF" w:rsidRDefault="004872EF" w:rsidP="00527686">
      <w:pPr>
        <w:spacing w:line="276" w:lineRule="auto"/>
        <w:rPr>
          <w:rFonts w:ascii="Calibri" w:eastAsia="MS Mincho" w:hAnsi="Calibri"/>
          <w:lang w:val="sq-AL"/>
        </w:rPr>
      </w:pPr>
    </w:p>
    <w:bookmarkEnd w:id="151"/>
    <w:bookmarkEnd w:id="154"/>
    <w:p w:rsidR="006308E8" w:rsidRPr="00BB7F2F" w:rsidRDefault="006308E8" w:rsidP="006308E8">
      <w:pPr>
        <w:spacing w:before="120" w:after="120" w:line="276" w:lineRule="auto"/>
        <w:jc w:val="both"/>
        <w:rPr>
          <w:rFonts w:asciiTheme="minorHAnsi" w:hAnsiTheme="minorHAnsi"/>
          <w:b/>
          <w:noProof/>
          <w:color w:val="0070C0"/>
          <w:lang w:val="sq-AL"/>
        </w:rPr>
      </w:pPr>
      <w:r w:rsidRPr="00BB7F2F">
        <w:rPr>
          <w:rFonts w:asciiTheme="minorHAnsi" w:hAnsiTheme="minorHAnsi"/>
          <w:b/>
          <w:noProof/>
          <w:color w:val="0070C0"/>
          <w:lang w:val="sq-AL"/>
        </w:rPr>
        <w:lastRenderedPageBreak/>
        <w:t>SHËNDETËSIA DHE MBROJTJA SOCIALE</w:t>
      </w:r>
    </w:p>
    <w:p w:rsidR="006308E8" w:rsidRDefault="006308E8" w:rsidP="00E923F7">
      <w:pPr>
        <w:keepNext/>
        <w:spacing w:line="276" w:lineRule="auto"/>
        <w:rPr>
          <w:rFonts w:asciiTheme="minorHAnsi" w:eastAsia="MS Mincho" w:hAnsiTheme="minorHAnsi"/>
          <w:color w:val="000000"/>
          <w:lang w:val="sq-AL"/>
        </w:rPr>
      </w:pPr>
      <w:r w:rsidRPr="00BB7F2F">
        <w:rPr>
          <w:rFonts w:asciiTheme="minorHAnsi" w:eastAsia="MS Mincho" w:hAnsiTheme="minorHAnsi"/>
          <w:color w:val="000000"/>
          <w:lang w:val="sq-AL"/>
        </w:rPr>
        <w:t>Në përputhje me drejtimet kryesore të politikës së përgjithshme shtetërore, me fondet buxhetore të miratuara për vitin 2020, performanca e treguesve buxhetorë për këto katër programe kryesore në Ministrinë e Shëndetësisë dhe Mbrojtjes Sociale, paraqitet si më poshtë:</w:t>
      </w:r>
    </w:p>
    <w:p w:rsidR="002E66C3" w:rsidRDefault="002E66C3" w:rsidP="002E66C3">
      <w:pPr>
        <w:pStyle w:val="Caption"/>
        <w:spacing w:after="0"/>
        <w:rPr>
          <w:rFonts w:asciiTheme="minorHAnsi" w:hAnsiTheme="minorHAnsi"/>
          <w:b w:val="0"/>
          <w:bCs w:val="0"/>
          <w:i/>
          <w:noProof/>
          <w:color w:val="auto"/>
          <w:sz w:val="24"/>
          <w:szCs w:val="24"/>
        </w:rPr>
      </w:pPr>
    </w:p>
    <w:p w:rsidR="002E66C3" w:rsidRPr="002E66C3" w:rsidRDefault="002E66C3" w:rsidP="002E66C3">
      <w:pPr>
        <w:pStyle w:val="Caption"/>
        <w:spacing w:after="0"/>
        <w:rPr>
          <w:rFonts w:asciiTheme="minorHAnsi" w:hAnsiTheme="minorHAnsi"/>
          <w:b w:val="0"/>
          <w:bCs w:val="0"/>
          <w:i/>
          <w:noProof/>
          <w:color w:val="auto"/>
          <w:sz w:val="24"/>
          <w:szCs w:val="24"/>
        </w:rPr>
      </w:pPr>
      <w:bookmarkStart w:id="155" w:name="_Toc44404429"/>
      <w:r w:rsidRPr="002E66C3">
        <w:rPr>
          <w:rFonts w:asciiTheme="minorHAnsi" w:hAnsiTheme="minorHAnsi"/>
          <w:b w:val="0"/>
          <w:bCs w:val="0"/>
          <w:i/>
          <w:noProof/>
          <w:color w:val="auto"/>
          <w:sz w:val="24"/>
          <w:szCs w:val="24"/>
        </w:rPr>
        <w:t xml:space="preserve">Tabela </w:t>
      </w:r>
      <w:r w:rsidRPr="002E66C3">
        <w:rPr>
          <w:rFonts w:asciiTheme="minorHAnsi" w:hAnsiTheme="minorHAnsi"/>
          <w:b w:val="0"/>
          <w:bCs w:val="0"/>
          <w:i/>
          <w:noProof/>
          <w:color w:val="auto"/>
          <w:sz w:val="24"/>
          <w:szCs w:val="24"/>
        </w:rPr>
        <w:fldChar w:fldCharType="begin"/>
      </w:r>
      <w:r w:rsidRPr="002E66C3">
        <w:rPr>
          <w:rFonts w:asciiTheme="minorHAnsi" w:hAnsiTheme="minorHAnsi"/>
          <w:b w:val="0"/>
          <w:bCs w:val="0"/>
          <w:i/>
          <w:noProof/>
          <w:color w:val="auto"/>
          <w:sz w:val="24"/>
          <w:szCs w:val="24"/>
        </w:rPr>
        <w:instrText xml:space="preserve"> SEQ Tabela \* ARABIC </w:instrText>
      </w:r>
      <w:r w:rsidRPr="002E66C3">
        <w:rPr>
          <w:rFonts w:asciiTheme="minorHAnsi" w:hAnsiTheme="minorHAnsi"/>
          <w:b w:val="0"/>
          <w:bCs w:val="0"/>
          <w:i/>
          <w:noProof/>
          <w:color w:val="auto"/>
          <w:sz w:val="24"/>
          <w:szCs w:val="24"/>
        </w:rPr>
        <w:fldChar w:fldCharType="separate"/>
      </w:r>
      <w:r w:rsidR="00C342E2">
        <w:rPr>
          <w:rFonts w:asciiTheme="minorHAnsi" w:hAnsiTheme="minorHAnsi"/>
          <w:b w:val="0"/>
          <w:bCs w:val="0"/>
          <w:i/>
          <w:noProof/>
          <w:color w:val="auto"/>
          <w:sz w:val="24"/>
          <w:szCs w:val="24"/>
        </w:rPr>
        <w:t>28</w:t>
      </w:r>
      <w:r w:rsidRPr="002E66C3">
        <w:rPr>
          <w:rFonts w:asciiTheme="minorHAnsi" w:hAnsiTheme="minorHAnsi"/>
          <w:b w:val="0"/>
          <w:bCs w:val="0"/>
          <w:i/>
          <w:noProof/>
          <w:color w:val="auto"/>
          <w:sz w:val="24"/>
          <w:szCs w:val="24"/>
        </w:rPr>
        <w:fldChar w:fldCharType="end"/>
      </w:r>
      <w:r>
        <w:rPr>
          <w:rFonts w:asciiTheme="minorHAnsi" w:hAnsiTheme="minorHAnsi"/>
          <w:b w:val="0"/>
          <w:bCs w:val="0"/>
          <w:i/>
          <w:noProof/>
          <w:color w:val="auto"/>
          <w:sz w:val="24"/>
          <w:szCs w:val="24"/>
        </w:rPr>
        <w:t>: S</w:t>
      </w:r>
      <w:r w:rsidRPr="002E66C3">
        <w:rPr>
          <w:rFonts w:asciiTheme="minorHAnsi" w:hAnsiTheme="minorHAnsi"/>
          <w:b w:val="0"/>
          <w:bCs w:val="0"/>
          <w:i/>
          <w:noProof/>
          <w:color w:val="auto"/>
          <w:sz w:val="24"/>
          <w:szCs w:val="24"/>
        </w:rPr>
        <w:t>hëndetësia dhe mbrojtja sociale</w:t>
      </w:r>
      <w:bookmarkEnd w:id="155"/>
    </w:p>
    <w:p w:rsidR="006308E8" w:rsidRPr="00E923F7" w:rsidRDefault="006308E8" w:rsidP="002E66C3">
      <w:pPr>
        <w:spacing w:line="276" w:lineRule="auto"/>
        <w:jc w:val="right"/>
        <w:rPr>
          <w:rFonts w:asciiTheme="minorHAnsi" w:hAnsiTheme="minorHAnsi"/>
          <w:bCs/>
          <w:i/>
          <w:iCs/>
          <w:sz w:val="22"/>
          <w:u w:val="single"/>
          <w:lang w:val="sq-AL"/>
        </w:rPr>
      </w:pPr>
      <w:r w:rsidRPr="00E923F7">
        <w:rPr>
          <w:rFonts w:asciiTheme="minorHAnsi" w:hAnsiTheme="minorHAnsi"/>
          <w:bCs/>
          <w:i/>
          <w:iCs/>
          <w:sz w:val="22"/>
          <w:u w:val="single"/>
          <w:lang w:val="sq-AL"/>
        </w:rPr>
        <w:t>Në mijë lekë</w:t>
      </w:r>
    </w:p>
    <w:tbl>
      <w:tblPr>
        <w:tblStyle w:val="ListTable3-Accent52"/>
        <w:tblW w:w="5306" w:type="pct"/>
        <w:jc w:val="center"/>
        <w:tblLayout w:type="fixed"/>
        <w:tblLook w:val="01E0" w:firstRow="1" w:lastRow="1" w:firstColumn="1" w:lastColumn="1" w:noHBand="0" w:noVBand="0"/>
      </w:tblPr>
      <w:tblGrid>
        <w:gridCol w:w="518"/>
        <w:gridCol w:w="10"/>
        <w:gridCol w:w="3250"/>
        <w:gridCol w:w="1122"/>
        <w:gridCol w:w="1049"/>
        <w:gridCol w:w="1200"/>
        <w:gridCol w:w="6"/>
        <w:gridCol w:w="1204"/>
        <w:gridCol w:w="1024"/>
        <w:gridCol w:w="19"/>
        <w:gridCol w:w="1047"/>
      </w:tblGrid>
      <w:tr w:rsidR="00E923F7" w:rsidRPr="00E923F7" w:rsidTr="005556D3">
        <w:trPr>
          <w:cnfStyle w:val="100000000000" w:firstRow="1" w:lastRow="0" w:firstColumn="0" w:lastColumn="0" w:oddVBand="0" w:evenVBand="0" w:oddHBand="0" w:evenHBand="0" w:firstRowFirstColumn="0" w:firstRowLastColumn="0" w:lastRowFirstColumn="0" w:lastRowLastColumn="0"/>
          <w:trHeight w:val="180"/>
          <w:jc w:val="center"/>
        </w:trPr>
        <w:tc>
          <w:tcPr>
            <w:cnfStyle w:val="001000000100" w:firstRow="0" w:lastRow="0" w:firstColumn="1" w:lastColumn="0" w:oddVBand="0" w:evenVBand="0" w:oddHBand="0" w:evenHBand="0" w:firstRowFirstColumn="1" w:firstRowLastColumn="0" w:lastRowFirstColumn="0" w:lastRowLastColumn="0"/>
            <w:tcW w:w="253" w:type="pct"/>
            <w:gridSpan w:val="2"/>
            <w:vMerge w:val="restart"/>
          </w:tcPr>
          <w:p w:rsidR="006308E8" w:rsidRPr="00E923F7" w:rsidRDefault="006308E8" w:rsidP="002E66C3">
            <w:pPr>
              <w:jc w:val="center"/>
              <w:rPr>
                <w:rFonts w:asciiTheme="minorHAnsi" w:hAnsiTheme="minorHAnsi"/>
                <w:sz w:val="18"/>
                <w:lang w:val="sq-AL"/>
              </w:rPr>
            </w:pPr>
          </w:p>
          <w:p w:rsidR="006308E8" w:rsidRPr="00E923F7" w:rsidRDefault="006308E8" w:rsidP="002E66C3">
            <w:pPr>
              <w:jc w:val="center"/>
              <w:rPr>
                <w:rFonts w:asciiTheme="minorHAnsi" w:hAnsiTheme="minorHAnsi"/>
                <w:sz w:val="18"/>
                <w:lang w:val="sq-AL"/>
              </w:rPr>
            </w:pPr>
            <w:r w:rsidRPr="00E923F7">
              <w:rPr>
                <w:rFonts w:asciiTheme="minorHAnsi" w:hAnsiTheme="minorHAnsi"/>
                <w:sz w:val="18"/>
                <w:lang w:val="sq-AL"/>
              </w:rPr>
              <w:t>NR</w:t>
            </w:r>
          </w:p>
        </w:tc>
        <w:tc>
          <w:tcPr>
            <w:cnfStyle w:val="000010000000" w:firstRow="0" w:lastRow="0" w:firstColumn="0" w:lastColumn="0" w:oddVBand="1" w:evenVBand="0" w:oddHBand="0" w:evenHBand="0" w:firstRowFirstColumn="0" w:firstRowLastColumn="0" w:lastRowFirstColumn="0" w:lastRowLastColumn="0"/>
            <w:tcW w:w="1555" w:type="pct"/>
            <w:vMerge w:val="restart"/>
          </w:tcPr>
          <w:p w:rsidR="006308E8" w:rsidRPr="00E923F7" w:rsidRDefault="006308E8" w:rsidP="002E66C3">
            <w:pPr>
              <w:jc w:val="center"/>
              <w:rPr>
                <w:rFonts w:asciiTheme="minorHAnsi" w:hAnsiTheme="minorHAnsi"/>
                <w:sz w:val="18"/>
                <w:lang w:val="sq-AL"/>
              </w:rPr>
            </w:pPr>
          </w:p>
          <w:p w:rsidR="006308E8" w:rsidRPr="00E923F7" w:rsidRDefault="006308E8" w:rsidP="002E66C3">
            <w:pPr>
              <w:jc w:val="center"/>
              <w:rPr>
                <w:rFonts w:asciiTheme="minorHAnsi" w:hAnsiTheme="minorHAnsi"/>
                <w:sz w:val="18"/>
                <w:lang w:val="sq-AL"/>
              </w:rPr>
            </w:pPr>
            <w:r w:rsidRPr="00E923F7">
              <w:rPr>
                <w:rFonts w:asciiTheme="minorHAnsi" w:hAnsiTheme="minorHAnsi"/>
                <w:sz w:val="18"/>
                <w:lang w:val="sq-AL"/>
              </w:rPr>
              <w:t>Emërtimi i Programit</w:t>
            </w:r>
          </w:p>
        </w:tc>
        <w:tc>
          <w:tcPr>
            <w:tcW w:w="1039" w:type="pct"/>
            <w:gridSpan w:val="2"/>
          </w:tcPr>
          <w:p w:rsidR="006308E8" w:rsidRPr="00E923F7" w:rsidRDefault="006308E8" w:rsidP="002E66C3">
            <w:pPr>
              <w:ind w:left="80"/>
              <w:jc w:val="center"/>
              <w:cnfStyle w:val="100000000000" w:firstRow="1" w:lastRow="0" w:firstColumn="0" w:lastColumn="0" w:oddVBand="0" w:evenVBand="0" w:oddHBand="0" w:evenHBand="0" w:firstRowFirstColumn="0" w:firstRowLastColumn="0" w:lastRowFirstColumn="0" w:lastRowLastColumn="0"/>
              <w:rPr>
                <w:rFonts w:asciiTheme="minorHAnsi" w:hAnsiTheme="minorHAnsi"/>
                <w:sz w:val="18"/>
                <w:lang w:val="sq-AL"/>
              </w:rPr>
            </w:pPr>
            <w:r w:rsidRPr="00E923F7">
              <w:rPr>
                <w:rFonts w:asciiTheme="minorHAnsi" w:hAnsiTheme="minorHAnsi"/>
                <w:sz w:val="18"/>
                <w:lang w:val="sq-AL"/>
              </w:rPr>
              <w:t>Plani 2020</w:t>
            </w:r>
          </w:p>
        </w:tc>
        <w:tc>
          <w:tcPr>
            <w:cnfStyle w:val="000010000000" w:firstRow="0" w:lastRow="0" w:firstColumn="0" w:lastColumn="0" w:oddVBand="1" w:evenVBand="0" w:oddHBand="0" w:evenHBand="0" w:firstRowFirstColumn="0" w:firstRowLastColumn="0" w:lastRowFirstColumn="0" w:lastRowLastColumn="0"/>
            <w:tcW w:w="1153" w:type="pct"/>
            <w:gridSpan w:val="3"/>
          </w:tcPr>
          <w:p w:rsidR="006308E8" w:rsidRPr="00E923F7" w:rsidRDefault="006308E8" w:rsidP="002E66C3">
            <w:pPr>
              <w:jc w:val="center"/>
              <w:rPr>
                <w:rFonts w:asciiTheme="minorHAnsi" w:hAnsiTheme="minorHAnsi"/>
                <w:sz w:val="18"/>
                <w:lang w:val="sq-AL"/>
              </w:rPr>
            </w:pPr>
            <w:r w:rsidRPr="00E923F7">
              <w:rPr>
                <w:rFonts w:asciiTheme="minorHAnsi" w:hAnsiTheme="minorHAnsi"/>
                <w:sz w:val="18"/>
                <w:lang w:val="sq-AL"/>
              </w:rPr>
              <w:t>Fakti 4/M I 2020</w:t>
            </w:r>
          </w:p>
        </w:tc>
        <w:tc>
          <w:tcPr>
            <w:cnfStyle w:val="000100001000" w:firstRow="0" w:lastRow="0" w:firstColumn="0" w:lastColumn="1" w:oddVBand="0" w:evenVBand="0" w:oddHBand="0" w:evenHBand="0" w:firstRowFirstColumn="0" w:firstRowLastColumn="1" w:lastRowFirstColumn="0" w:lastRowLastColumn="0"/>
            <w:tcW w:w="1000" w:type="pct"/>
            <w:gridSpan w:val="3"/>
          </w:tcPr>
          <w:p w:rsidR="006308E8" w:rsidRPr="00E923F7" w:rsidRDefault="006308E8" w:rsidP="002E66C3">
            <w:pPr>
              <w:jc w:val="center"/>
              <w:rPr>
                <w:rFonts w:asciiTheme="minorHAnsi" w:hAnsiTheme="minorHAnsi"/>
                <w:sz w:val="18"/>
                <w:lang w:val="sq-AL"/>
              </w:rPr>
            </w:pPr>
            <w:r w:rsidRPr="00E923F7">
              <w:rPr>
                <w:rFonts w:asciiTheme="minorHAnsi" w:hAnsiTheme="minorHAnsi"/>
                <w:sz w:val="18"/>
                <w:lang w:val="sq-AL"/>
              </w:rPr>
              <w:t>Përqindja  e realizimit</w:t>
            </w:r>
          </w:p>
        </w:tc>
      </w:tr>
      <w:tr w:rsidR="00E923F7" w:rsidRPr="00E923F7" w:rsidTr="005556D3">
        <w:trPr>
          <w:cnfStyle w:val="000000100000" w:firstRow="0" w:lastRow="0" w:firstColumn="0" w:lastColumn="0" w:oddVBand="0" w:evenVBand="0" w:oddHBand="1" w:evenHBand="0" w:firstRowFirstColumn="0" w:firstRowLastColumn="0" w:lastRowFirstColumn="0" w:lastRowLastColumn="0"/>
          <w:trHeight w:val="93"/>
          <w:jc w:val="center"/>
        </w:trPr>
        <w:tc>
          <w:tcPr>
            <w:cnfStyle w:val="001000000000" w:firstRow="0" w:lastRow="0" w:firstColumn="1" w:lastColumn="0" w:oddVBand="0" w:evenVBand="0" w:oddHBand="0" w:evenHBand="0" w:firstRowFirstColumn="0" w:firstRowLastColumn="0" w:lastRowFirstColumn="0" w:lastRowLastColumn="0"/>
            <w:tcW w:w="253" w:type="pct"/>
            <w:gridSpan w:val="2"/>
            <w:vMerge/>
          </w:tcPr>
          <w:p w:rsidR="006308E8" w:rsidRPr="00E923F7" w:rsidRDefault="006308E8" w:rsidP="002E66C3">
            <w:pPr>
              <w:jc w:val="center"/>
              <w:rPr>
                <w:rFonts w:asciiTheme="minorHAnsi" w:hAnsiTheme="minorHAnsi"/>
                <w:sz w:val="18"/>
                <w:lang w:val="sq-AL"/>
              </w:rPr>
            </w:pPr>
          </w:p>
        </w:tc>
        <w:tc>
          <w:tcPr>
            <w:cnfStyle w:val="000010000000" w:firstRow="0" w:lastRow="0" w:firstColumn="0" w:lastColumn="0" w:oddVBand="1" w:evenVBand="0" w:oddHBand="0" w:evenHBand="0" w:firstRowFirstColumn="0" w:firstRowLastColumn="0" w:lastRowFirstColumn="0" w:lastRowLastColumn="0"/>
            <w:tcW w:w="1555" w:type="pct"/>
            <w:vMerge/>
          </w:tcPr>
          <w:p w:rsidR="006308E8" w:rsidRPr="00E923F7" w:rsidRDefault="006308E8" w:rsidP="002E66C3">
            <w:pPr>
              <w:jc w:val="center"/>
              <w:rPr>
                <w:rFonts w:asciiTheme="minorHAnsi" w:hAnsiTheme="minorHAnsi"/>
                <w:b/>
                <w:sz w:val="18"/>
                <w:lang w:val="sq-AL"/>
              </w:rPr>
            </w:pPr>
          </w:p>
        </w:tc>
        <w:tc>
          <w:tcPr>
            <w:tcW w:w="537" w:type="pct"/>
          </w:tcPr>
          <w:p w:rsidR="006308E8" w:rsidRPr="00E923F7" w:rsidRDefault="006308E8" w:rsidP="002E66C3">
            <w:pPr>
              <w:ind w:left="80"/>
              <w:jc w:val="center"/>
              <w:cnfStyle w:val="000000100000" w:firstRow="0" w:lastRow="0" w:firstColumn="0" w:lastColumn="0" w:oddVBand="0" w:evenVBand="0" w:oddHBand="1" w:evenHBand="0" w:firstRowFirstColumn="0" w:firstRowLastColumn="0" w:lastRowFirstColumn="0" w:lastRowLastColumn="0"/>
              <w:rPr>
                <w:rFonts w:asciiTheme="minorHAnsi" w:hAnsiTheme="minorHAnsi"/>
                <w:b/>
                <w:sz w:val="18"/>
                <w:lang w:val="sq-AL"/>
              </w:rPr>
            </w:pPr>
            <w:r w:rsidRPr="00E923F7">
              <w:rPr>
                <w:rFonts w:asciiTheme="minorHAnsi" w:hAnsiTheme="minorHAnsi"/>
                <w:b/>
                <w:sz w:val="18"/>
                <w:lang w:val="sq-AL"/>
              </w:rPr>
              <w:t>Korrente</w:t>
            </w:r>
          </w:p>
        </w:tc>
        <w:tc>
          <w:tcPr>
            <w:cnfStyle w:val="000010000000" w:firstRow="0" w:lastRow="0" w:firstColumn="0" w:lastColumn="0" w:oddVBand="1" w:evenVBand="0" w:oddHBand="0" w:evenHBand="0" w:firstRowFirstColumn="0" w:firstRowLastColumn="0" w:lastRowFirstColumn="0" w:lastRowLastColumn="0"/>
            <w:tcW w:w="502" w:type="pct"/>
          </w:tcPr>
          <w:p w:rsidR="006308E8" w:rsidRPr="00E923F7" w:rsidRDefault="006308E8" w:rsidP="002E66C3">
            <w:pPr>
              <w:ind w:left="80"/>
              <w:jc w:val="center"/>
              <w:rPr>
                <w:rFonts w:asciiTheme="minorHAnsi" w:hAnsiTheme="minorHAnsi"/>
                <w:b/>
                <w:sz w:val="18"/>
                <w:lang w:val="sq-AL"/>
              </w:rPr>
            </w:pPr>
            <w:r w:rsidRPr="00E923F7">
              <w:rPr>
                <w:rFonts w:asciiTheme="minorHAnsi" w:hAnsiTheme="minorHAnsi"/>
                <w:b/>
                <w:sz w:val="18"/>
                <w:lang w:val="sq-AL"/>
              </w:rPr>
              <w:t>Investime</w:t>
            </w:r>
          </w:p>
        </w:tc>
        <w:tc>
          <w:tcPr>
            <w:tcW w:w="574" w:type="pct"/>
          </w:tcPr>
          <w:p w:rsidR="006308E8" w:rsidRPr="00E923F7" w:rsidRDefault="006308E8" w:rsidP="002E66C3">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b/>
                <w:sz w:val="18"/>
                <w:lang w:val="sq-AL"/>
              </w:rPr>
            </w:pPr>
            <w:r w:rsidRPr="00E923F7">
              <w:rPr>
                <w:rFonts w:asciiTheme="minorHAnsi" w:hAnsiTheme="minorHAnsi"/>
                <w:b/>
                <w:sz w:val="18"/>
                <w:lang w:val="sq-AL"/>
              </w:rPr>
              <w:t>Korrente</w:t>
            </w:r>
          </w:p>
        </w:tc>
        <w:tc>
          <w:tcPr>
            <w:cnfStyle w:val="000010000000" w:firstRow="0" w:lastRow="0" w:firstColumn="0" w:lastColumn="0" w:oddVBand="1" w:evenVBand="0" w:oddHBand="0" w:evenHBand="0" w:firstRowFirstColumn="0" w:firstRowLastColumn="0" w:lastRowFirstColumn="0" w:lastRowLastColumn="0"/>
            <w:tcW w:w="579" w:type="pct"/>
            <w:gridSpan w:val="2"/>
          </w:tcPr>
          <w:p w:rsidR="006308E8" w:rsidRPr="00E923F7" w:rsidRDefault="006308E8" w:rsidP="002E66C3">
            <w:pPr>
              <w:jc w:val="center"/>
              <w:rPr>
                <w:rFonts w:asciiTheme="minorHAnsi" w:hAnsiTheme="minorHAnsi"/>
                <w:b/>
                <w:sz w:val="18"/>
                <w:lang w:val="sq-AL"/>
              </w:rPr>
            </w:pPr>
            <w:r w:rsidRPr="00E923F7">
              <w:rPr>
                <w:rFonts w:asciiTheme="minorHAnsi" w:hAnsiTheme="minorHAnsi"/>
                <w:b/>
                <w:sz w:val="18"/>
                <w:lang w:val="sq-AL"/>
              </w:rPr>
              <w:t>Investime</w:t>
            </w:r>
          </w:p>
        </w:tc>
        <w:tc>
          <w:tcPr>
            <w:tcW w:w="490" w:type="pct"/>
          </w:tcPr>
          <w:p w:rsidR="006308E8" w:rsidRPr="00E923F7" w:rsidRDefault="006308E8" w:rsidP="002E66C3">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b/>
                <w:sz w:val="18"/>
                <w:lang w:val="sq-AL"/>
              </w:rPr>
            </w:pPr>
            <w:r w:rsidRPr="00E923F7">
              <w:rPr>
                <w:rFonts w:asciiTheme="minorHAnsi" w:hAnsiTheme="minorHAnsi"/>
                <w:b/>
                <w:sz w:val="18"/>
                <w:lang w:val="sq-AL"/>
              </w:rPr>
              <w:t>Korrente</w:t>
            </w:r>
          </w:p>
        </w:tc>
        <w:tc>
          <w:tcPr>
            <w:cnfStyle w:val="000100000000" w:firstRow="0" w:lastRow="0" w:firstColumn="0" w:lastColumn="1" w:oddVBand="0" w:evenVBand="0" w:oddHBand="0" w:evenHBand="0" w:firstRowFirstColumn="0" w:firstRowLastColumn="0" w:lastRowFirstColumn="0" w:lastRowLastColumn="0"/>
            <w:tcW w:w="510" w:type="pct"/>
            <w:gridSpan w:val="2"/>
          </w:tcPr>
          <w:p w:rsidR="006308E8" w:rsidRPr="00E923F7" w:rsidRDefault="006308E8" w:rsidP="002E66C3">
            <w:pPr>
              <w:jc w:val="center"/>
              <w:rPr>
                <w:rFonts w:asciiTheme="minorHAnsi" w:hAnsiTheme="minorHAnsi"/>
                <w:sz w:val="18"/>
                <w:lang w:val="sq-AL"/>
              </w:rPr>
            </w:pPr>
            <w:r w:rsidRPr="00E923F7">
              <w:rPr>
                <w:rFonts w:asciiTheme="minorHAnsi" w:hAnsiTheme="minorHAnsi"/>
                <w:sz w:val="18"/>
                <w:lang w:val="sq-AL"/>
              </w:rPr>
              <w:t>Investime</w:t>
            </w:r>
          </w:p>
        </w:tc>
      </w:tr>
      <w:tr w:rsidR="00E923F7" w:rsidRPr="00E923F7" w:rsidTr="005556D3">
        <w:trPr>
          <w:trHeight w:val="189"/>
          <w:jc w:val="center"/>
        </w:trPr>
        <w:tc>
          <w:tcPr>
            <w:cnfStyle w:val="001000000000" w:firstRow="0" w:lastRow="0" w:firstColumn="1" w:lastColumn="0" w:oddVBand="0" w:evenVBand="0" w:oddHBand="0" w:evenHBand="0" w:firstRowFirstColumn="0" w:firstRowLastColumn="0" w:lastRowFirstColumn="0" w:lastRowLastColumn="0"/>
            <w:tcW w:w="248" w:type="pct"/>
          </w:tcPr>
          <w:p w:rsidR="006308E8" w:rsidRPr="00E923F7" w:rsidRDefault="006308E8" w:rsidP="00E923F7">
            <w:pPr>
              <w:jc w:val="center"/>
              <w:rPr>
                <w:rFonts w:asciiTheme="minorHAnsi" w:hAnsiTheme="minorHAnsi"/>
                <w:sz w:val="18"/>
                <w:lang w:val="sq-AL"/>
              </w:rPr>
            </w:pPr>
          </w:p>
        </w:tc>
        <w:tc>
          <w:tcPr>
            <w:cnfStyle w:val="000010000000" w:firstRow="0" w:lastRow="0" w:firstColumn="0" w:lastColumn="0" w:oddVBand="1" w:evenVBand="0" w:oddHBand="0" w:evenHBand="0" w:firstRowFirstColumn="0" w:firstRowLastColumn="0" w:lastRowFirstColumn="0" w:lastRowLastColumn="0"/>
            <w:tcW w:w="1560" w:type="pct"/>
            <w:gridSpan w:val="2"/>
          </w:tcPr>
          <w:p w:rsidR="006308E8" w:rsidRPr="00E923F7" w:rsidRDefault="006308E8" w:rsidP="00E923F7">
            <w:pPr>
              <w:rPr>
                <w:rFonts w:asciiTheme="minorHAnsi" w:hAnsiTheme="minorHAnsi"/>
                <w:b/>
                <w:sz w:val="18"/>
                <w:lang w:val="sq-AL"/>
              </w:rPr>
            </w:pPr>
            <w:r w:rsidRPr="00E923F7">
              <w:rPr>
                <w:rFonts w:asciiTheme="minorHAnsi" w:hAnsiTheme="minorHAnsi"/>
                <w:b/>
                <w:sz w:val="18"/>
                <w:lang w:val="sq-AL"/>
              </w:rPr>
              <w:t>Ministria e Shëndet.dhe Mbrojtjes Sociale (Total)</w:t>
            </w:r>
          </w:p>
        </w:tc>
        <w:tc>
          <w:tcPr>
            <w:tcW w:w="537" w:type="pct"/>
          </w:tcPr>
          <w:p w:rsidR="006308E8" w:rsidRPr="00E923F7" w:rsidRDefault="006308E8" w:rsidP="00E923F7">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b/>
                <w:sz w:val="18"/>
                <w:szCs w:val="18"/>
                <w:lang w:val="sq-AL"/>
              </w:rPr>
            </w:pPr>
            <w:r w:rsidRPr="00E923F7">
              <w:rPr>
                <w:rFonts w:asciiTheme="minorHAnsi" w:hAnsiTheme="minorHAnsi"/>
                <w:b/>
                <w:sz w:val="18"/>
                <w:szCs w:val="18"/>
                <w:lang w:val="sq-AL"/>
              </w:rPr>
              <w:t>61,927,226</w:t>
            </w:r>
          </w:p>
        </w:tc>
        <w:tc>
          <w:tcPr>
            <w:cnfStyle w:val="000010000000" w:firstRow="0" w:lastRow="0" w:firstColumn="0" w:lastColumn="0" w:oddVBand="1" w:evenVBand="0" w:oddHBand="0" w:evenHBand="0" w:firstRowFirstColumn="0" w:firstRowLastColumn="0" w:lastRowFirstColumn="0" w:lastRowLastColumn="0"/>
            <w:tcW w:w="502" w:type="pct"/>
          </w:tcPr>
          <w:p w:rsidR="006308E8" w:rsidRPr="00E923F7" w:rsidRDefault="006308E8" w:rsidP="00E923F7">
            <w:pPr>
              <w:jc w:val="center"/>
              <w:rPr>
                <w:rFonts w:asciiTheme="minorHAnsi" w:hAnsiTheme="minorHAnsi"/>
                <w:b/>
                <w:sz w:val="18"/>
                <w:szCs w:val="18"/>
                <w:lang w:val="sq-AL"/>
              </w:rPr>
            </w:pPr>
            <w:r w:rsidRPr="00E923F7">
              <w:rPr>
                <w:rFonts w:asciiTheme="minorHAnsi" w:hAnsiTheme="minorHAnsi"/>
                <w:b/>
                <w:sz w:val="18"/>
                <w:szCs w:val="18"/>
                <w:lang w:val="sq-AL"/>
              </w:rPr>
              <w:t>2,122,000</w:t>
            </w:r>
          </w:p>
        </w:tc>
        <w:tc>
          <w:tcPr>
            <w:tcW w:w="577" w:type="pct"/>
            <w:gridSpan w:val="2"/>
          </w:tcPr>
          <w:p w:rsidR="006308E8" w:rsidRPr="00E923F7" w:rsidRDefault="006308E8" w:rsidP="00E923F7">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b/>
                <w:sz w:val="18"/>
                <w:szCs w:val="18"/>
                <w:lang w:val="sq-AL"/>
              </w:rPr>
            </w:pPr>
            <w:r w:rsidRPr="00E923F7">
              <w:rPr>
                <w:rFonts w:asciiTheme="minorHAnsi" w:hAnsiTheme="minorHAnsi"/>
                <w:b/>
                <w:sz w:val="18"/>
                <w:szCs w:val="18"/>
                <w:lang w:val="sq-AL"/>
              </w:rPr>
              <w:t>20,789,951</w:t>
            </w:r>
          </w:p>
        </w:tc>
        <w:tc>
          <w:tcPr>
            <w:cnfStyle w:val="000010000000" w:firstRow="0" w:lastRow="0" w:firstColumn="0" w:lastColumn="0" w:oddVBand="1" w:evenVBand="0" w:oddHBand="0" w:evenHBand="0" w:firstRowFirstColumn="0" w:firstRowLastColumn="0" w:lastRowFirstColumn="0" w:lastRowLastColumn="0"/>
            <w:tcW w:w="576" w:type="pct"/>
          </w:tcPr>
          <w:p w:rsidR="006308E8" w:rsidRPr="00E923F7" w:rsidRDefault="006308E8" w:rsidP="00E923F7">
            <w:pPr>
              <w:jc w:val="center"/>
              <w:rPr>
                <w:rFonts w:asciiTheme="minorHAnsi" w:hAnsiTheme="minorHAnsi"/>
                <w:b/>
                <w:sz w:val="18"/>
                <w:szCs w:val="18"/>
                <w:lang w:val="sq-AL"/>
              </w:rPr>
            </w:pPr>
            <w:r w:rsidRPr="00E923F7">
              <w:rPr>
                <w:rFonts w:asciiTheme="minorHAnsi" w:hAnsiTheme="minorHAnsi"/>
                <w:b/>
                <w:sz w:val="18"/>
                <w:szCs w:val="18"/>
                <w:lang w:val="sq-AL"/>
              </w:rPr>
              <w:t>210,541</w:t>
            </w:r>
          </w:p>
        </w:tc>
        <w:tc>
          <w:tcPr>
            <w:tcW w:w="499" w:type="pct"/>
            <w:gridSpan w:val="2"/>
          </w:tcPr>
          <w:p w:rsidR="006308E8" w:rsidRPr="00E923F7" w:rsidRDefault="006308E8" w:rsidP="00E923F7">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b/>
                <w:sz w:val="18"/>
                <w:szCs w:val="18"/>
                <w:lang w:val="sq-AL"/>
              </w:rPr>
            </w:pPr>
            <w:r w:rsidRPr="00E923F7">
              <w:rPr>
                <w:rFonts w:asciiTheme="minorHAnsi" w:hAnsiTheme="minorHAnsi"/>
                <w:b/>
                <w:sz w:val="18"/>
                <w:szCs w:val="18"/>
                <w:lang w:val="sq-AL"/>
              </w:rPr>
              <w:t>34</w:t>
            </w:r>
          </w:p>
        </w:tc>
        <w:tc>
          <w:tcPr>
            <w:cnfStyle w:val="000100000000" w:firstRow="0" w:lastRow="0" w:firstColumn="0" w:lastColumn="1" w:oddVBand="0" w:evenVBand="0" w:oddHBand="0" w:evenHBand="0" w:firstRowFirstColumn="0" w:firstRowLastColumn="0" w:lastRowFirstColumn="0" w:lastRowLastColumn="0"/>
            <w:tcW w:w="501" w:type="pct"/>
          </w:tcPr>
          <w:p w:rsidR="006308E8" w:rsidRPr="00E923F7" w:rsidRDefault="006308E8" w:rsidP="00E923F7">
            <w:pPr>
              <w:jc w:val="center"/>
              <w:rPr>
                <w:rFonts w:asciiTheme="minorHAnsi" w:hAnsiTheme="minorHAnsi"/>
                <w:bCs w:val="0"/>
                <w:sz w:val="18"/>
                <w:szCs w:val="18"/>
                <w:lang w:val="sq-AL"/>
              </w:rPr>
            </w:pPr>
            <w:r w:rsidRPr="00E923F7">
              <w:rPr>
                <w:rFonts w:asciiTheme="minorHAnsi" w:hAnsiTheme="minorHAnsi"/>
                <w:bCs w:val="0"/>
                <w:sz w:val="18"/>
                <w:szCs w:val="18"/>
                <w:lang w:val="sq-AL"/>
              </w:rPr>
              <w:t>10</w:t>
            </w:r>
          </w:p>
        </w:tc>
      </w:tr>
      <w:tr w:rsidR="00E923F7" w:rsidRPr="00E923F7" w:rsidTr="005556D3">
        <w:trPr>
          <w:cnfStyle w:val="000000100000" w:firstRow="0" w:lastRow="0" w:firstColumn="0" w:lastColumn="0" w:oddVBand="0" w:evenVBand="0" w:oddHBand="1" w:evenHBand="0" w:firstRowFirstColumn="0" w:firstRowLastColumn="0" w:lastRowFirstColumn="0" w:lastRowLastColumn="0"/>
          <w:trHeight w:val="189"/>
          <w:jc w:val="center"/>
        </w:trPr>
        <w:tc>
          <w:tcPr>
            <w:cnfStyle w:val="001000000000" w:firstRow="0" w:lastRow="0" w:firstColumn="1" w:lastColumn="0" w:oddVBand="0" w:evenVBand="0" w:oddHBand="0" w:evenHBand="0" w:firstRowFirstColumn="0" w:firstRowLastColumn="0" w:lastRowFirstColumn="0" w:lastRowLastColumn="0"/>
            <w:tcW w:w="248" w:type="pct"/>
          </w:tcPr>
          <w:p w:rsidR="006308E8" w:rsidRPr="00E923F7" w:rsidRDefault="006308E8" w:rsidP="00E923F7">
            <w:pPr>
              <w:jc w:val="center"/>
              <w:rPr>
                <w:rFonts w:asciiTheme="minorHAnsi" w:hAnsiTheme="minorHAnsi"/>
                <w:sz w:val="18"/>
                <w:lang w:val="sq-AL"/>
              </w:rPr>
            </w:pPr>
          </w:p>
        </w:tc>
        <w:tc>
          <w:tcPr>
            <w:cnfStyle w:val="000010000000" w:firstRow="0" w:lastRow="0" w:firstColumn="0" w:lastColumn="0" w:oddVBand="1" w:evenVBand="0" w:oddHBand="0" w:evenHBand="0" w:firstRowFirstColumn="0" w:firstRowLastColumn="0" w:lastRowFirstColumn="0" w:lastRowLastColumn="0"/>
            <w:tcW w:w="1560" w:type="pct"/>
            <w:gridSpan w:val="2"/>
            <w:vAlign w:val="bottom"/>
          </w:tcPr>
          <w:p w:rsidR="006308E8" w:rsidRPr="00E923F7" w:rsidRDefault="006308E8" w:rsidP="00E923F7">
            <w:pPr>
              <w:jc w:val="center"/>
              <w:rPr>
                <w:rFonts w:asciiTheme="minorHAnsi" w:hAnsiTheme="minorHAnsi"/>
                <w:b/>
                <w:sz w:val="18"/>
                <w:lang w:val="sq-AL"/>
              </w:rPr>
            </w:pPr>
            <w:r w:rsidRPr="00E923F7">
              <w:rPr>
                <w:rFonts w:asciiTheme="minorHAnsi" w:hAnsiTheme="minorHAnsi"/>
                <w:b/>
                <w:sz w:val="18"/>
                <w:lang w:val="sq-AL"/>
              </w:rPr>
              <w:t>Financimi i huaj (total)</w:t>
            </w:r>
          </w:p>
        </w:tc>
        <w:tc>
          <w:tcPr>
            <w:tcW w:w="537" w:type="pct"/>
            <w:vAlign w:val="bottom"/>
          </w:tcPr>
          <w:p w:rsidR="006308E8" w:rsidRPr="00E923F7" w:rsidRDefault="006308E8" w:rsidP="00E923F7">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21"/>
                <w:lang w:val="sq-AL"/>
              </w:rPr>
            </w:pPr>
          </w:p>
        </w:tc>
        <w:tc>
          <w:tcPr>
            <w:cnfStyle w:val="000010000000" w:firstRow="0" w:lastRow="0" w:firstColumn="0" w:lastColumn="0" w:oddVBand="1" w:evenVBand="0" w:oddHBand="0" w:evenHBand="0" w:firstRowFirstColumn="0" w:firstRowLastColumn="0" w:lastRowFirstColumn="0" w:lastRowLastColumn="0"/>
            <w:tcW w:w="502" w:type="pct"/>
            <w:vAlign w:val="bottom"/>
          </w:tcPr>
          <w:p w:rsidR="006308E8" w:rsidRPr="00E923F7" w:rsidRDefault="006308E8" w:rsidP="00E923F7">
            <w:pPr>
              <w:jc w:val="center"/>
              <w:rPr>
                <w:rFonts w:asciiTheme="minorHAnsi" w:hAnsiTheme="minorHAnsi"/>
                <w:b/>
                <w:sz w:val="18"/>
                <w:szCs w:val="18"/>
                <w:lang w:val="sq-AL"/>
              </w:rPr>
            </w:pPr>
            <w:r w:rsidRPr="00E923F7">
              <w:rPr>
                <w:rFonts w:asciiTheme="minorHAnsi" w:hAnsiTheme="minorHAnsi"/>
                <w:b/>
                <w:sz w:val="18"/>
                <w:szCs w:val="18"/>
                <w:lang w:val="sq-AL"/>
              </w:rPr>
              <w:t>1,110,000</w:t>
            </w:r>
          </w:p>
        </w:tc>
        <w:tc>
          <w:tcPr>
            <w:tcW w:w="577" w:type="pct"/>
            <w:gridSpan w:val="2"/>
            <w:vAlign w:val="bottom"/>
          </w:tcPr>
          <w:p w:rsidR="006308E8" w:rsidRPr="00E923F7" w:rsidRDefault="006308E8" w:rsidP="00E923F7">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b/>
                <w:sz w:val="18"/>
                <w:szCs w:val="18"/>
                <w:lang w:val="sq-AL"/>
              </w:rPr>
            </w:pPr>
          </w:p>
        </w:tc>
        <w:tc>
          <w:tcPr>
            <w:cnfStyle w:val="000010000000" w:firstRow="0" w:lastRow="0" w:firstColumn="0" w:lastColumn="0" w:oddVBand="1" w:evenVBand="0" w:oddHBand="0" w:evenHBand="0" w:firstRowFirstColumn="0" w:firstRowLastColumn="0" w:lastRowFirstColumn="0" w:lastRowLastColumn="0"/>
            <w:tcW w:w="576" w:type="pct"/>
            <w:vAlign w:val="bottom"/>
          </w:tcPr>
          <w:p w:rsidR="006308E8" w:rsidRPr="00E923F7" w:rsidRDefault="006308E8" w:rsidP="00E923F7">
            <w:pPr>
              <w:jc w:val="center"/>
              <w:rPr>
                <w:rFonts w:asciiTheme="minorHAnsi" w:hAnsiTheme="minorHAnsi"/>
                <w:b/>
                <w:sz w:val="18"/>
                <w:szCs w:val="18"/>
                <w:lang w:val="sq-AL"/>
              </w:rPr>
            </w:pPr>
            <w:r w:rsidRPr="00E923F7">
              <w:rPr>
                <w:rFonts w:asciiTheme="minorHAnsi" w:hAnsiTheme="minorHAnsi"/>
                <w:b/>
                <w:sz w:val="18"/>
                <w:szCs w:val="18"/>
                <w:lang w:val="sq-AL"/>
              </w:rPr>
              <w:t>171,833</w:t>
            </w:r>
          </w:p>
        </w:tc>
        <w:tc>
          <w:tcPr>
            <w:tcW w:w="499" w:type="pct"/>
            <w:gridSpan w:val="2"/>
            <w:vAlign w:val="bottom"/>
          </w:tcPr>
          <w:p w:rsidR="006308E8" w:rsidRPr="00E923F7" w:rsidRDefault="006308E8" w:rsidP="00E923F7">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18"/>
                <w:lang w:val="sq-AL"/>
              </w:rPr>
            </w:pPr>
          </w:p>
        </w:tc>
        <w:tc>
          <w:tcPr>
            <w:cnfStyle w:val="000100000000" w:firstRow="0" w:lastRow="0" w:firstColumn="0" w:lastColumn="1" w:oddVBand="0" w:evenVBand="0" w:oddHBand="0" w:evenHBand="0" w:firstRowFirstColumn="0" w:firstRowLastColumn="0" w:lastRowFirstColumn="0" w:lastRowLastColumn="0"/>
            <w:tcW w:w="501" w:type="pct"/>
            <w:vAlign w:val="bottom"/>
          </w:tcPr>
          <w:p w:rsidR="006308E8" w:rsidRPr="00E923F7" w:rsidRDefault="006308E8" w:rsidP="00E923F7">
            <w:pPr>
              <w:jc w:val="center"/>
              <w:rPr>
                <w:rFonts w:asciiTheme="minorHAnsi" w:hAnsiTheme="minorHAnsi"/>
                <w:sz w:val="18"/>
                <w:szCs w:val="18"/>
                <w:lang w:val="sq-AL"/>
              </w:rPr>
            </w:pPr>
            <w:r w:rsidRPr="00E923F7">
              <w:rPr>
                <w:rFonts w:asciiTheme="minorHAnsi" w:hAnsiTheme="minorHAnsi"/>
                <w:sz w:val="18"/>
                <w:szCs w:val="18"/>
                <w:lang w:val="sq-AL"/>
              </w:rPr>
              <w:t>16</w:t>
            </w:r>
          </w:p>
        </w:tc>
      </w:tr>
      <w:tr w:rsidR="00E923F7" w:rsidRPr="00E923F7" w:rsidTr="005556D3">
        <w:trPr>
          <w:trHeight w:val="189"/>
          <w:jc w:val="center"/>
        </w:trPr>
        <w:tc>
          <w:tcPr>
            <w:cnfStyle w:val="001000000000" w:firstRow="0" w:lastRow="0" w:firstColumn="1" w:lastColumn="0" w:oddVBand="0" w:evenVBand="0" w:oddHBand="0" w:evenHBand="0" w:firstRowFirstColumn="0" w:firstRowLastColumn="0" w:lastRowFirstColumn="0" w:lastRowLastColumn="0"/>
            <w:tcW w:w="248" w:type="pct"/>
          </w:tcPr>
          <w:p w:rsidR="006308E8" w:rsidRPr="00E923F7" w:rsidRDefault="006308E8" w:rsidP="00E923F7">
            <w:pPr>
              <w:jc w:val="center"/>
              <w:rPr>
                <w:rFonts w:asciiTheme="minorHAnsi" w:hAnsiTheme="minorHAnsi"/>
                <w:sz w:val="18"/>
                <w:lang w:val="sq-AL"/>
              </w:rPr>
            </w:pPr>
            <w:r w:rsidRPr="00E923F7">
              <w:rPr>
                <w:rFonts w:asciiTheme="minorHAnsi" w:hAnsiTheme="minorHAnsi"/>
                <w:sz w:val="18"/>
                <w:lang w:val="sq-AL"/>
              </w:rPr>
              <w:t>1</w:t>
            </w:r>
          </w:p>
        </w:tc>
        <w:tc>
          <w:tcPr>
            <w:cnfStyle w:val="000010000000" w:firstRow="0" w:lastRow="0" w:firstColumn="0" w:lastColumn="0" w:oddVBand="1" w:evenVBand="0" w:oddHBand="0" w:evenHBand="0" w:firstRowFirstColumn="0" w:firstRowLastColumn="0" w:lastRowFirstColumn="0" w:lastRowLastColumn="0"/>
            <w:tcW w:w="1560" w:type="pct"/>
            <w:gridSpan w:val="2"/>
            <w:vAlign w:val="bottom"/>
          </w:tcPr>
          <w:p w:rsidR="006308E8" w:rsidRPr="00E923F7" w:rsidRDefault="006308E8" w:rsidP="00E923F7">
            <w:pPr>
              <w:jc w:val="center"/>
              <w:rPr>
                <w:rFonts w:asciiTheme="minorHAnsi" w:hAnsiTheme="minorHAnsi"/>
                <w:sz w:val="18"/>
                <w:lang w:val="sq-AL"/>
              </w:rPr>
            </w:pPr>
            <w:r w:rsidRPr="00E923F7">
              <w:rPr>
                <w:rFonts w:asciiTheme="minorHAnsi" w:hAnsiTheme="minorHAnsi"/>
                <w:sz w:val="18"/>
                <w:lang w:val="sq-AL"/>
              </w:rPr>
              <w:t>Planifikimi, Menaxhimi dhe Administrimi</w:t>
            </w:r>
          </w:p>
        </w:tc>
        <w:tc>
          <w:tcPr>
            <w:tcW w:w="537" w:type="pct"/>
            <w:vAlign w:val="bottom"/>
          </w:tcPr>
          <w:p w:rsidR="006308E8" w:rsidRPr="00E923F7" w:rsidRDefault="006308E8" w:rsidP="00E923F7">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21"/>
                <w:lang w:val="sq-AL"/>
              </w:rPr>
            </w:pPr>
            <w:r w:rsidRPr="00E923F7">
              <w:rPr>
                <w:rFonts w:asciiTheme="minorHAnsi" w:hAnsiTheme="minorHAnsi"/>
                <w:sz w:val="18"/>
                <w:szCs w:val="21"/>
                <w:lang w:val="sq-AL"/>
              </w:rPr>
              <w:t>1,476,946</w:t>
            </w:r>
          </w:p>
        </w:tc>
        <w:tc>
          <w:tcPr>
            <w:cnfStyle w:val="000010000000" w:firstRow="0" w:lastRow="0" w:firstColumn="0" w:lastColumn="0" w:oddVBand="1" w:evenVBand="0" w:oddHBand="0" w:evenHBand="0" w:firstRowFirstColumn="0" w:firstRowLastColumn="0" w:lastRowFirstColumn="0" w:lastRowLastColumn="0"/>
            <w:tcW w:w="502" w:type="pct"/>
            <w:vAlign w:val="bottom"/>
          </w:tcPr>
          <w:p w:rsidR="006308E8" w:rsidRPr="00E923F7" w:rsidRDefault="006308E8" w:rsidP="00E923F7">
            <w:pPr>
              <w:jc w:val="center"/>
              <w:rPr>
                <w:rFonts w:asciiTheme="minorHAnsi" w:hAnsiTheme="minorHAnsi"/>
                <w:sz w:val="18"/>
                <w:szCs w:val="21"/>
                <w:lang w:val="sq-AL"/>
              </w:rPr>
            </w:pPr>
            <w:r w:rsidRPr="00E923F7">
              <w:rPr>
                <w:rFonts w:asciiTheme="minorHAnsi" w:hAnsiTheme="minorHAnsi"/>
                <w:sz w:val="18"/>
                <w:szCs w:val="21"/>
                <w:lang w:val="sq-AL"/>
              </w:rPr>
              <w:t>204,128</w:t>
            </w:r>
          </w:p>
        </w:tc>
        <w:tc>
          <w:tcPr>
            <w:tcW w:w="577" w:type="pct"/>
            <w:gridSpan w:val="2"/>
            <w:vAlign w:val="bottom"/>
          </w:tcPr>
          <w:p w:rsidR="006308E8" w:rsidRPr="00E923F7" w:rsidRDefault="006308E8" w:rsidP="00E923F7">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21"/>
                <w:lang w:val="sq-AL"/>
              </w:rPr>
            </w:pPr>
            <w:r w:rsidRPr="00E923F7">
              <w:rPr>
                <w:rFonts w:asciiTheme="minorHAnsi" w:hAnsiTheme="minorHAnsi"/>
                <w:sz w:val="18"/>
                <w:szCs w:val="21"/>
                <w:lang w:val="sq-AL"/>
              </w:rPr>
              <w:t>266,717</w:t>
            </w:r>
          </w:p>
        </w:tc>
        <w:tc>
          <w:tcPr>
            <w:cnfStyle w:val="000010000000" w:firstRow="0" w:lastRow="0" w:firstColumn="0" w:lastColumn="0" w:oddVBand="1" w:evenVBand="0" w:oddHBand="0" w:evenHBand="0" w:firstRowFirstColumn="0" w:firstRowLastColumn="0" w:lastRowFirstColumn="0" w:lastRowLastColumn="0"/>
            <w:tcW w:w="576" w:type="pct"/>
            <w:vAlign w:val="bottom"/>
          </w:tcPr>
          <w:p w:rsidR="006308E8" w:rsidRPr="00E923F7" w:rsidRDefault="006308E8" w:rsidP="00E923F7">
            <w:pPr>
              <w:jc w:val="center"/>
              <w:rPr>
                <w:rFonts w:asciiTheme="minorHAnsi" w:hAnsiTheme="minorHAnsi"/>
                <w:sz w:val="18"/>
                <w:szCs w:val="21"/>
                <w:lang w:val="sq-AL"/>
              </w:rPr>
            </w:pPr>
            <w:r w:rsidRPr="00E923F7">
              <w:rPr>
                <w:rFonts w:asciiTheme="minorHAnsi" w:hAnsiTheme="minorHAnsi"/>
                <w:sz w:val="18"/>
                <w:szCs w:val="21"/>
                <w:lang w:val="sq-AL"/>
              </w:rPr>
              <w:t>522</w:t>
            </w:r>
          </w:p>
        </w:tc>
        <w:tc>
          <w:tcPr>
            <w:tcW w:w="499" w:type="pct"/>
            <w:gridSpan w:val="2"/>
            <w:vAlign w:val="bottom"/>
          </w:tcPr>
          <w:p w:rsidR="006308E8" w:rsidRPr="00E923F7" w:rsidRDefault="006308E8" w:rsidP="00E923F7">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21"/>
                <w:lang w:val="sq-AL"/>
              </w:rPr>
            </w:pPr>
            <w:r w:rsidRPr="00E923F7">
              <w:rPr>
                <w:rFonts w:asciiTheme="minorHAnsi" w:hAnsiTheme="minorHAnsi"/>
                <w:sz w:val="18"/>
                <w:szCs w:val="21"/>
                <w:lang w:val="sq-AL"/>
              </w:rPr>
              <w:t>18</w:t>
            </w:r>
          </w:p>
        </w:tc>
        <w:tc>
          <w:tcPr>
            <w:cnfStyle w:val="000100000000" w:firstRow="0" w:lastRow="0" w:firstColumn="0" w:lastColumn="1" w:oddVBand="0" w:evenVBand="0" w:oddHBand="0" w:evenHBand="0" w:firstRowFirstColumn="0" w:firstRowLastColumn="0" w:lastRowFirstColumn="0" w:lastRowLastColumn="0"/>
            <w:tcW w:w="501" w:type="pct"/>
            <w:vAlign w:val="bottom"/>
          </w:tcPr>
          <w:p w:rsidR="006308E8" w:rsidRPr="00E923F7" w:rsidRDefault="006308E8" w:rsidP="00E923F7">
            <w:pPr>
              <w:jc w:val="center"/>
              <w:rPr>
                <w:rFonts w:asciiTheme="minorHAnsi" w:hAnsiTheme="minorHAnsi"/>
                <w:b w:val="0"/>
                <w:sz w:val="18"/>
                <w:szCs w:val="21"/>
                <w:lang w:val="sq-AL"/>
              </w:rPr>
            </w:pPr>
            <w:r w:rsidRPr="00E923F7">
              <w:rPr>
                <w:rFonts w:asciiTheme="minorHAnsi" w:hAnsiTheme="minorHAnsi"/>
                <w:b w:val="0"/>
                <w:sz w:val="18"/>
                <w:szCs w:val="21"/>
                <w:lang w:val="sq-AL"/>
              </w:rPr>
              <w:t>0.3</w:t>
            </w:r>
          </w:p>
        </w:tc>
      </w:tr>
      <w:tr w:rsidR="00E923F7" w:rsidRPr="00E923F7" w:rsidTr="005556D3">
        <w:trPr>
          <w:cnfStyle w:val="000000100000" w:firstRow="0" w:lastRow="0" w:firstColumn="0" w:lastColumn="0" w:oddVBand="0" w:evenVBand="0" w:oddHBand="1" w:evenHBand="0" w:firstRowFirstColumn="0" w:firstRowLastColumn="0" w:lastRowFirstColumn="0" w:lastRowLastColumn="0"/>
          <w:trHeight w:val="189"/>
          <w:jc w:val="center"/>
        </w:trPr>
        <w:tc>
          <w:tcPr>
            <w:cnfStyle w:val="001000000000" w:firstRow="0" w:lastRow="0" w:firstColumn="1" w:lastColumn="0" w:oddVBand="0" w:evenVBand="0" w:oddHBand="0" w:evenHBand="0" w:firstRowFirstColumn="0" w:firstRowLastColumn="0" w:lastRowFirstColumn="0" w:lastRowLastColumn="0"/>
            <w:tcW w:w="248" w:type="pct"/>
          </w:tcPr>
          <w:p w:rsidR="006308E8" w:rsidRPr="00E923F7" w:rsidRDefault="006308E8" w:rsidP="00E923F7">
            <w:pPr>
              <w:jc w:val="center"/>
              <w:rPr>
                <w:rFonts w:asciiTheme="minorHAnsi" w:hAnsiTheme="minorHAnsi"/>
                <w:sz w:val="18"/>
                <w:lang w:val="sq-AL"/>
              </w:rPr>
            </w:pPr>
            <w:r w:rsidRPr="00E923F7">
              <w:rPr>
                <w:rFonts w:asciiTheme="minorHAnsi" w:hAnsiTheme="minorHAnsi"/>
                <w:sz w:val="18"/>
                <w:lang w:val="sq-AL"/>
              </w:rPr>
              <w:t>2</w:t>
            </w:r>
          </w:p>
        </w:tc>
        <w:tc>
          <w:tcPr>
            <w:cnfStyle w:val="000010000000" w:firstRow="0" w:lastRow="0" w:firstColumn="0" w:lastColumn="0" w:oddVBand="1" w:evenVBand="0" w:oddHBand="0" w:evenHBand="0" w:firstRowFirstColumn="0" w:firstRowLastColumn="0" w:lastRowFirstColumn="0" w:lastRowLastColumn="0"/>
            <w:tcW w:w="1560" w:type="pct"/>
            <w:gridSpan w:val="2"/>
            <w:vAlign w:val="bottom"/>
          </w:tcPr>
          <w:p w:rsidR="006308E8" w:rsidRPr="00E923F7" w:rsidRDefault="006308E8" w:rsidP="00E923F7">
            <w:pPr>
              <w:jc w:val="center"/>
              <w:rPr>
                <w:rFonts w:asciiTheme="minorHAnsi" w:hAnsiTheme="minorHAnsi"/>
                <w:sz w:val="18"/>
                <w:lang w:val="sq-AL"/>
              </w:rPr>
            </w:pPr>
            <w:r w:rsidRPr="00E923F7">
              <w:rPr>
                <w:rFonts w:asciiTheme="minorHAnsi" w:hAnsiTheme="minorHAnsi"/>
                <w:sz w:val="18"/>
                <w:lang w:val="sq-AL"/>
              </w:rPr>
              <w:t>Shërbime të Kujdesit Shëndetësor Parësor</w:t>
            </w:r>
          </w:p>
        </w:tc>
        <w:tc>
          <w:tcPr>
            <w:tcW w:w="537" w:type="pct"/>
            <w:vAlign w:val="bottom"/>
          </w:tcPr>
          <w:p w:rsidR="006308E8" w:rsidRPr="00E923F7" w:rsidRDefault="006308E8" w:rsidP="00E923F7">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21"/>
                <w:lang w:val="sq-AL"/>
              </w:rPr>
            </w:pPr>
            <w:r w:rsidRPr="00E923F7">
              <w:rPr>
                <w:rFonts w:asciiTheme="minorHAnsi" w:hAnsiTheme="minorHAnsi"/>
                <w:sz w:val="18"/>
                <w:szCs w:val="21"/>
                <w:lang w:val="sq-AL"/>
              </w:rPr>
              <w:t>7,187,122</w:t>
            </w:r>
          </w:p>
        </w:tc>
        <w:tc>
          <w:tcPr>
            <w:cnfStyle w:val="000010000000" w:firstRow="0" w:lastRow="0" w:firstColumn="0" w:lastColumn="0" w:oddVBand="1" w:evenVBand="0" w:oddHBand="0" w:evenHBand="0" w:firstRowFirstColumn="0" w:firstRowLastColumn="0" w:lastRowFirstColumn="0" w:lastRowLastColumn="0"/>
            <w:tcW w:w="502" w:type="pct"/>
            <w:vAlign w:val="bottom"/>
          </w:tcPr>
          <w:p w:rsidR="006308E8" w:rsidRPr="00E923F7" w:rsidRDefault="006308E8" w:rsidP="00E923F7">
            <w:pPr>
              <w:jc w:val="center"/>
              <w:rPr>
                <w:rFonts w:asciiTheme="minorHAnsi" w:hAnsiTheme="minorHAnsi"/>
                <w:sz w:val="18"/>
                <w:szCs w:val="21"/>
                <w:lang w:val="sq-AL"/>
              </w:rPr>
            </w:pPr>
            <w:r w:rsidRPr="00E923F7">
              <w:rPr>
                <w:rFonts w:asciiTheme="minorHAnsi" w:hAnsiTheme="minorHAnsi"/>
                <w:sz w:val="18"/>
                <w:szCs w:val="21"/>
                <w:lang w:val="sq-AL"/>
              </w:rPr>
              <w:t>526,276</w:t>
            </w:r>
          </w:p>
        </w:tc>
        <w:tc>
          <w:tcPr>
            <w:tcW w:w="577" w:type="pct"/>
            <w:gridSpan w:val="2"/>
            <w:vAlign w:val="bottom"/>
          </w:tcPr>
          <w:p w:rsidR="006308E8" w:rsidRPr="00E923F7" w:rsidRDefault="006308E8" w:rsidP="00E923F7">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21"/>
                <w:lang w:val="sq-AL"/>
              </w:rPr>
            </w:pPr>
            <w:r w:rsidRPr="00E923F7">
              <w:rPr>
                <w:rFonts w:asciiTheme="minorHAnsi" w:hAnsiTheme="minorHAnsi"/>
                <w:sz w:val="18"/>
                <w:szCs w:val="21"/>
                <w:lang w:val="sq-AL"/>
              </w:rPr>
              <w:t>2,887,713</w:t>
            </w:r>
          </w:p>
        </w:tc>
        <w:tc>
          <w:tcPr>
            <w:cnfStyle w:val="000010000000" w:firstRow="0" w:lastRow="0" w:firstColumn="0" w:lastColumn="0" w:oddVBand="1" w:evenVBand="0" w:oddHBand="0" w:evenHBand="0" w:firstRowFirstColumn="0" w:firstRowLastColumn="0" w:lastRowFirstColumn="0" w:lastRowLastColumn="0"/>
            <w:tcW w:w="576" w:type="pct"/>
            <w:vAlign w:val="bottom"/>
          </w:tcPr>
          <w:p w:rsidR="006308E8" w:rsidRPr="00E923F7" w:rsidRDefault="006308E8" w:rsidP="00E923F7">
            <w:pPr>
              <w:jc w:val="center"/>
              <w:rPr>
                <w:rFonts w:asciiTheme="minorHAnsi" w:hAnsiTheme="minorHAnsi"/>
                <w:sz w:val="18"/>
                <w:szCs w:val="21"/>
                <w:lang w:val="sq-AL"/>
              </w:rPr>
            </w:pPr>
            <w:r w:rsidRPr="00E923F7">
              <w:rPr>
                <w:rFonts w:asciiTheme="minorHAnsi" w:hAnsiTheme="minorHAnsi"/>
                <w:sz w:val="18"/>
                <w:szCs w:val="21"/>
                <w:lang w:val="sq-AL"/>
              </w:rPr>
              <w:t>20,327</w:t>
            </w:r>
          </w:p>
        </w:tc>
        <w:tc>
          <w:tcPr>
            <w:tcW w:w="499" w:type="pct"/>
            <w:gridSpan w:val="2"/>
            <w:vAlign w:val="bottom"/>
          </w:tcPr>
          <w:p w:rsidR="006308E8" w:rsidRPr="00E923F7" w:rsidRDefault="006308E8" w:rsidP="00E923F7">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21"/>
                <w:lang w:val="sq-AL"/>
              </w:rPr>
            </w:pPr>
            <w:r w:rsidRPr="00E923F7">
              <w:rPr>
                <w:rFonts w:asciiTheme="minorHAnsi" w:hAnsiTheme="minorHAnsi"/>
                <w:sz w:val="18"/>
                <w:szCs w:val="21"/>
                <w:lang w:val="sq-AL"/>
              </w:rPr>
              <w:t>40</w:t>
            </w:r>
          </w:p>
        </w:tc>
        <w:tc>
          <w:tcPr>
            <w:cnfStyle w:val="000100000000" w:firstRow="0" w:lastRow="0" w:firstColumn="0" w:lastColumn="1" w:oddVBand="0" w:evenVBand="0" w:oddHBand="0" w:evenHBand="0" w:firstRowFirstColumn="0" w:firstRowLastColumn="0" w:lastRowFirstColumn="0" w:lastRowLastColumn="0"/>
            <w:tcW w:w="501" w:type="pct"/>
            <w:vAlign w:val="bottom"/>
          </w:tcPr>
          <w:p w:rsidR="006308E8" w:rsidRPr="00E923F7" w:rsidRDefault="006308E8" w:rsidP="00E923F7">
            <w:pPr>
              <w:jc w:val="center"/>
              <w:rPr>
                <w:rFonts w:asciiTheme="minorHAnsi" w:hAnsiTheme="minorHAnsi"/>
                <w:b w:val="0"/>
                <w:sz w:val="18"/>
                <w:szCs w:val="21"/>
                <w:lang w:val="sq-AL"/>
              </w:rPr>
            </w:pPr>
            <w:r w:rsidRPr="00E923F7">
              <w:rPr>
                <w:rFonts w:asciiTheme="minorHAnsi" w:hAnsiTheme="minorHAnsi"/>
                <w:b w:val="0"/>
                <w:sz w:val="18"/>
                <w:szCs w:val="21"/>
                <w:lang w:val="sq-AL"/>
              </w:rPr>
              <w:t>5</w:t>
            </w:r>
          </w:p>
        </w:tc>
      </w:tr>
      <w:tr w:rsidR="00E923F7" w:rsidRPr="00E923F7" w:rsidTr="005556D3">
        <w:trPr>
          <w:trHeight w:val="171"/>
          <w:jc w:val="center"/>
        </w:trPr>
        <w:tc>
          <w:tcPr>
            <w:cnfStyle w:val="001000000000" w:firstRow="0" w:lastRow="0" w:firstColumn="1" w:lastColumn="0" w:oddVBand="0" w:evenVBand="0" w:oddHBand="0" w:evenHBand="0" w:firstRowFirstColumn="0" w:firstRowLastColumn="0" w:lastRowFirstColumn="0" w:lastRowLastColumn="0"/>
            <w:tcW w:w="248" w:type="pct"/>
          </w:tcPr>
          <w:p w:rsidR="006308E8" w:rsidRPr="00E923F7" w:rsidRDefault="006308E8" w:rsidP="00E923F7">
            <w:pPr>
              <w:jc w:val="center"/>
              <w:rPr>
                <w:rFonts w:asciiTheme="minorHAnsi" w:hAnsiTheme="minorHAnsi"/>
                <w:sz w:val="18"/>
                <w:lang w:val="sq-AL"/>
              </w:rPr>
            </w:pPr>
          </w:p>
        </w:tc>
        <w:tc>
          <w:tcPr>
            <w:cnfStyle w:val="000010000000" w:firstRow="0" w:lastRow="0" w:firstColumn="0" w:lastColumn="0" w:oddVBand="1" w:evenVBand="0" w:oddHBand="0" w:evenHBand="0" w:firstRowFirstColumn="0" w:firstRowLastColumn="0" w:lastRowFirstColumn="0" w:lastRowLastColumn="0"/>
            <w:tcW w:w="1560" w:type="pct"/>
            <w:gridSpan w:val="2"/>
            <w:vAlign w:val="bottom"/>
          </w:tcPr>
          <w:p w:rsidR="006308E8" w:rsidRPr="00E923F7" w:rsidRDefault="006308E8" w:rsidP="00E923F7">
            <w:pPr>
              <w:ind w:left="60"/>
              <w:contextualSpacing/>
              <w:jc w:val="center"/>
              <w:rPr>
                <w:rFonts w:asciiTheme="minorHAnsi" w:hAnsiTheme="minorHAnsi"/>
                <w:sz w:val="18"/>
                <w:lang w:val="sq-AL"/>
              </w:rPr>
            </w:pPr>
            <w:r w:rsidRPr="00E923F7">
              <w:rPr>
                <w:rFonts w:asciiTheme="minorHAnsi" w:hAnsiTheme="minorHAnsi"/>
                <w:sz w:val="18"/>
                <w:lang w:val="sq-AL"/>
              </w:rPr>
              <w:t>Financimi i huaj</w:t>
            </w:r>
          </w:p>
        </w:tc>
        <w:tc>
          <w:tcPr>
            <w:tcW w:w="537" w:type="pct"/>
            <w:vAlign w:val="bottom"/>
          </w:tcPr>
          <w:p w:rsidR="006308E8" w:rsidRPr="00E923F7" w:rsidRDefault="006308E8" w:rsidP="00E923F7">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21"/>
                <w:lang w:val="sq-AL"/>
              </w:rPr>
            </w:pPr>
          </w:p>
        </w:tc>
        <w:tc>
          <w:tcPr>
            <w:cnfStyle w:val="000010000000" w:firstRow="0" w:lastRow="0" w:firstColumn="0" w:lastColumn="0" w:oddVBand="1" w:evenVBand="0" w:oddHBand="0" w:evenHBand="0" w:firstRowFirstColumn="0" w:firstRowLastColumn="0" w:lastRowFirstColumn="0" w:lastRowLastColumn="0"/>
            <w:tcW w:w="502" w:type="pct"/>
            <w:vAlign w:val="bottom"/>
          </w:tcPr>
          <w:p w:rsidR="006308E8" w:rsidRPr="00E923F7" w:rsidRDefault="006308E8" w:rsidP="00E923F7">
            <w:pPr>
              <w:jc w:val="center"/>
              <w:rPr>
                <w:rFonts w:asciiTheme="minorHAnsi" w:hAnsiTheme="minorHAnsi"/>
                <w:sz w:val="18"/>
                <w:szCs w:val="21"/>
                <w:lang w:val="sq-AL"/>
              </w:rPr>
            </w:pPr>
            <w:r w:rsidRPr="00E923F7">
              <w:rPr>
                <w:rFonts w:asciiTheme="minorHAnsi" w:hAnsiTheme="minorHAnsi"/>
                <w:sz w:val="18"/>
                <w:szCs w:val="21"/>
                <w:lang w:val="sq-AL"/>
              </w:rPr>
              <w:t>158,000</w:t>
            </w:r>
          </w:p>
        </w:tc>
        <w:tc>
          <w:tcPr>
            <w:tcW w:w="577" w:type="pct"/>
            <w:gridSpan w:val="2"/>
            <w:vAlign w:val="bottom"/>
          </w:tcPr>
          <w:p w:rsidR="006308E8" w:rsidRPr="00E923F7" w:rsidRDefault="006308E8" w:rsidP="00E923F7">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21"/>
                <w:lang w:val="sq-AL"/>
              </w:rPr>
            </w:pPr>
          </w:p>
        </w:tc>
        <w:tc>
          <w:tcPr>
            <w:cnfStyle w:val="000010000000" w:firstRow="0" w:lastRow="0" w:firstColumn="0" w:lastColumn="0" w:oddVBand="1" w:evenVBand="0" w:oddHBand="0" w:evenHBand="0" w:firstRowFirstColumn="0" w:firstRowLastColumn="0" w:lastRowFirstColumn="0" w:lastRowLastColumn="0"/>
            <w:tcW w:w="576" w:type="pct"/>
            <w:vAlign w:val="bottom"/>
          </w:tcPr>
          <w:p w:rsidR="006308E8" w:rsidRPr="00E923F7" w:rsidRDefault="006308E8" w:rsidP="00E923F7">
            <w:pPr>
              <w:jc w:val="center"/>
              <w:rPr>
                <w:rFonts w:asciiTheme="minorHAnsi" w:hAnsiTheme="minorHAnsi"/>
                <w:sz w:val="18"/>
                <w:szCs w:val="21"/>
                <w:lang w:val="sq-AL"/>
              </w:rPr>
            </w:pPr>
            <w:r w:rsidRPr="00E923F7">
              <w:rPr>
                <w:rFonts w:asciiTheme="minorHAnsi" w:hAnsiTheme="minorHAnsi"/>
                <w:sz w:val="18"/>
                <w:szCs w:val="21"/>
                <w:lang w:val="sq-AL"/>
              </w:rPr>
              <w:t>21,397</w:t>
            </w:r>
          </w:p>
        </w:tc>
        <w:tc>
          <w:tcPr>
            <w:tcW w:w="499" w:type="pct"/>
            <w:gridSpan w:val="2"/>
            <w:vAlign w:val="bottom"/>
          </w:tcPr>
          <w:p w:rsidR="006308E8" w:rsidRPr="00E923F7" w:rsidRDefault="006308E8" w:rsidP="00E923F7">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21"/>
                <w:lang w:val="sq-AL"/>
              </w:rPr>
            </w:pPr>
          </w:p>
        </w:tc>
        <w:tc>
          <w:tcPr>
            <w:cnfStyle w:val="000100000000" w:firstRow="0" w:lastRow="0" w:firstColumn="0" w:lastColumn="1" w:oddVBand="0" w:evenVBand="0" w:oddHBand="0" w:evenHBand="0" w:firstRowFirstColumn="0" w:firstRowLastColumn="0" w:lastRowFirstColumn="0" w:lastRowLastColumn="0"/>
            <w:tcW w:w="501" w:type="pct"/>
            <w:vAlign w:val="bottom"/>
          </w:tcPr>
          <w:p w:rsidR="006308E8" w:rsidRPr="00E923F7" w:rsidRDefault="006308E8" w:rsidP="00E923F7">
            <w:pPr>
              <w:jc w:val="center"/>
              <w:rPr>
                <w:rFonts w:asciiTheme="minorHAnsi" w:hAnsiTheme="minorHAnsi"/>
                <w:b w:val="0"/>
                <w:sz w:val="18"/>
                <w:szCs w:val="21"/>
                <w:lang w:val="sq-AL"/>
              </w:rPr>
            </w:pPr>
            <w:r w:rsidRPr="00E923F7">
              <w:rPr>
                <w:rFonts w:asciiTheme="minorHAnsi" w:hAnsiTheme="minorHAnsi"/>
                <w:b w:val="0"/>
                <w:sz w:val="18"/>
                <w:szCs w:val="21"/>
                <w:lang w:val="sq-AL"/>
              </w:rPr>
              <w:t>14</w:t>
            </w:r>
          </w:p>
        </w:tc>
      </w:tr>
      <w:tr w:rsidR="00E923F7" w:rsidRPr="00E923F7" w:rsidTr="005556D3">
        <w:trPr>
          <w:cnfStyle w:val="000000100000" w:firstRow="0" w:lastRow="0" w:firstColumn="0" w:lastColumn="0" w:oddVBand="0" w:evenVBand="0" w:oddHBand="1" w:evenHBand="0" w:firstRowFirstColumn="0" w:firstRowLastColumn="0" w:lastRowFirstColumn="0" w:lastRowLastColumn="0"/>
          <w:trHeight w:val="129"/>
          <w:jc w:val="center"/>
        </w:trPr>
        <w:tc>
          <w:tcPr>
            <w:cnfStyle w:val="001000000000" w:firstRow="0" w:lastRow="0" w:firstColumn="1" w:lastColumn="0" w:oddVBand="0" w:evenVBand="0" w:oddHBand="0" w:evenHBand="0" w:firstRowFirstColumn="0" w:firstRowLastColumn="0" w:lastRowFirstColumn="0" w:lastRowLastColumn="0"/>
            <w:tcW w:w="248" w:type="pct"/>
          </w:tcPr>
          <w:p w:rsidR="006308E8" w:rsidRPr="00E923F7" w:rsidRDefault="006308E8" w:rsidP="00E923F7">
            <w:pPr>
              <w:jc w:val="center"/>
              <w:rPr>
                <w:rFonts w:asciiTheme="minorHAnsi" w:hAnsiTheme="minorHAnsi"/>
                <w:sz w:val="18"/>
                <w:lang w:val="sq-AL"/>
              </w:rPr>
            </w:pPr>
            <w:r w:rsidRPr="00E923F7">
              <w:rPr>
                <w:rFonts w:asciiTheme="minorHAnsi" w:hAnsiTheme="minorHAnsi"/>
                <w:sz w:val="18"/>
                <w:lang w:val="sq-AL"/>
              </w:rPr>
              <w:t>3.</w:t>
            </w:r>
          </w:p>
        </w:tc>
        <w:tc>
          <w:tcPr>
            <w:cnfStyle w:val="000010000000" w:firstRow="0" w:lastRow="0" w:firstColumn="0" w:lastColumn="0" w:oddVBand="1" w:evenVBand="0" w:oddHBand="0" w:evenHBand="0" w:firstRowFirstColumn="0" w:firstRowLastColumn="0" w:lastRowFirstColumn="0" w:lastRowLastColumn="0"/>
            <w:tcW w:w="1560" w:type="pct"/>
            <w:gridSpan w:val="2"/>
            <w:vAlign w:val="bottom"/>
          </w:tcPr>
          <w:p w:rsidR="006308E8" w:rsidRPr="00E923F7" w:rsidRDefault="006308E8" w:rsidP="00E923F7">
            <w:pPr>
              <w:jc w:val="center"/>
              <w:rPr>
                <w:rFonts w:asciiTheme="minorHAnsi" w:hAnsiTheme="minorHAnsi"/>
                <w:sz w:val="18"/>
                <w:lang w:val="sq-AL"/>
              </w:rPr>
            </w:pPr>
            <w:r w:rsidRPr="00E923F7">
              <w:rPr>
                <w:rFonts w:asciiTheme="minorHAnsi" w:hAnsiTheme="minorHAnsi"/>
                <w:sz w:val="18"/>
                <w:lang w:val="sq-AL"/>
              </w:rPr>
              <w:t>Shërbime të Kujdesit Shëndetësor Dytësor</w:t>
            </w:r>
          </w:p>
        </w:tc>
        <w:tc>
          <w:tcPr>
            <w:tcW w:w="537" w:type="pct"/>
            <w:vAlign w:val="bottom"/>
          </w:tcPr>
          <w:p w:rsidR="006308E8" w:rsidRPr="00E923F7" w:rsidRDefault="006308E8" w:rsidP="00E923F7">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21"/>
                <w:lang w:val="sq-AL"/>
              </w:rPr>
            </w:pPr>
            <w:r w:rsidRPr="00E923F7">
              <w:rPr>
                <w:rFonts w:asciiTheme="minorHAnsi" w:hAnsiTheme="minorHAnsi"/>
                <w:sz w:val="18"/>
                <w:szCs w:val="21"/>
                <w:lang w:val="sq-AL"/>
              </w:rPr>
              <w:t>23,353,627</w:t>
            </w:r>
          </w:p>
        </w:tc>
        <w:tc>
          <w:tcPr>
            <w:cnfStyle w:val="000010000000" w:firstRow="0" w:lastRow="0" w:firstColumn="0" w:lastColumn="0" w:oddVBand="1" w:evenVBand="0" w:oddHBand="0" w:evenHBand="0" w:firstRowFirstColumn="0" w:firstRowLastColumn="0" w:lastRowFirstColumn="0" w:lastRowLastColumn="0"/>
            <w:tcW w:w="502" w:type="pct"/>
            <w:vAlign w:val="bottom"/>
          </w:tcPr>
          <w:p w:rsidR="006308E8" w:rsidRPr="00E923F7" w:rsidRDefault="006308E8" w:rsidP="00E923F7">
            <w:pPr>
              <w:jc w:val="center"/>
              <w:rPr>
                <w:rFonts w:asciiTheme="minorHAnsi" w:hAnsiTheme="minorHAnsi"/>
                <w:sz w:val="18"/>
                <w:szCs w:val="21"/>
                <w:lang w:val="sq-AL"/>
              </w:rPr>
            </w:pPr>
            <w:r w:rsidRPr="00E923F7">
              <w:rPr>
                <w:rFonts w:asciiTheme="minorHAnsi" w:hAnsiTheme="minorHAnsi"/>
                <w:sz w:val="18"/>
                <w:szCs w:val="21"/>
                <w:lang w:val="sq-AL"/>
              </w:rPr>
              <w:t>1,306,014</w:t>
            </w:r>
          </w:p>
        </w:tc>
        <w:tc>
          <w:tcPr>
            <w:tcW w:w="577" w:type="pct"/>
            <w:gridSpan w:val="2"/>
            <w:vAlign w:val="bottom"/>
          </w:tcPr>
          <w:p w:rsidR="006308E8" w:rsidRPr="00E923F7" w:rsidRDefault="006308E8" w:rsidP="00E923F7">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21"/>
                <w:lang w:val="sq-AL"/>
              </w:rPr>
            </w:pPr>
            <w:r w:rsidRPr="00E923F7">
              <w:rPr>
                <w:rFonts w:asciiTheme="minorHAnsi" w:hAnsiTheme="minorHAnsi"/>
                <w:sz w:val="18"/>
                <w:szCs w:val="21"/>
                <w:lang w:val="sq-AL"/>
              </w:rPr>
              <w:t>6,810,710</w:t>
            </w:r>
          </w:p>
        </w:tc>
        <w:tc>
          <w:tcPr>
            <w:cnfStyle w:val="000010000000" w:firstRow="0" w:lastRow="0" w:firstColumn="0" w:lastColumn="0" w:oddVBand="1" w:evenVBand="0" w:oddHBand="0" w:evenHBand="0" w:firstRowFirstColumn="0" w:firstRowLastColumn="0" w:lastRowFirstColumn="0" w:lastRowLastColumn="0"/>
            <w:tcW w:w="576" w:type="pct"/>
            <w:vAlign w:val="bottom"/>
          </w:tcPr>
          <w:p w:rsidR="006308E8" w:rsidRPr="00E923F7" w:rsidRDefault="006308E8" w:rsidP="00E923F7">
            <w:pPr>
              <w:jc w:val="center"/>
              <w:rPr>
                <w:rFonts w:asciiTheme="minorHAnsi" w:hAnsiTheme="minorHAnsi"/>
                <w:sz w:val="18"/>
                <w:szCs w:val="21"/>
                <w:lang w:val="sq-AL"/>
              </w:rPr>
            </w:pPr>
            <w:r w:rsidRPr="00E923F7">
              <w:rPr>
                <w:rFonts w:asciiTheme="minorHAnsi" w:hAnsiTheme="minorHAnsi"/>
                <w:sz w:val="18"/>
                <w:szCs w:val="21"/>
                <w:lang w:val="sq-AL"/>
              </w:rPr>
              <w:t>189,692</w:t>
            </w:r>
          </w:p>
        </w:tc>
        <w:tc>
          <w:tcPr>
            <w:tcW w:w="499" w:type="pct"/>
            <w:gridSpan w:val="2"/>
            <w:vAlign w:val="bottom"/>
          </w:tcPr>
          <w:p w:rsidR="006308E8" w:rsidRPr="00E923F7" w:rsidRDefault="006308E8" w:rsidP="00E923F7">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21"/>
                <w:lang w:val="sq-AL"/>
              </w:rPr>
            </w:pPr>
            <w:r w:rsidRPr="00E923F7">
              <w:rPr>
                <w:rFonts w:asciiTheme="minorHAnsi" w:hAnsiTheme="minorHAnsi"/>
                <w:sz w:val="18"/>
                <w:szCs w:val="21"/>
                <w:lang w:val="sq-AL"/>
              </w:rPr>
              <w:t>29</w:t>
            </w:r>
          </w:p>
        </w:tc>
        <w:tc>
          <w:tcPr>
            <w:cnfStyle w:val="000100000000" w:firstRow="0" w:lastRow="0" w:firstColumn="0" w:lastColumn="1" w:oddVBand="0" w:evenVBand="0" w:oddHBand="0" w:evenHBand="0" w:firstRowFirstColumn="0" w:firstRowLastColumn="0" w:lastRowFirstColumn="0" w:lastRowLastColumn="0"/>
            <w:tcW w:w="501" w:type="pct"/>
            <w:vAlign w:val="bottom"/>
          </w:tcPr>
          <w:p w:rsidR="006308E8" w:rsidRPr="00E923F7" w:rsidRDefault="006308E8" w:rsidP="00E923F7">
            <w:pPr>
              <w:jc w:val="center"/>
              <w:rPr>
                <w:rFonts w:asciiTheme="minorHAnsi" w:hAnsiTheme="minorHAnsi"/>
                <w:b w:val="0"/>
                <w:sz w:val="18"/>
                <w:szCs w:val="21"/>
                <w:lang w:val="sq-AL"/>
              </w:rPr>
            </w:pPr>
            <w:r w:rsidRPr="00E923F7">
              <w:rPr>
                <w:rFonts w:asciiTheme="minorHAnsi" w:hAnsiTheme="minorHAnsi"/>
                <w:b w:val="0"/>
                <w:sz w:val="18"/>
                <w:szCs w:val="21"/>
                <w:lang w:val="sq-AL"/>
              </w:rPr>
              <w:t>15</w:t>
            </w:r>
          </w:p>
        </w:tc>
      </w:tr>
      <w:tr w:rsidR="00E923F7" w:rsidRPr="00E923F7" w:rsidTr="005556D3">
        <w:trPr>
          <w:trHeight w:val="129"/>
          <w:jc w:val="center"/>
        </w:trPr>
        <w:tc>
          <w:tcPr>
            <w:cnfStyle w:val="001000000000" w:firstRow="0" w:lastRow="0" w:firstColumn="1" w:lastColumn="0" w:oddVBand="0" w:evenVBand="0" w:oddHBand="0" w:evenHBand="0" w:firstRowFirstColumn="0" w:firstRowLastColumn="0" w:lastRowFirstColumn="0" w:lastRowLastColumn="0"/>
            <w:tcW w:w="248" w:type="pct"/>
          </w:tcPr>
          <w:p w:rsidR="006308E8" w:rsidRPr="00E923F7" w:rsidRDefault="006308E8" w:rsidP="00E923F7">
            <w:pPr>
              <w:jc w:val="center"/>
              <w:rPr>
                <w:rFonts w:asciiTheme="minorHAnsi" w:hAnsiTheme="minorHAnsi"/>
                <w:sz w:val="18"/>
                <w:lang w:val="sq-AL"/>
              </w:rPr>
            </w:pPr>
          </w:p>
        </w:tc>
        <w:tc>
          <w:tcPr>
            <w:cnfStyle w:val="000010000000" w:firstRow="0" w:lastRow="0" w:firstColumn="0" w:lastColumn="0" w:oddVBand="1" w:evenVBand="0" w:oddHBand="0" w:evenHBand="0" w:firstRowFirstColumn="0" w:firstRowLastColumn="0" w:lastRowFirstColumn="0" w:lastRowLastColumn="0"/>
            <w:tcW w:w="1560" w:type="pct"/>
            <w:gridSpan w:val="2"/>
            <w:vAlign w:val="bottom"/>
          </w:tcPr>
          <w:p w:rsidR="006308E8" w:rsidRPr="00E923F7" w:rsidRDefault="006308E8" w:rsidP="00E923F7">
            <w:pPr>
              <w:jc w:val="center"/>
              <w:rPr>
                <w:rFonts w:asciiTheme="minorHAnsi" w:hAnsiTheme="minorHAnsi"/>
                <w:sz w:val="18"/>
                <w:lang w:val="sq-AL"/>
              </w:rPr>
            </w:pPr>
            <w:r w:rsidRPr="00E923F7">
              <w:rPr>
                <w:rFonts w:asciiTheme="minorHAnsi" w:hAnsiTheme="minorHAnsi"/>
                <w:sz w:val="18"/>
                <w:lang w:val="sq-AL"/>
              </w:rPr>
              <w:t>Financimi i huaj</w:t>
            </w:r>
          </w:p>
        </w:tc>
        <w:tc>
          <w:tcPr>
            <w:tcW w:w="537" w:type="pct"/>
            <w:vAlign w:val="bottom"/>
          </w:tcPr>
          <w:p w:rsidR="006308E8" w:rsidRPr="00E923F7" w:rsidRDefault="006308E8" w:rsidP="00E923F7">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sz w:val="18"/>
                <w:lang w:val="sq-AL"/>
              </w:rPr>
            </w:pPr>
          </w:p>
        </w:tc>
        <w:tc>
          <w:tcPr>
            <w:cnfStyle w:val="000010000000" w:firstRow="0" w:lastRow="0" w:firstColumn="0" w:lastColumn="0" w:oddVBand="1" w:evenVBand="0" w:oddHBand="0" w:evenHBand="0" w:firstRowFirstColumn="0" w:firstRowLastColumn="0" w:lastRowFirstColumn="0" w:lastRowLastColumn="0"/>
            <w:tcW w:w="502" w:type="pct"/>
            <w:vAlign w:val="bottom"/>
          </w:tcPr>
          <w:p w:rsidR="006308E8" w:rsidRPr="00E923F7" w:rsidRDefault="006308E8" w:rsidP="00E923F7">
            <w:pPr>
              <w:jc w:val="center"/>
              <w:rPr>
                <w:rFonts w:asciiTheme="minorHAnsi" w:hAnsiTheme="minorHAnsi"/>
                <w:sz w:val="18"/>
                <w:szCs w:val="21"/>
                <w:lang w:val="sq-AL"/>
              </w:rPr>
            </w:pPr>
            <w:r w:rsidRPr="00E923F7">
              <w:rPr>
                <w:rFonts w:asciiTheme="minorHAnsi" w:hAnsiTheme="minorHAnsi"/>
                <w:sz w:val="18"/>
                <w:szCs w:val="21"/>
                <w:lang w:val="sq-AL"/>
              </w:rPr>
              <w:t>852,000</w:t>
            </w:r>
          </w:p>
        </w:tc>
        <w:tc>
          <w:tcPr>
            <w:tcW w:w="577" w:type="pct"/>
            <w:gridSpan w:val="2"/>
            <w:vAlign w:val="bottom"/>
          </w:tcPr>
          <w:p w:rsidR="006308E8" w:rsidRPr="00E923F7" w:rsidRDefault="006308E8" w:rsidP="00E923F7">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21"/>
                <w:lang w:val="sq-AL"/>
              </w:rPr>
            </w:pPr>
          </w:p>
        </w:tc>
        <w:tc>
          <w:tcPr>
            <w:cnfStyle w:val="000010000000" w:firstRow="0" w:lastRow="0" w:firstColumn="0" w:lastColumn="0" w:oddVBand="1" w:evenVBand="0" w:oddHBand="0" w:evenHBand="0" w:firstRowFirstColumn="0" w:firstRowLastColumn="0" w:lastRowFirstColumn="0" w:lastRowLastColumn="0"/>
            <w:tcW w:w="576" w:type="pct"/>
            <w:vAlign w:val="bottom"/>
          </w:tcPr>
          <w:p w:rsidR="006308E8" w:rsidRPr="00E923F7" w:rsidRDefault="006308E8" w:rsidP="00E923F7">
            <w:pPr>
              <w:jc w:val="center"/>
              <w:rPr>
                <w:rFonts w:asciiTheme="minorHAnsi" w:hAnsiTheme="minorHAnsi"/>
                <w:sz w:val="18"/>
                <w:szCs w:val="21"/>
                <w:lang w:val="sq-AL"/>
              </w:rPr>
            </w:pPr>
            <w:r w:rsidRPr="00E923F7">
              <w:rPr>
                <w:rFonts w:asciiTheme="minorHAnsi" w:hAnsiTheme="minorHAnsi"/>
                <w:sz w:val="18"/>
                <w:szCs w:val="21"/>
                <w:lang w:val="sq-AL"/>
              </w:rPr>
              <w:t>142,554</w:t>
            </w:r>
          </w:p>
        </w:tc>
        <w:tc>
          <w:tcPr>
            <w:tcW w:w="499" w:type="pct"/>
            <w:gridSpan w:val="2"/>
            <w:vAlign w:val="bottom"/>
          </w:tcPr>
          <w:p w:rsidR="006308E8" w:rsidRPr="00E923F7" w:rsidRDefault="006308E8" w:rsidP="00E923F7">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21"/>
                <w:lang w:val="sq-AL"/>
              </w:rPr>
            </w:pPr>
          </w:p>
        </w:tc>
        <w:tc>
          <w:tcPr>
            <w:cnfStyle w:val="000100000000" w:firstRow="0" w:lastRow="0" w:firstColumn="0" w:lastColumn="1" w:oddVBand="0" w:evenVBand="0" w:oddHBand="0" w:evenHBand="0" w:firstRowFirstColumn="0" w:firstRowLastColumn="0" w:lastRowFirstColumn="0" w:lastRowLastColumn="0"/>
            <w:tcW w:w="501" w:type="pct"/>
            <w:vAlign w:val="bottom"/>
          </w:tcPr>
          <w:p w:rsidR="006308E8" w:rsidRPr="00E923F7" w:rsidRDefault="006308E8" w:rsidP="00E923F7">
            <w:pPr>
              <w:jc w:val="center"/>
              <w:rPr>
                <w:rFonts w:asciiTheme="minorHAnsi" w:hAnsiTheme="minorHAnsi"/>
                <w:b w:val="0"/>
                <w:sz w:val="18"/>
                <w:szCs w:val="21"/>
                <w:lang w:val="sq-AL"/>
              </w:rPr>
            </w:pPr>
            <w:r w:rsidRPr="00E923F7">
              <w:rPr>
                <w:rFonts w:asciiTheme="minorHAnsi" w:hAnsiTheme="minorHAnsi"/>
                <w:b w:val="0"/>
                <w:sz w:val="18"/>
                <w:szCs w:val="21"/>
                <w:lang w:val="sq-AL"/>
              </w:rPr>
              <w:t>17</w:t>
            </w:r>
          </w:p>
        </w:tc>
      </w:tr>
      <w:tr w:rsidR="00E923F7" w:rsidRPr="00E923F7" w:rsidTr="005556D3">
        <w:trPr>
          <w:cnfStyle w:val="000000100000" w:firstRow="0" w:lastRow="0" w:firstColumn="0" w:lastColumn="0" w:oddVBand="0" w:evenVBand="0" w:oddHBand="1" w:evenHBand="0" w:firstRowFirstColumn="0" w:firstRowLastColumn="0" w:lastRowFirstColumn="0" w:lastRowLastColumn="0"/>
          <w:trHeight w:val="147"/>
          <w:jc w:val="center"/>
        </w:trPr>
        <w:tc>
          <w:tcPr>
            <w:cnfStyle w:val="001000000000" w:firstRow="0" w:lastRow="0" w:firstColumn="1" w:lastColumn="0" w:oddVBand="0" w:evenVBand="0" w:oddHBand="0" w:evenHBand="0" w:firstRowFirstColumn="0" w:firstRowLastColumn="0" w:lastRowFirstColumn="0" w:lastRowLastColumn="0"/>
            <w:tcW w:w="248" w:type="pct"/>
          </w:tcPr>
          <w:p w:rsidR="006308E8" w:rsidRPr="00E923F7" w:rsidRDefault="006308E8" w:rsidP="00E923F7">
            <w:pPr>
              <w:jc w:val="center"/>
              <w:rPr>
                <w:rFonts w:asciiTheme="minorHAnsi" w:hAnsiTheme="minorHAnsi"/>
                <w:sz w:val="18"/>
                <w:lang w:val="sq-AL"/>
              </w:rPr>
            </w:pPr>
            <w:r w:rsidRPr="00E923F7">
              <w:rPr>
                <w:rFonts w:asciiTheme="minorHAnsi" w:hAnsiTheme="minorHAnsi"/>
                <w:sz w:val="18"/>
                <w:lang w:val="sq-AL"/>
              </w:rPr>
              <w:t>4.</w:t>
            </w:r>
          </w:p>
        </w:tc>
        <w:tc>
          <w:tcPr>
            <w:cnfStyle w:val="000010000000" w:firstRow="0" w:lastRow="0" w:firstColumn="0" w:lastColumn="0" w:oddVBand="1" w:evenVBand="0" w:oddHBand="0" w:evenHBand="0" w:firstRowFirstColumn="0" w:firstRowLastColumn="0" w:lastRowFirstColumn="0" w:lastRowLastColumn="0"/>
            <w:tcW w:w="1560" w:type="pct"/>
            <w:gridSpan w:val="2"/>
            <w:vAlign w:val="bottom"/>
          </w:tcPr>
          <w:p w:rsidR="006308E8" w:rsidRPr="00E923F7" w:rsidRDefault="006308E8" w:rsidP="00E923F7">
            <w:pPr>
              <w:jc w:val="center"/>
              <w:rPr>
                <w:rFonts w:asciiTheme="minorHAnsi" w:hAnsiTheme="minorHAnsi"/>
                <w:sz w:val="18"/>
                <w:lang w:val="sq-AL"/>
              </w:rPr>
            </w:pPr>
            <w:r w:rsidRPr="00E923F7">
              <w:rPr>
                <w:rFonts w:asciiTheme="minorHAnsi" w:hAnsiTheme="minorHAnsi"/>
                <w:sz w:val="18"/>
                <w:lang w:val="sq-AL"/>
              </w:rPr>
              <w:t>Shërbime të Shëndetit Publik</w:t>
            </w:r>
          </w:p>
        </w:tc>
        <w:tc>
          <w:tcPr>
            <w:tcW w:w="537" w:type="pct"/>
            <w:vAlign w:val="bottom"/>
          </w:tcPr>
          <w:p w:rsidR="006308E8" w:rsidRPr="00E923F7" w:rsidRDefault="006308E8" w:rsidP="00E923F7">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sz w:val="18"/>
                <w:lang w:val="sq-AL"/>
              </w:rPr>
            </w:pPr>
            <w:r w:rsidRPr="00E923F7">
              <w:rPr>
                <w:rFonts w:asciiTheme="minorHAnsi" w:hAnsiTheme="minorHAnsi"/>
                <w:sz w:val="18"/>
                <w:lang w:val="sq-AL"/>
              </w:rPr>
              <w:t>3,140,291</w:t>
            </w:r>
          </w:p>
        </w:tc>
        <w:tc>
          <w:tcPr>
            <w:cnfStyle w:val="000010000000" w:firstRow="0" w:lastRow="0" w:firstColumn="0" w:lastColumn="0" w:oddVBand="1" w:evenVBand="0" w:oddHBand="0" w:evenHBand="0" w:firstRowFirstColumn="0" w:firstRowLastColumn="0" w:lastRowFirstColumn="0" w:lastRowLastColumn="0"/>
            <w:tcW w:w="502" w:type="pct"/>
            <w:vAlign w:val="bottom"/>
          </w:tcPr>
          <w:p w:rsidR="006308E8" w:rsidRPr="00E923F7" w:rsidRDefault="006308E8" w:rsidP="00E923F7">
            <w:pPr>
              <w:jc w:val="center"/>
              <w:rPr>
                <w:rFonts w:asciiTheme="minorHAnsi" w:hAnsiTheme="minorHAnsi"/>
                <w:sz w:val="18"/>
                <w:lang w:val="sq-AL"/>
              </w:rPr>
            </w:pPr>
            <w:r w:rsidRPr="00E923F7">
              <w:rPr>
                <w:rFonts w:asciiTheme="minorHAnsi" w:hAnsiTheme="minorHAnsi"/>
                <w:sz w:val="18"/>
                <w:lang w:val="sq-AL"/>
              </w:rPr>
              <w:t>23,500</w:t>
            </w:r>
          </w:p>
        </w:tc>
        <w:tc>
          <w:tcPr>
            <w:tcW w:w="577" w:type="pct"/>
            <w:gridSpan w:val="2"/>
            <w:vAlign w:val="bottom"/>
          </w:tcPr>
          <w:p w:rsidR="006308E8" w:rsidRPr="00E923F7" w:rsidRDefault="006308E8" w:rsidP="00E923F7">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sz w:val="18"/>
                <w:lang w:val="sq-AL"/>
              </w:rPr>
            </w:pPr>
            <w:r w:rsidRPr="00E923F7">
              <w:rPr>
                <w:rFonts w:asciiTheme="minorHAnsi" w:hAnsiTheme="minorHAnsi"/>
                <w:sz w:val="18"/>
                <w:lang w:val="sq-AL"/>
              </w:rPr>
              <w:t>828,677</w:t>
            </w:r>
          </w:p>
        </w:tc>
        <w:tc>
          <w:tcPr>
            <w:cnfStyle w:val="000010000000" w:firstRow="0" w:lastRow="0" w:firstColumn="0" w:lastColumn="0" w:oddVBand="1" w:evenVBand="0" w:oddHBand="0" w:evenHBand="0" w:firstRowFirstColumn="0" w:firstRowLastColumn="0" w:lastRowFirstColumn="0" w:lastRowLastColumn="0"/>
            <w:tcW w:w="576" w:type="pct"/>
            <w:vAlign w:val="bottom"/>
          </w:tcPr>
          <w:p w:rsidR="006308E8" w:rsidRPr="00E923F7" w:rsidRDefault="006308E8" w:rsidP="00E923F7">
            <w:pPr>
              <w:jc w:val="center"/>
              <w:rPr>
                <w:rFonts w:asciiTheme="minorHAnsi" w:hAnsiTheme="minorHAnsi"/>
                <w:sz w:val="18"/>
                <w:lang w:val="sq-AL"/>
              </w:rPr>
            </w:pPr>
            <w:r w:rsidRPr="00E923F7">
              <w:rPr>
                <w:rFonts w:asciiTheme="minorHAnsi" w:hAnsiTheme="minorHAnsi"/>
                <w:sz w:val="18"/>
                <w:lang w:val="sq-AL"/>
              </w:rPr>
              <w:t>0</w:t>
            </w:r>
          </w:p>
        </w:tc>
        <w:tc>
          <w:tcPr>
            <w:tcW w:w="499" w:type="pct"/>
            <w:gridSpan w:val="2"/>
            <w:vAlign w:val="bottom"/>
          </w:tcPr>
          <w:p w:rsidR="006308E8" w:rsidRPr="00E923F7" w:rsidRDefault="006308E8" w:rsidP="00E923F7">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sz w:val="18"/>
                <w:lang w:val="sq-AL"/>
              </w:rPr>
            </w:pPr>
            <w:r w:rsidRPr="00E923F7">
              <w:rPr>
                <w:rFonts w:asciiTheme="minorHAnsi" w:hAnsiTheme="minorHAnsi"/>
                <w:sz w:val="18"/>
                <w:lang w:val="sq-AL"/>
              </w:rPr>
              <w:t>26</w:t>
            </w:r>
          </w:p>
        </w:tc>
        <w:tc>
          <w:tcPr>
            <w:cnfStyle w:val="000100000000" w:firstRow="0" w:lastRow="0" w:firstColumn="0" w:lastColumn="1" w:oddVBand="0" w:evenVBand="0" w:oddHBand="0" w:evenHBand="0" w:firstRowFirstColumn="0" w:firstRowLastColumn="0" w:lastRowFirstColumn="0" w:lastRowLastColumn="0"/>
            <w:tcW w:w="501" w:type="pct"/>
            <w:vAlign w:val="bottom"/>
          </w:tcPr>
          <w:p w:rsidR="006308E8" w:rsidRPr="00E923F7" w:rsidRDefault="006308E8" w:rsidP="00E923F7">
            <w:pPr>
              <w:jc w:val="center"/>
              <w:rPr>
                <w:rFonts w:asciiTheme="minorHAnsi" w:hAnsiTheme="minorHAnsi"/>
                <w:b w:val="0"/>
                <w:sz w:val="18"/>
                <w:lang w:val="sq-AL"/>
              </w:rPr>
            </w:pPr>
            <w:r w:rsidRPr="00E923F7">
              <w:rPr>
                <w:rFonts w:asciiTheme="minorHAnsi" w:hAnsiTheme="minorHAnsi"/>
                <w:b w:val="0"/>
                <w:sz w:val="18"/>
                <w:lang w:val="sq-AL"/>
              </w:rPr>
              <w:t>0</w:t>
            </w:r>
          </w:p>
        </w:tc>
      </w:tr>
      <w:tr w:rsidR="00E923F7" w:rsidRPr="00E923F7" w:rsidTr="005556D3">
        <w:trPr>
          <w:trHeight w:val="147"/>
          <w:jc w:val="center"/>
        </w:trPr>
        <w:tc>
          <w:tcPr>
            <w:cnfStyle w:val="001000000000" w:firstRow="0" w:lastRow="0" w:firstColumn="1" w:lastColumn="0" w:oddVBand="0" w:evenVBand="0" w:oddHBand="0" w:evenHBand="0" w:firstRowFirstColumn="0" w:firstRowLastColumn="0" w:lastRowFirstColumn="0" w:lastRowLastColumn="0"/>
            <w:tcW w:w="248" w:type="pct"/>
          </w:tcPr>
          <w:p w:rsidR="006308E8" w:rsidRPr="00E923F7" w:rsidRDefault="006308E8" w:rsidP="00E923F7">
            <w:pPr>
              <w:jc w:val="center"/>
              <w:rPr>
                <w:rFonts w:asciiTheme="minorHAnsi" w:hAnsiTheme="minorHAnsi"/>
                <w:sz w:val="18"/>
                <w:lang w:val="sq-AL"/>
              </w:rPr>
            </w:pPr>
            <w:r w:rsidRPr="00E923F7">
              <w:rPr>
                <w:rFonts w:asciiTheme="minorHAnsi" w:hAnsiTheme="minorHAnsi"/>
                <w:sz w:val="18"/>
                <w:lang w:val="sq-AL"/>
              </w:rPr>
              <w:t>5</w:t>
            </w:r>
          </w:p>
        </w:tc>
        <w:tc>
          <w:tcPr>
            <w:cnfStyle w:val="000010000000" w:firstRow="0" w:lastRow="0" w:firstColumn="0" w:lastColumn="0" w:oddVBand="1" w:evenVBand="0" w:oddHBand="0" w:evenHBand="0" w:firstRowFirstColumn="0" w:firstRowLastColumn="0" w:lastRowFirstColumn="0" w:lastRowLastColumn="0"/>
            <w:tcW w:w="1560" w:type="pct"/>
            <w:gridSpan w:val="2"/>
            <w:vAlign w:val="bottom"/>
          </w:tcPr>
          <w:p w:rsidR="006308E8" w:rsidRPr="00E923F7" w:rsidRDefault="006308E8" w:rsidP="00E923F7">
            <w:pPr>
              <w:jc w:val="center"/>
              <w:rPr>
                <w:rFonts w:asciiTheme="minorHAnsi" w:hAnsiTheme="minorHAnsi"/>
                <w:sz w:val="18"/>
                <w:lang w:val="sq-AL"/>
              </w:rPr>
            </w:pPr>
            <w:r w:rsidRPr="00E923F7">
              <w:rPr>
                <w:rFonts w:asciiTheme="minorHAnsi" w:hAnsiTheme="minorHAnsi"/>
                <w:sz w:val="18"/>
                <w:lang w:val="sq-AL"/>
              </w:rPr>
              <w:t>Shërbimi Kombëtar i Urgjencës</w:t>
            </w:r>
          </w:p>
        </w:tc>
        <w:tc>
          <w:tcPr>
            <w:tcW w:w="537" w:type="pct"/>
            <w:vAlign w:val="bottom"/>
          </w:tcPr>
          <w:p w:rsidR="006308E8" w:rsidRPr="00E923F7" w:rsidRDefault="006308E8" w:rsidP="00E923F7">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sz w:val="18"/>
                <w:lang w:val="sq-AL"/>
              </w:rPr>
            </w:pPr>
            <w:r w:rsidRPr="00E923F7">
              <w:rPr>
                <w:rFonts w:asciiTheme="minorHAnsi" w:hAnsiTheme="minorHAnsi"/>
                <w:sz w:val="18"/>
                <w:lang w:val="sq-AL"/>
              </w:rPr>
              <w:t>360,200</w:t>
            </w:r>
          </w:p>
        </w:tc>
        <w:tc>
          <w:tcPr>
            <w:cnfStyle w:val="000010000000" w:firstRow="0" w:lastRow="0" w:firstColumn="0" w:lastColumn="0" w:oddVBand="1" w:evenVBand="0" w:oddHBand="0" w:evenHBand="0" w:firstRowFirstColumn="0" w:firstRowLastColumn="0" w:lastRowFirstColumn="0" w:lastRowLastColumn="0"/>
            <w:tcW w:w="502" w:type="pct"/>
            <w:vAlign w:val="bottom"/>
          </w:tcPr>
          <w:p w:rsidR="006308E8" w:rsidRPr="00E923F7" w:rsidRDefault="006308E8" w:rsidP="00E923F7">
            <w:pPr>
              <w:jc w:val="center"/>
              <w:rPr>
                <w:rFonts w:asciiTheme="minorHAnsi" w:hAnsiTheme="minorHAnsi"/>
                <w:sz w:val="18"/>
                <w:lang w:val="sq-AL"/>
              </w:rPr>
            </w:pPr>
            <w:r w:rsidRPr="00E923F7">
              <w:rPr>
                <w:rFonts w:asciiTheme="minorHAnsi" w:hAnsiTheme="minorHAnsi"/>
                <w:sz w:val="18"/>
                <w:lang w:val="sq-AL"/>
              </w:rPr>
              <w:t>23,182</w:t>
            </w:r>
          </w:p>
        </w:tc>
        <w:tc>
          <w:tcPr>
            <w:tcW w:w="577" w:type="pct"/>
            <w:gridSpan w:val="2"/>
            <w:vAlign w:val="bottom"/>
          </w:tcPr>
          <w:p w:rsidR="006308E8" w:rsidRPr="00E923F7" w:rsidRDefault="006308E8" w:rsidP="00E923F7">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sz w:val="18"/>
                <w:lang w:val="sq-AL"/>
              </w:rPr>
            </w:pPr>
            <w:r w:rsidRPr="00E923F7">
              <w:rPr>
                <w:rFonts w:asciiTheme="minorHAnsi" w:hAnsiTheme="minorHAnsi"/>
                <w:sz w:val="18"/>
                <w:lang w:val="sq-AL"/>
              </w:rPr>
              <w:t>50,140</w:t>
            </w:r>
          </w:p>
        </w:tc>
        <w:tc>
          <w:tcPr>
            <w:cnfStyle w:val="000010000000" w:firstRow="0" w:lastRow="0" w:firstColumn="0" w:lastColumn="0" w:oddVBand="1" w:evenVBand="0" w:oddHBand="0" w:evenHBand="0" w:firstRowFirstColumn="0" w:firstRowLastColumn="0" w:lastRowFirstColumn="0" w:lastRowLastColumn="0"/>
            <w:tcW w:w="576" w:type="pct"/>
            <w:vAlign w:val="bottom"/>
          </w:tcPr>
          <w:p w:rsidR="006308E8" w:rsidRPr="00E923F7" w:rsidRDefault="006308E8" w:rsidP="00E923F7">
            <w:pPr>
              <w:jc w:val="center"/>
              <w:rPr>
                <w:rFonts w:asciiTheme="minorHAnsi" w:hAnsiTheme="minorHAnsi"/>
                <w:sz w:val="18"/>
                <w:lang w:val="sq-AL"/>
              </w:rPr>
            </w:pPr>
            <w:r w:rsidRPr="00E923F7">
              <w:rPr>
                <w:rFonts w:asciiTheme="minorHAnsi" w:hAnsiTheme="minorHAnsi"/>
                <w:sz w:val="18"/>
                <w:lang w:val="sq-AL"/>
              </w:rPr>
              <w:t>0</w:t>
            </w:r>
          </w:p>
        </w:tc>
        <w:tc>
          <w:tcPr>
            <w:tcW w:w="499" w:type="pct"/>
            <w:gridSpan w:val="2"/>
            <w:vAlign w:val="bottom"/>
          </w:tcPr>
          <w:p w:rsidR="006308E8" w:rsidRPr="00E923F7" w:rsidRDefault="006308E8" w:rsidP="00E923F7">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sz w:val="18"/>
                <w:lang w:val="sq-AL"/>
              </w:rPr>
            </w:pPr>
            <w:r w:rsidRPr="00E923F7">
              <w:rPr>
                <w:rFonts w:asciiTheme="minorHAnsi" w:hAnsiTheme="minorHAnsi"/>
                <w:sz w:val="18"/>
                <w:lang w:val="sq-AL"/>
              </w:rPr>
              <w:t>14</w:t>
            </w:r>
          </w:p>
        </w:tc>
        <w:tc>
          <w:tcPr>
            <w:cnfStyle w:val="000100000000" w:firstRow="0" w:lastRow="0" w:firstColumn="0" w:lastColumn="1" w:oddVBand="0" w:evenVBand="0" w:oddHBand="0" w:evenHBand="0" w:firstRowFirstColumn="0" w:firstRowLastColumn="0" w:lastRowFirstColumn="0" w:lastRowLastColumn="0"/>
            <w:tcW w:w="501" w:type="pct"/>
            <w:vAlign w:val="bottom"/>
          </w:tcPr>
          <w:p w:rsidR="006308E8" w:rsidRPr="00E923F7" w:rsidRDefault="006308E8" w:rsidP="00E923F7">
            <w:pPr>
              <w:jc w:val="center"/>
              <w:rPr>
                <w:rFonts w:asciiTheme="minorHAnsi" w:hAnsiTheme="minorHAnsi"/>
                <w:b w:val="0"/>
                <w:sz w:val="18"/>
                <w:lang w:val="sq-AL"/>
              </w:rPr>
            </w:pPr>
            <w:r w:rsidRPr="00E923F7">
              <w:rPr>
                <w:rFonts w:asciiTheme="minorHAnsi" w:hAnsiTheme="minorHAnsi"/>
                <w:b w:val="0"/>
                <w:sz w:val="18"/>
                <w:lang w:val="sq-AL"/>
              </w:rPr>
              <w:t>0</w:t>
            </w:r>
          </w:p>
        </w:tc>
      </w:tr>
      <w:tr w:rsidR="00E923F7" w:rsidRPr="00E923F7" w:rsidTr="005556D3">
        <w:trPr>
          <w:cnfStyle w:val="000000100000" w:firstRow="0" w:lastRow="0" w:firstColumn="0" w:lastColumn="0" w:oddVBand="0" w:evenVBand="0" w:oddHBand="1" w:evenHBand="0" w:firstRowFirstColumn="0" w:firstRowLastColumn="0" w:lastRowFirstColumn="0" w:lastRowLastColumn="0"/>
          <w:trHeight w:val="147"/>
          <w:jc w:val="center"/>
        </w:trPr>
        <w:tc>
          <w:tcPr>
            <w:cnfStyle w:val="001000000000" w:firstRow="0" w:lastRow="0" w:firstColumn="1" w:lastColumn="0" w:oddVBand="0" w:evenVBand="0" w:oddHBand="0" w:evenHBand="0" w:firstRowFirstColumn="0" w:firstRowLastColumn="0" w:lastRowFirstColumn="0" w:lastRowLastColumn="0"/>
            <w:tcW w:w="248" w:type="pct"/>
          </w:tcPr>
          <w:p w:rsidR="006308E8" w:rsidRPr="00E923F7" w:rsidRDefault="006308E8" w:rsidP="00E923F7">
            <w:pPr>
              <w:jc w:val="center"/>
              <w:rPr>
                <w:rFonts w:asciiTheme="minorHAnsi" w:hAnsiTheme="minorHAnsi"/>
                <w:sz w:val="18"/>
                <w:lang w:val="sq-AL"/>
              </w:rPr>
            </w:pPr>
            <w:r w:rsidRPr="00E923F7">
              <w:rPr>
                <w:rFonts w:asciiTheme="minorHAnsi" w:hAnsiTheme="minorHAnsi"/>
                <w:sz w:val="18"/>
                <w:lang w:val="sq-AL"/>
              </w:rPr>
              <w:t>6.</w:t>
            </w:r>
          </w:p>
        </w:tc>
        <w:tc>
          <w:tcPr>
            <w:cnfStyle w:val="000010000000" w:firstRow="0" w:lastRow="0" w:firstColumn="0" w:lastColumn="0" w:oddVBand="1" w:evenVBand="0" w:oddHBand="0" w:evenHBand="0" w:firstRowFirstColumn="0" w:firstRowLastColumn="0" w:lastRowFirstColumn="0" w:lastRowLastColumn="0"/>
            <w:tcW w:w="1560" w:type="pct"/>
            <w:gridSpan w:val="2"/>
            <w:vAlign w:val="bottom"/>
          </w:tcPr>
          <w:p w:rsidR="006308E8" w:rsidRPr="00E923F7" w:rsidRDefault="006308E8" w:rsidP="00E923F7">
            <w:pPr>
              <w:jc w:val="center"/>
              <w:rPr>
                <w:rFonts w:asciiTheme="minorHAnsi" w:hAnsiTheme="minorHAnsi"/>
                <w:sz w:val="18"/>
                <w:lang w:val="sq-AL"/>
              </w:rPr>
            </w:pPr>
            <w:r w:rsidRPr="00E923F7">
              <w:rPr>
                <w:rFonts w:asciiTheme="minorHAnsi" w:hAnsiTheme="minorHAnsi"/>
                <w:sz w:val="18"/>
                <w:lang w:val="sq-AL"/>
              </w:rPr>
              <w:t>Përkujdesi Social</w:t>
            </w:r>
          </w:p>
        </w:tc>
        <w:tc>
          <w:tcPr>
            <w:tcW w:w="537" w:type="pct"/>
            <w:vAlign w:val="bottom"/>
          </w:tcPr>
          <w:p w:rsidR="006308E8" w:rsidRPr="00E923F7" w:rsidRDefault="006308E8" w:rsidP="00E923F7">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sz w:val="18"/>
                <w:lang w:val="sq-AL"/>
              </w:rPr>
            </w:pPr>
            <w:r w:rsidRPr="00E923F7">
              <w:rPr>
                <w:rFonts w:asciiTheme="minorHAnsi" w:hAnsiTheme="minorHAnsi"/>
                <w:sz w:val="18"/>
                <w:lang w:val="sq-AL"/>
              </w:rPr>
              <w:t>25,372,940</w:t>
            </w:r>
          </w:p>
        </w:tc>
        <w:tc>
          <w:tcPr>
            <w:cnfStyle w:val="000010000000" w:firstRow="0" w:lastRow="0" w:firstColumn="0" w:lastColumn="0" w:oddVBand="1" w:evenVBand="0" w:oddHBand="0" w:evenHBand="0" w:firstRowFirstColumn="0" w:firstRowLastColumn="0" w:lastRowFirstColumn="0" w:lastRowLastColumn="0"/>
            <w:tcW w:w="502" w:type="pct"/>
            <w:vAlign w:val="bottom"/>
          </w:tcPr>
          <w:p w:rsidR="006308E8" w:rsidRPr="00E923F7" w:rsidRDefault="006308E8" w:rsidP="00E923F7">
            <w:pPr>
              <w:jc w:val="center"/>
              <w:rPr>
                <w:rFonts w:asciiTheme="minorHAnsi" w:hAnsiTheme="minorHAnsi"/>
                <w:sz w:val="18"/>
                <w:lang w:val="sq-AL"/>
              </w:rPr>
            </w:pPr>
            <w:r w:rsidRPr="00E923F7">
              <w:rPr>
                <w:rFonts w:asciiTheme="minorHAnsi" w:hAnsiTheme="minorHAnsi"/>
                <w:sz w:val="18"/>
                <w:lang w:val="sq-AL"/>
              </w:rPr>
              <w:t>37,700</w:t>
            </w:r>
          </w:p>
        </w:tc>
        <w:tc>
          <w:tcPr>
            <w:tcW w:w="577" w:type="pct"/>
            <w:gridSpan w:val="2"/>
            <w:vAlign w:val="bottom"/>
          </w:tcPr>
          <w:p w:rsidR="006308E8" w:rsidRPr="00E923F7" w:rsidRDefault="006308E8" w:rsidP="00E923F7">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sz w:val="18"/>
                <w:lang w:val="sq-AL"/>
              </w:rPr>
            </w:pPr>
            <w:r w:rsidRPr="00E923F7">
              <w:rPr>
                <w:rFonts w:asciiTheme="minorHAnsi" w:hAnsiTheme="minorHAnsi"/>
                <w:sz w:val="18"/>
                <w:lang w:val="sq-AL"/>
              </w:rPr>
              <w:t>9,532,447</w:t>
            </w:r>
          </w:p>
        </w:tc>
        <w:tc>
          <w:tcPr>
            <w:cnfStyle w:val="000010000000" w:firstRow="0" w:lastRow="0" w:firstColumn="0" w:lastColumn="0" w:oddVBand="1" w:evenVBand="0" w:oddHBand="0" w:evenHBand="0" w:firstRowFirstColumn="0" w:firstRowLastColumn="0" w:lastRowFirstColumn="0" w:lastRowLastColumn="0"/>
            <w:tcW w:w="576" w:type="pct"/>
            <w:vAlign w:val="bottom"/>
          </w:tcPr>
          <w:p w:rsidR="006308E8" w:rsidRPr="00E923F7" w:rsidRDefault="006308E8" w:rsidP="00E923F7">
            <w:pPr>
              <w:jc w:val="center"/>
              <w:rPr>
                <w:rFonts w:asciiTheme="minorHAnsi" w:hAnsiTheme="minorHAnsi"/>
                <w:sz w:val="18"/>
                <w:lang w:val="sq-AL"/>
              </w:rPr>
            </w:pPr>
            <w:r w:rsidRPr="00E923F7">
              <w:rPr>
                <w:rFonts w:asciiTheme="minorHAnsi" w:hAnsiTheme="minorHAnsi"/>
                <w:sz w:val="18"/>
                <w:lang w:val="sq-AL"/>
              </w:rPr>
              <w:t>0</w:t>
            </w:r>
          </w:p>
        </w:tc>
        <w:tc>
          <w:tcPr>
            <w:tcW w:w="499" w:type="pct"/>
            <w:gridSpan w:val="2"/>
            <w:vAlign w:val="bottom"/>
          </w:tcPr>
          <w:p w:rsidR="006308E8" w:rsidRPr="00E923F7" w:rsidRDefault="006308E8" w:rsidP="00E923F7">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sz w:val="18"/>
                <w:lang w:val="sq-AL"/>
              </w:rPr>
            </w:pPr>
            <w:r w:rsidRPr="00E923F7">
              <w:rPr>
                <w:rFonts w:asciiTheme="minorHAnsi" w:hAnsiTheme="minorHAnsi"/>
                <w:sz w:val="18"/>
                <w:lang w:val="sq-AL"/>
              </w:rPr>
              <w:t>38</w:t>
            </w:r>
          </w:p>
        </w:tc>
        <w:tc>
          <w:tcPr>
            <w:cnfStyle w:val="000100000000" w:firstRow="0" w:lastRow="0" w:firstColumn="0" w:lastColumn="1" w:oddVBand="0" w:evenVBand="0" w:oddHBand="0" w:evenHBand="0" w:firstRowFirstColumn="0" w:firstRowLastColumn="0" w:lastRowFirstColumn="0" w:lastRowLastColumn="0"/>
            <w:tcW w:w="501" w:type="pct"/>
            <w:vAlign w:val="bottom"/>
          </w:tcPr>
          <w:p w:rsidR="006308E8" w:rsidRPr="00E923F7" w:rsidRDefault="006308E8" w:rsidP="00E923F7">
            <w:pPr>
              <w:jc w:val="center"/>
              <w:rPr>
                <w:rFonts w:asciiTheme="minorHAnsi" w:hAnsiTheme="minorHAnsi"/>
                <w:b w:val="0"/>
                <w:sz w:val="18"/>
                <w:lang w:val="sq-AL"/>
              </w:rPr>
            </w:pPr>
            <w:r w:rsidRPr="00E923F7">
              <w:rPr>
                <w:rFonts w:asciiTheme="minorHAnsi" w:hAnsiTheme="minorHAnsi"/>
                <w:b w:val="0"/>
                <w:sz w:val="18"/>
                <w:lang w:val="sq-AL"/>
              </w:rPr>
              <w:t>0</w:t>
            </w:r>
          </w:p>
        </w:tc>
      </w:tr>
      <w:tr w:rsidR="00E923F7" w:rsidRPr="00E923F7" w:rsidTr="005556D3">
        <w:trPr>
          <w:trHeight w:val="129"/>
          <w:jc w:val="center"/>
        </w:trPr>
        <w:tc>
          <w:tcPr>
            <w:cnfStyle w:val="001000000000" w:firstRow="0" w:lastRow="0" w:firstColumn="1" w:lastColumn="0" w:oddVBand="0" w:evenVBand="0" w:oddHBand="0" w:evenHBand="0" w:firstRowFirstColumn="0" w:firstRowLastColumn="0" w:lastRowFirstColumn="0" w:lastRowLastColumn="0"/>
            <w:tcW w:w="248" w:type="pct"/>
            <w:tcBorders>
              <w:bottom w:val="single" w:sz="4" w:space="0" w:color="auto"/>
            </w:tcBorders>
          </w:tcPr>
          <w:p w:rsidR="006308E8" w:rsidRPr="00E923F7" w:rsidRDefault="006308E8" w:rsidP="00E923F7">
            <w:pPr>
              <w:jc w:val="center"/>
              <w:rPr>
                <w:rFonts w:asciiTheme="minorHAnsi" w:hAnsiTheme="minorHAnsi"/>
                <w:sz w:val="18"/>
                <w:lang w:val="sq-AL"/>
              </w:rPr>
            </w:pPr>
          </w:p>
        </w:tc>
        <w:tc>
          <w:tcPr>
            <w:cnfStyle w:val="000010000000" w:firstRow="0" w:lastRow="0" w:firstColumn="0" w:lastColumn="0" w:oddVBand="1" w:evenVBand="0" w:oddHBand="0" w:evenHBand="0" w:firstRowFirstColumn="0" w:firstRowLastColumn="0" w:lastRowFirstColumn="0" w:lastRowLastColumn="0"/>
            <w:tcW w:w="1560" w:type="pct"/>
            <w:gridSpan w:val="2"/>
            <w:tcBorders>
              <w:bottom w:val="single" w:sz="4" w:space="0" w:color="auto"/>
            </w:tcBorders>
            <w:vAlign w:val="bottom"/>
          </w:tcPr>
          <w:p w:rsidR="006308E8" w:rsidRPr="00E923F7" w:rsidRDefault="006308E8" w:rsidP="00E923F7">
            <w:pPr>
              <w:jc w:val="center"/>
              <w:rPr>
                <w:rFonts w:asciiTheme="minorHAnsi" w:hAnsiTheme="minorHAnsi"/>
                <w:b/>
                <w:bCs/>
                <w:sz w:val="18"/>
                <w:lang w:val="sq-AL"/>
              </w:rPr>
            </w:pPr>
            <w:r w:rsidRPr="00E923F7">
              <w:rPr>
                <w:rFonts w:asciiTheme="minorHAnsi" w:hAnsiTheme="minorHAnsi"/>
                <w:b/>
                <w:bCs/>
                <w:sz w:val="18"/>
                <w:lang w:val="sq-AL"/>
              </w:rPr>
              <w:t>Financimi i huaj</w:t>
            </w:r>
          </w:p>
        </w:tc>
        <w:tc>
          <w:tcPr>
            <w:tcW w:w="537" w:type="pct"/>
            <w:tcBorders>
              <w:bottom w:val="single" w:sz="4" w:space="0" w:color="auto"/>
            </w:tcBorders>
            <w:vAlign w:val="bottom"/>
          </w:tcPr>
          <w:p w:rsidR="006308E8" w:rsidRPr="00E923F7" w:rsidRDefault="006308E8" w:rsidP="00E923F7">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b/>
                <w:bCs/>
                <w:sz w:val="18"/>
                <w:lang w:val="sq-AL"/>
              </w:rPr>
            </w:pPr>
          </w:p>
        </w:tc>
        <w:tc>
          <w:tcPr>
            <w:cnfStyle w:val="000010000000" w:firstRow="0" w:lastRow="0" w:firstColumn="0" w:lastColumn="0" w:oddVBand="1" w:evenVBand="0" w:oddHBand="0" w:evenHBand="0" w:firstRowFirstColumn="0" w:firstRowLastColumn="0" w:lastRowFirstColumn="0" w:lastRowLastColumn="0"/>
            <w:tcW w:w="502" w:type="pct"/>
            <w:tcBorders>
              <w:bottom w:val="single" w:sz="4" w:space="0" w:color="auto"/>
            </w:tcBorders>
            <w:vAlign w:val="bottom"/>
          </w:tcPr>
          <w:p w:rsidR="006308E8" w:rsidRPr="00E923F7" w:rsidRDefault="006308E8" w:rsidP="00E923F7">
            <w:pPr>
              <w:jc w:val="center"/>
              <w:rPr>
                <w:rFonts w:asciiTheme="minorHAnsi" w:hAnsiTheme="minorHAnsi"/>
                <w:bCs/>
                <w:sz w:val="18"/>
                <w:lang w:val="sq-AL"/>
              </w:rPr>
            </w:pPr>
            <w:r w:rsidRPr="00E923F7">
              <w:rPr>
                <w:rFonts w:asciiTheme="minorHAnsi" w:hAnsiTheme="minorHAnsi"/>
                <w:bCs/>
                <w:sz w:val="18"/>
                <w:lang w:val="sq-AL"/>
              </w:rPr>
              <w:t>100,000</w:t>
            </w:r>
          </w:p>
        </w:tc>
        <w:tc>
          <w:tcPr>
            <w:tcW w:w="577" w:type="pct"/>
            <w:gridSpan w:val="2"/>
            <w:tcBorders>
              <w:bottom w:val="single" w:sz="4" w:space="0" w:color="auto"/>
            </w:tcBorders>
            <w:vAlign w:val="bottom"/>
          </w:tcPr>
          <w:p w:rsidR="006308E8" w:rsidRPr="00E923F7" w:rsidRDefault="006308E8" w:rsidP="00E923F7">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bCs/>
                <w:sz w:val="18"/>
                <w:lang w:val="sq-AL"/>
              </w:rPr>
            </w:pPr>
          </w:p>
        </w:tc>
        <w:tc>
          <w:tcPr>
            <w:cnfStyle w:val="000010000000" w:firstRow="0" w:lastRow="0" w:firstColumn="0" w:lastColumn="0" w:oddVBand="1" w:evenVBand="0" w:oddHBand="0" w:evenHBand="0" w:firstRowFirstColumn="0" w:firstRowLastColumn="0" w:lastRowFirstColumn="0" w:lastRowLastColumn="0"/>
            <w:tcW w:w="576" w:type="pct"/>
            <w:tcBorders>
              <w:bottom w:val="single" w:sz="4" w:space="0" w:color="auto"/>
            </w:tcBorders>
            <w:vAlign w:val="bottom"/>
          </w:tcPr>
          <w:p w:rsidR="006308E8" w:rsidRPr="00E923F7" w:rsidRDefault="006308E8" w:rsidP="00E923F7">
            <w:pPr>
              <w:jc w:val="center"/>
              <w:rPr>
                <w:rFonts w:asciiTheme="minorHAnsi" w:hAnsiTheme="minorHAnsi"/>
                <w:bCs/>
                <w:sz w:val="18"/>
                <w:lang w:val="sq-AL"/>
              </w:rPr>
            </w:pPr>
            <w:r w:rsidRPr="00E923F7">
              <w:rPr>
                <w:rFonts w:asciiTheme="minorHAnsi" w:hAnsiTheme="minorHAnsi"/>
                <w:bCs/>
                <w:sz w:val="18"/>
                <w:lang w:val="sq-AL"/>
              </w:rPr>
              <w:t>7,882</w:t>
            </w:r>
          </w:p>
        </w:tc>
        <w:tc>
          <w:tcPr>
            <w:tcW w:w="499" w:type="pct"/>
            <w:gridSpan w:val="2"/>
            <w:tcBorders>
              <w:bottom w:val="single" w:sz="4" w:space="0" w:color="auto"/>
            </w:tcBorders>
            <w:vAlign w:val="bottom"/>
          </w:tcPr>
          <w:p w:rsidR="006308E8" w:rsidRPr="00E923F7" w:rsidRDefault="006308E8" w:rsidP="00E923F7">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bCs/>
                <w:sz w:val="18"/>
                <w:lang w:val="sq-AL"/>
              </w:rPr>
            </w:pPr>
          </w:p>
        </w:tc>
        <w:tc>
          <w:tcPr>
            <w:cnfStyle w:val="000100000000" w:firstRow="0" w:lastRow="0" w:firstColumn="0" w:lastColumn="1" w:oddVBand="0" w:evenVBand="0" w:oddHBand="0" w:evenHBand="0" w:firstRowFirstColumn="0" w:firstRowLastColumn="0" w:lastRowFirstColumn="0" w:lastRowLastColumn="0"/>
            <w:tcW w:w="501" w:type="pct"/>
            <w:tcBorders>
              <w:bottom w:val="single" w:sz="4" w:space="0" w:color="auto"/>
            </w:tcBorders>
            <w:vAlign w:val="bottom"/>
          </w:tcPr>
          <w:p w:rsidR="006308E8" w:rsidRPr="00E923F7" w:rsidRDefault="006308E8" w:rsidP="00E923F7">
            <w:pPr>
              <w:jc w:val="center"/>
              <w:rPr>
                <w:rFonts w:asciiTheme="minorHAnsi" w:hAnsiTheme="minorHAnsi"/>
                <w:b w:val="0"/>
                <w:sz w:val="18"/>
                <w:lang w:val="sq-AL"/>
              </w:rPr>
            </w:pPr>
            <w:r w:rsidRPr="00E923F7">
              <w:rPr>
                <w:rFonts w:asciiTheme="minorHAnsi" w:hAnsiTheme="minorHAnsi"/>
                <w:b w:val="0"/>
                <w:sz w:val="18"/>
                <w:lang w:val="sq-AL"/>
              </w:rPr>
              <w:t>8</w:t>
            </w:r>
          </w:p>
        </w:tc>
      </w:tr>
      <w:tr w:rsidR="00E923F7" w:rsidRPr="00E923F7" w:rsidTr="005556D3">
        <w:trPr>
          <w:cnfStyle w:val="010000000000" w:firstRow="0" w:lastRow="1" w:firstColumn="0" w:lastColumn="0" w:oddVBand="0" w:evenVBand="0" w:oddHBand="0" w:evenHBand="0" w:firstRowFirstColumn="0" w:firstRowLastColumn="0" w:lastRowFirstColumn="0" w:lastRowLastColumn="0"/>
          <w:trHeight w:val="129"/>
          <w:jc w:val="center"/>
        </w:trPr>
        <w:tc>
          <w:tcPr>
            <w:cnfStyle w:val="001000000001" w:firstRow="0" w:lastRow="0" w:firstColumn="1" w:lastColumn="0" w:oddVBand="0" w:evenVBand="0" w:oddHBand="0" w:evenHBand="0" w:firstRowFirstColumn="0" w:firstRowLastColumn="0" w:lastRowFirstColumn="1" w:lastRowLastColumn="0"/>
            <w:tcW w:w="248" w:type="pct"/>
            <w:tcBorders>
              <w:top w:val="single" w:sz="4" w:space="0" w:color="auto"/>
              <w:bottom w:val="single" w:sz="4" w:space="0" w:color="auto"/>
            </w:tcBorders>
          </w:tcPr>
          <w:p w:rsidR="006308E8" w:rsidRPr="00E923F7" w:rsidRDefault="006308E8" w:rsidP="00E923F7">
            <w:pPr>
              <w:jc w:val="center"/>
              <w:rPr>
                <w:rFonts w:asciiTheme="minorHAnsi" w:hAnsiTheme="minorHAnsi"/>
                <w:sz w:val="18"/>
                <w:lang w:val="sq-AL"/>
              </w:rPr>
            </w:pPr>
            <w:r w:rsidRPr="00E923F7">
              <w:rPr>
                <w:rFonts w:asciiTheme="minorHAnsi" w:hAnsiTheme="minorHAnsi"/>
                <w:sz w:val="18"/>
                <w:lang w:val="sq-AL"/>
              </w:rPr>
              <w:t>7</w:t>
            </w:r>
          </w:p>
        </w:tc>
        <w:tc>
          <w:tcPr>
            <w:cnfStyle w:val="000010000000" w:firstRow="0" w:lastRow="0" w:firstColumn="0" w:lastColumn="0" w:oddVBand="1" w:evenVBand="0" w:oddHBand="0" w:evenHBand="0" w:firstRowFirstColumn="0" w:firstRowLastColumn="0" w:lastRowFirstColumn="0" w:lastRowLastColumn="0"/>
            <w:tcW w:w="1560" w:type="pct"/>
            <w:gridSpan w:val="2"/>
            <w:tcBorders>
              <w:top w:val="single" w:sz="4" w:space="0" w:color="auto"/>
              <w:bottom w:val="single" w:sz="4" w:space="0" w:color="auto"/>
            </w:tcBorders>
            <w:vAlign w:val="bottom"/>
          </w:tcPr>
          <w:p w:rsidR="006308E8" w:rsidRPr="00E923F7" w:rsidRDefault="006308E8" w:rsidP="00E923F7">
            <w:pPr>
              <w:jc w:val="center"/>
              <w:rPr>
                <w:rFonts w:asciiTheme="minorHAnsi" w:hAnsiTheme="minorHAnsi"/>
                <w:sz w:val="18"/>
                <w:lang w:val="sq-AL"/>
              </w:rPr>
            </w:pPr>
            <w:r w:rsidRPr="00E923F7">
              <w:rPr>
                <w:rFonts w:asciiTheme="minorHAnsi" w:hAnsiTheme="minorHAnsi"/>
                <w:sz w:val="18"/>
                <w:lang w:val="sq-AL"/>
              </w:rPr>
              <w:t>Rehabilitimi  i të Përndjekurve Politik</w:t>
            </w:r>
          </w:p>
        </w:tc>
        <w:tc>
          <w:tcPr>
            <w:tcW w:w="537" w:type="pct"/>
            <w:tcBorders>
              <w:top w:val="single" w:sz="4" w:space="0" w:color="auto"/>
              <w:bottom w:val="single" w:sz="4" w:space="0" w:color="auto"/>
            </w:tcBorders>
            <w:vAlign w:val="bottom"/>
          </w:tcPr>
          <w:p w:rsidR="006308E8" w:rsidRPr="00E923F7" w:rsidRDefault="006308E8" w:rsidP="00E923F7">
            <w:pPr>
              <w:jc w:val="center"/>
              <w:cnfStyle w:val="010000000000" w:firstRow="0" w:lastRow="1" w:firstColumn="0" w:lastColumn="0" w:oddVBand="0" w:evenVBand="0" w:oddHBand="0" w:evenHBand="0" w:firstRowFirstColumn="0" w:firstRowLastColumn="0" w:lastRowFirstColumn="0" w:lastRowLastColumn="0"/>
              <w:rPr>
                <w:rFonts w:asciiTheme="minorHAnsi" w:hAnsiTheme="minorHAnsi"/>
                <w:sz w:val="18"/>
                <w:lang w:val="sq-AL"/>
              </w:rPr>
            </w:pPr>
            <w:r w:rsidRPr="00E923F7">
              <w:rPr>
                <w:rFonts w:asciiTheme="minorHAnsi" w:hAnsiTheme="minorHAnsi"/>
                <w:sz w:val="18"/>
                <w:lang w:val="sq-AL"/>
              </w:rPr>
              <w:t>1,036,100</w:t>
            </w:r>
          </w:p>
        </w:tc>
        <w:tc>
          <w:tcPr>
            <w:cnfStyle w:val="000010000000" w:firstRow="0" w:lastRow="0" w:firstColumn="0" w:lastColumn="0" w:oddVBand="1" w:evenVBand="0" w:oddHBand="0" w:evenHBand="0" w:firstRowFirstColumn="0" w:firstRowLastColumn="0" w:lastRowFirstColumn="0" w:lastRowLastColumn="0"/>
            <w:tcW w:w="502" w:type="pct"/>
            <w:tcBorders>
              <w:top w:val="single" w:sz="4" w:space="0" w:color="auto"/>
              <w:bottom w:val="single" w:sz="4" w:space="0" w:color="auto"/>
            </w:tcBorders>
            <w:vAlign w:val="bottom"/>
          </w:tcPr>
          <w:p w:rsidR="006308E8" w:rsidRPr="00E923F7" w:rsidRDefault="006308E8" w:rsidP="00E923F7">
            <w:pPr>
              <w:jc w:val="center"/>
              <w:rPr>
                <w:rFonts w:asciiTheme="minorHAnsi" w:hAnsiTheme="minorHAnsi"/>
                <w:sz w:val="18"/>
                <w:lang w:val="sq-AL"/>
              </w:rPr>
            </w:pPr>
            <w:r w:rsidRPr="00E923F7">
              <w:rPr>
                <w:rFonts w:asciiTheme="minorHAnsi" w:hAnsiTheme="minorHAnsi"/>
                <w:sz w:val="18"/>
                <w:lang w:val="sq-AL"/>
              </w:rPr>
              <w:t>1,200</w:t>
            </w:r>
          </w:p>
        </w:tc>
        <w:tc>
          <w:tcPr>
            <w:tcW w:w="577" w:type="pct"/>
            <w:gridSpan w:val="2"/>
            <w:tcBorders>
              <w:top w:val="single" w:sz="4" w:space="0" w:color="auto"/>
              <w:bottom w:val="single" w:sz="4" w:space="0" w:color="auto"/>
            </w:tcBorders>
            <w:vAlign w:val="bottom"/>
          </w:tcPr>
          <w:p w:rsidR="006308E8" w:rsidRPr="00E923F7" w:rsidRDefault="006308E8" w:rsidP="00E923F7">
            <w:pPr>
              <w:jc w:val="center"/>
              <w:cnfStyle w:val="010000000000" w:firstRow="0" w:lastRow="1" w:firstColumn="0" w:lastColumn="0" w:oddVBand="0" w:evenVBand="0" w:oddHBand="0" w:evenHBand="0" w:firstRowFirstColumn="0" w:firstRowLastColumn="0" w:lastRowFirstColumn="0" w:lastRowLastColumn="0"/>
              <w:rPr>
                <w:rFonts w:asciiTheme="minorHAnsi" w:hAnsiTheme="minorHAnsi"/>
                <w:sz w:val="18"/>
                <w:lang w:val="sq-AL"/>
              </w:rPr>
            </w:pPr>
            <w:r w:rsidRPr="00E923F7">
              <w:rPr>
                <w:rFonts w:asciiTheme="minorHAnsi" w:hAnsiTheme="minorHAnsi"/>
                <w:sz w:val="18"/>
                <w:lang w:val="sq-AL"/>
              </w:rPr>
              <w:t>413,548</w:t>
            </w:r>
          </w:p>
        </w:tc>
        <w:tc>
          <w:tcPr>
            <w:cnfStyle w:val="000010000000" w:firstRow="0" w:lastRow="0" w:firstColumn="0" w:lastColumn="0" w:oddVBand="1" w:evenVBand="0" w:oddHBand="0" w:evenHBand="0" w:firstRowFirstColumn="0" w:firstRowLastColumn="0" w:lastRowFirstColumn="0" w:lastRowLastColumn="0"/>
            <w:tcW w:w="576" w:type="pct"/>
            <w:tcBorders>
              <w:top w:val="single" w:sz="4" w:space="0" w:color="auto"/>
              <w:bottom w:val="single" w:sz="4" w:space="0" w:color="auto"/>
            </w:tcBorders>
            <w:vAlign w:val="bottom"/>
          </w:tcPr>
          <w:p w:rsidR="006308E8" w:rsidRPr="00E923F7" w:rsidRDefault="006308E8" w:rsidP="00E923F7">
            <w:pPr>
              <w:jc w:val="center"/>
              <w:rPr>
                <w:rFonts w:asciiTheme="minorHAnsi" w:hAnsiTheme="minorHAnsi"/>
                <w:sz w:val="18"/>
                <w:lang w:val="sq-AL"/>
              </w:rPr>
            </w:pPr>
            <w:r w:rsidRPr="00E923F7">
              <w:rPr>
                <w:rFonts w:asciiTheme="minorHAnsi" w:hAnsiTheme="minorHAnsi"/>
                <w:sz w:val="18"/>
                <w:lang w:val="sq-AL"/>
              </w:rPr>
              <w:t>0</w:t>
            </w:r>
          </w:p>
        </w:tc>
        <w:tc>
          <w:tcPr>
            <w:tcW w:w="499" w:type="pct"/>
            <w:gridSpan w:val="2"/>
            <w:tcBorders>
              <w:top w:val="single" w:sz="4" w:space="0" w:color="auto"/>
              <w:bottom w:val="single" w:sz="4" w:space="0" w:color="auto"/>
            </w:tcBorders>
            <w:vAlign w:val="bottom"/>
          </w:tcPr>
          <w:p w:rsidR="006308E8" w:rsidRPr="00E923F7" w:rsidRDefault="006308E8" w:rsidP="00E923F7">
            <w:pPr>
              <w:jc w:val="center"/>
              <w:cnfStyle w:val="010000000000" w:firstRow="0" w:lastRow="1" w:firstColumn="0" w:lastColumn="0" w:oddVBand="0" w:evenVBand="0" w:oddHBand="0" w:evenHBand="0" w:firstRowFirstColumn="0" w:firstRowLastColumn="0" w:lastRowFirstColumn="0" w:lastRowLastColumn="0"/>
              <w:rPr>
                <w:rFonts w:asciiTheme="minorHAnsi" w:hAnsiTheme="minorHAnsi"/>
                <w:sz w:val="18"/>
                <w:lang w:val="sq-AL"/>
              </w:rPr>
            </w:pPr>
            <w:r w:rsidRPr="00E923F7">
              <w:rPr>
                <w:rFonts w:asciiTheme="minorHAnsi" w:hAnsiTheme="minorHAnsi"/>
                <w:sz w:val="18"/>
                <w:lang w:val="sq-AL"/>
              </w:rPr>
              <w:t>40</w:t>
            </w:r>
          </w:p>
        </w:tc>
        <w:tc>
          <w:tcPr>
            <w:cnfStyle w:val="000100000010" w:firstRow="0" w:lastRow="0" w:firstColumn="0" w:lastColumn="1" w:oddVBand="0" w:evenVBand="0" w:oddHBand="0" w:evenHBand="0" w:firstRowFirstColumn="0" w:firstRowLastColumn="0" w:lastRowFirstColumn="0" w:lastRowLastColumn="1"/>
            <w:tcW w:w="501" w:type="pct"/>
            <w:tcBorders>
              <w:top w:val="single" w:sz="4" w:space="0" w:color="auto"/>
              <w:bottom w:val="single" w:sz="4" w:space="0" w:color="auto"/>
            </w:tcBorders>
            <w:vAlign w:val="bottom"/>
          </w:tcPr>
          <w:p w:rsidR="006308E8" w:rsidRPr="00E923F7" w:rsidRDefault="006308E8" w:rsidP="00E923F7">
            <w:pPr>
              <w:jc w:val="center"/>
              <w:rPr>
                <w:rFonts w:asciiTheme="minorHAnsi" w:hAnsiTheme="minorHAnsi"/>
                <w:b w:val="0"/>
                <w:sz w:val="18"/>
                <w:lang w:val="sq-AL"/>
              </w:rPr>
            </w:pPr>
            <w:r w:rsidRPr="00E923F7">
              <w:rPr>
                <w:rFonts w:asciiTheme="minorHAnsi" w:hAnsiTheme="minorHAnsi"/>
                <w:b w:val="0"/>
                <w:sz w:val="18"/>
                <w:lang w:val="sq-AL"/>
              </w:rPr>
              <w:t>0</w:t>
            </w:r>
          </w:p>
        </w:tc>
      </w:tr>
    </w:tbl>
    <w:p w:rsidR="00E923F7" w:rsidRPr="00E923F7" w:rsidRDefault="00E923F7" w:rsidP="00E923F7">
      <w:pPr>
        <w:spacing w:line="276" w:lineRule="auto"/>
        <w:jc w:val="both"/>
        <w:rPr>
          <w:rFonts w:asciiTheme="minorHAnsi" w:hAnsiTheme="minorHAnsi"/>
          <w:sz w:val="8"/>
          <w:szCs w:val="8"/>
          <w:lang w:val="sq-AL"/>
        </w:rPr>
      </w:pPr>
    </w:p>
    <w:p w:rsidR="006308E8" w:rsidRPr="00BB7F2F" w:rsidRDefault="006308E8" w:rsidP="00E923F7">
      <w:pPr>
        <w:spacing w:line="276" w:lineRule="auto"/>
        <w:jc w:val="both"/>
        <w:rPr>
          <w:rFonts w:asciiTheme="minorHAnsi" w:hAnsiTheme="minorHAnsi"/>
          <w:lang w:val="sq-AL"/>
        </w:rPr>
      </w:pPr>
      <w:r w:rsidRPr="00BB7F2F">
        <w:rPr>
          <w:rFonts w:asciiTheme="minorHAnsi" w:hAnsiTheme="minorHAnsi"/>
          <w:lang w:val="sq-AL"/>
        </w:rPr>
        <w:t xml:space="preserve">Në programin </w:t>
      </w:r>
      <w:r w:rsidRPr="00BB7F2F">
        <w:rPr>
          <w:rFonts w:asciiTheme="minorHAnsi" w:hAnsiTheme="minorHAnsi"/>
          <w:b/>
          <w:lang w:val="sq-AL"/>
        </w:rPr>
        <w:t>“Shërbime të Kujdesit Shëndetësor Parësor”</w:t>
      </w:r>
      <w:r w:rsidRPr="00BB7F2F">
        <w:rPr>
          <w:rFonts w:asciiTheme="minorHAnsi" w:hAnsiTheme="minorHAnsi"/>
          <w:color w:val="000000"/>
          <w:lang w:val="sq-AL"/>
        </w:rPr>
        <w:t xml:space="preserve"> </w:t>
      </w:r>
      <w:r w:rsidRPr="00BB7F2F">
        <w:rPr>
          <w:rFonts w:asciiTheme="minorHAnsi" w:hAnsiTheme="minorHAnsi"/>
          <w:lang w:val="sq-AL"/>
        </w:rPr>
        <w:t>janë realizuar objektivat e:</w:t>
      </w:r>
    </w:p>
    <w:p w:rsidR="006308E8" w:rsidRPr="00BB7F2F" w:rsidRDefault="006308E8" w:rsidP="00503465">
      <w:pPr>
        <w:numPr>
          <w:ilvl w:val="0"/>
          <w:numId w:val="19"/>
        </w:numPr>
        <w:spacing w:line="276" w:lineRule="auto"/>
        <w:jc w:val="both"/>
        <w:rPr>
          <w:rFonts w:asciiTheme="minorHAnsi" w:eastAsia="MS Mincho" w:hAnsiTheme="minorHAnsi"/>
          <w:lang w:val="sq-AL"/>
        </w:rPr>
      </w:pPr>
      <w:r w:rsidRPr="00BB7F2F">
        <w:rPr>
          <w:rFonts w:asciiTheme="minorHAnsi" w:eastAsia="MS Mincho" w:hAnsiTheme="minorHAnsi"/>
          <w:lang w:val="sq-AL"/>
        </w:rPr>
        <w:t>Përmirësimi i shërbimeve parandaluese dhe të diagnostikimit të hershëm të sëmundjeve për persona që do të kryejnë kontrollin mjekësor bazë periodik.</w:t>
      </w:r>
    </w:p>
    <w:p w:rsidR="006308E8" w:rsidRPr="00BB7F2F" w:rsidRDefault="006308E8" w:rsidP="00503465">
      <w:pPr>
        <w:numPr>
          <w:ilvl w:val="0"/>
          <w:numId w:val="19"/>
        </w:numPr>
        <w:spacing w:line="276" w:lineRule="auto"/>
        <w:jc w:val="both"/>
        <w:rPr>
          <w:rFonts w:asciiTheme="minorHAnsi" w:eastAsia="MS Mincho" w:hAnsiTheme="minorHAnsi"/>
          <w:lang w:val="sq-AL"/>
        </w:rPr>
      </w:pPr>
      <w:r w:rsidRPr="00BB7F2F">
        <w:rPr>
          <w:rFonts w:asciiTheme="minorHAnsi" w:eastAsia="MS Mincho" w:hAnsiTheme="minorHAnsi"/>
          <w:lang w:val="sq-AL"/>
        </w:rPr>
        <w:t>Përmirësim i ofrimit të shërbimit parësor nëpërmjet zgjerimit të skemës së medikamenteve për të gjithë popullatën e siguruar ose jo.</w:t>
      </w:r>
    </w:p>
    <w:p w:rsidR="006308E8" w:rsidRPr="00BB7F2F" w:rsidRDefault="006308E8" w:rsidP="00503465">
      <w:pPr>
        <w:numPr>
          <w:ilvl w:val="0"/>
          <w:numId w:val="19"/>
        </w:numPr>
        <w:spacing w:line="276" w:lineRule="auto"/>
        <w:jc w:val="both"/>
        <w:rPr>
          <w:rFonts w:asciiTheme="minorHAnsi" w:eastAsia="MS Mincho" w:hAnsiTheme="minorHAnsi"/>
          <w:lang w:val="sq-AL"/>
        </w:rPr>
      </w:pPr>
      <w:r w:rsidRPr="00BB7F2F">
        <w:rPr>
          <w:rFonts w:asciiTheme="minorHAnsi" w:eastAsia="MS Mincho" w:hAnsiTheme="minorHAnsi"/>
          <w:lang w:val="sq-AL"/>
        </w:rPr>
        <w:t>Plotësim i qendrave shëndetësore me infrastrukturën e nevojshme për funksionimin e sistemit të informacionit.</w:t>
      </w:r>
    </w:p>
    <w:p w:rsidR="006308E8" w:rsidRPr="00BB7F2F" w:rsidRDefault="006308E8" w:rsidP="00E923F7">
      <w:pPr>
        <w:spacing w:line="276" w:lineRule="auto"/>
        <w:jc w:val="both"/>
        <w:rPr>
          <w:rFonts w:asciiTheme="minorHAnsi" w:hAnsiTheme="minorHAnsi"/>
          <w:lang w:val="sq-AL"/>
        </w:rPr>
      </w:pPr>
      <w:r w:rsidRPr="00BB7F2F">
        <w:rPr>
          <w:rFonts w:asciiTheme="minorHAnsi" w:hAnsiTheme="minorHAnsi"/>
          <w:lang w:val="sq-AL"/>
        </w:rPr>
        <w:t>Këto objektiva janë arritur nëpërmjet realizimit të produkteve, si më poshtë:</w:t>
      </w:r>
    </w:p>
    <w:p w:rsidR="006308E8" w:rsidRPr="00BB7F2F" w:rsidRDefault="006308E8" w:rsidP="00503465">
      <w:pPr>
        <w:numPr>
          <w:ilvl w:val="0"/>
          <w:numId w:val="16"/>
        </w:numPr>
        <w:spacing w:line="276" w:lineRule="auto"/>
        <w:ind w:left="810"/>
        <w:jc w:val="both"/>
        <w:rPr>
          <w:rFonts w:asciiTheme="minorHAnsi" w:hAnsiTheme="minorHAnsi"/>
          <w:i/>
          <w:u w:val="single"/>
          <w:lang w:val="sq-AL"/>
        </w:rPr>
      </w:pPr>
      <w:r w:rsidRPr="00BB7F2F">
        <w:rPr>
          <w:rFonts w:asciiTheme="minorHAnsi" w:hAnsiTheme="minorHAnsi"/>
          <w:lang w:val="sq-AL"/>
        </w:rPr>
        <w:t xml:space="preserve"> “Mbulimi me kujdesin parësor ”, janë realizuar vizita tek mjeku i familjes, gjatë kësaj periudhe , 2.066.445 pacientë me një kosto faktike rreth 807 milionë lekë. </w:t>
      </w:r>
    </w:p>
    <w:p w:rsidR="006308E8" w:rsidRPr="00E923F7" w:rsidRDefault="006308E8" w:rsidP="00503465">
      <w:pPr>
        <w:numPr>
          <w:ilvl w:val="0"/>
          <w:numId w:val="16"/>
        </w:numPr>
        <w:spacing w:line="276" w:lineRule="auto"/>
        <w:ind w:left="810"/>
        <w:jc w:val="both"/>
        <w:rPr>
          <w:rFonts w:asciiTheme="minorHAnsi" w:hAnsiTheme="minorHAnsi"/>
          <w:lang w:val="sq-AL"/>
        </w:rPr>
      </w:pPr>
      <w:r w:rsidRPr="00BB7F2F">
        <w:rPr>
          <w:rFonts w:asciiTheme="minorHAnsi" w:hAnsiTheme="minorHAnsi"/>
          <w:lang w:val="sq-AL"/>
        </w:rPr>
        <w:t xml:space="preserve">“Kryerja e Chek-Up”, ku gjatë 4/Mujorit te parë të vitit 2020 kanë kryer chek-up rreth 100 mijë  pacientë me një kosto faktike rreth 352 milionë lekë. </w:t>
      </w:r>
    </w:p>
    <w:p w:rsidR="006308E8" w:rsidRPr="00E923F7" w:rsidRDefault="006308E8" w:rsidP="00503465">
      <w:pPr>
        <w:numPr>
          <w:ilvl w:val="0"/>
          <w:numId w:val="16"/>
        </w:numPr>
        <w:spacing w:line="276" w:lineRule="auto"/>
        <w:ind w:left="810"/>
        <w:jc w:val="both"/>
        <w:rPr>
          <w:rFonts w:asciiTheme="minorHAnsi" w:hAnsiTheme="minorHAnsi"/>
          <w:lang w:val="sq-AL"/>
        </w:rPr>
      </w:pPr>
      <w:r w:rsidRPr="00E923F7">
        <w:rPr>
          <w:rFonts w:asciiTheme="minorHAnsi" w:hAnsiTheme="minorHAnsi"/>
          <w:lang w:val="sq-AL"/>
        </w:rPr>
        <w:t>“Pacientë të trajtuar me recetë me rimbursim nga mjeku i familjes” , me një kosto faktike prej 1,728 milionë lekë për 343.266 pacientë</w:t>
      </w:r>
    </w:p>
    <w:p w:rsidR="006308E8" w:rsidRPr="00BB7F2F" w:rsidRDefault="006308E8" w:rsidP="00E923F7">
      <w:pPr>
        <w:spacing w:before="240" w:line="276" w:lineRule="auto"/>
        <w:jc w:val="both"/>
        <w:rPr>
          <w:rFonts w:asciiTheme="minorHAnsi" w:hAnsiTheme="minorHAnsi"/>
          <w:lang w:val="sq-AL"/>
        </w:rPr>
      </w:pPr>
      <w:r w:rsidRPr="00BB7F2F">
        <w:rPr>
          <w:rFonts w:asciiTheme="minorHAnsi" w:hAnsiTheme="minorHAnsi"/>
          <w:lang w:val="sq-AL"/>
        </w:rPr>
        <w:t>Në programin</w:t>
      </w:r>
      <w:r w:rsidRPr="00BB7F2F">
        <w:rPr>
          <w:rFonts w:asciiTheme="minorHAnsi" w:hAnsiTheme="minorHAnsi"/>
          <w:b/>
          <w:lang w:val="sq-AL"/>
        </w:rPr>
        <w:t xml:space="preserve"> “Shërbime të Kujdesit Shëndetësor Dytësor”</w:t>
      </w:r>
      <w:r w:rsidRPr="00BB7F2F">
        <w:rPr>
          <w:rFonts w:asciiTheme="minorHAnsi" w:hAnsiTheme="minorHAnsi"/>
          <w:color w:val="000000"/>
          <w:lang w:val="sq-AL"/>
        </w:rPr>
        <w:t xml:space="preserve"> </w:t>
      </w:r>
      <w:r w:rsidRPr="00BB7F2F">
        <w:rPr>
          <w:rFonts w:asciiTheme="minorHAnsi" w:hAnsiTheme="minorHAnsi"/>
          <w:lang w:val="sq-AL"/>
        </w:rPr>
        <w:t>janë realizuar objektivat e:</w:t>
      </w:r>
    </w:p>
    <w:p w:rsidR="006308E8" w:rsidRPr="00BB7F2F" w:rsidRDefault="006308E8" w:rsidP="00503465">
      <w:pPr>
        <w:numPr>
          <w:ilvl w:val="0"/>
          <w:numId w:val="15"/>
        </w:numPr>
        <w:spacing w:line="276" w:lineRule="auto"/>
        <w:contextualSpacing/>
        <w:jc w:val="both"/>
        <w:rPr>
          <w:rFonts w:asciiTheme="minorHAnsi" w:hAnsiTheme="minorHAnsi"/>
          <w:lang w:val="sq-AL"/>
        </w:rPr>
      </w:pPr>
      <w:r w:rsidRPr="00BB7F2F">
        <w:rPr>
          <w:rFonts w:asciiTheme="minorHAnsi" w:hAnsiTheme="minorHAnsi"/>
          <w:lang w:val="sq-AL"/>
        </w:rPr>
        <w:t>Mbulimit të popullatës me kujdes mjekësor spitalor;</w:t>
      </w:r>
    </w:p>
    <w:p w:rsidR="006308E8" w:rsidRPr="00BB7F2F" w:rsidRDefault="006308E8" w:rsidP="00503465">
      <w:pPr>
        <w:numPr>
          <w:ilvl w:val="0"/>
          <w:numId w:val="15"/>
        </w:numPr>
        <w:spacing w:after="120" w:line="276" w:lineRule="auto"/>
        <w:contextualSpacing/>
        <w:jc w:val="both"/>
        <w:rPr>
          <w:rFonts w:asciiTheme="minorHAnsi" w:hAnsiTheme="minorHAnsi"/>
          <w:lang w:val="sq-AL"/>
        </w:rPr>
      </w:pPr>
      <w:r w:rsidRPr="00BB7F2F">
        <w:rPr>
          <w:rFonts w:asciiTheme="minorHAnsi" w:hAnsiTheme="minorHAnsi"/>
          <w:lang w:val="sq-AL"/>
        </w:rPr>
        <w:t xml:space="preserve">Rritja e efektshmërisë në dhënien e shërbimit spitalor nëpërmjet uljes së kohës së pritjes së pacientëve që kanë nevojë për shërbim spitalor të 10 paketave të shërbimeve në spitalet publike e private të financuara nga FSDKSH. </w:t>
      </w:r>
    </w:p>
    <w:p w:rsidR="006308E8" w:rsidRPr="00BB7F2F" w:rsidRDefault="006308E8" w:rsidP="00503465">
      <w:pPr>
        <w:numPr>
          <w:ilvl w:val="0"/>
          <w:numId w:val="15"/>
        </w:numPr>
        <w:spacing w:after="120" w:line="276" w:lineRule="auto"/>
        <w:contextualSpacing/>
        <w:jc w:val="both"/>
        <w:rPr>
          <w:rFonts w:asciiTheme="minorHAnsi" w:hAnsiTheme="minorHAnsi"/>
          <w:lang w:val="sq-AL"/>
        </w:rPr>
      </w:pPr>
      <w:r w:rsidRPr="00BB7F2F">
        <w:rPr>
          <w:rFonts w:asciiTheme="minorHAnsi" w:hAnsiTheme="minorHAnsi"/>
          <w:lang w:val="sq-AL"/>
        </w:rPr>
        <w:t>Rritja e sigurisë së shërbimit të rregjistrimit</w:t>
      </w:r>
      <w:r w:rsidR="00E923F7">
        <w:rPr>
          <w:rFonts w:asciiTheme="minorHAnsi" w:hAnsiTheme="minorHAnsi"/>
          <w:lang w:val="sq-AL"/>
        </w:rPr>
        <w:t xml:space="preserve">, </w:t>
      </w:r>
      <w:r w:rsidRPr="00BB7F2F">
        <w:rPr>
          <w:rFonts w:asciiTheme="minorHAnsi" w:hAnsiTheme="minorHAnsi"/>
          <w:lang w:val="sq-AL"/>
        </w:rPr>
        <w:t>kontrollit të barnave e materialeve mjekësore;</w:t>
      </w:r>
    </w:p>
    <w:p w:rsidR="006308E8" w:rsidRPr="00BB7F2F" w:rsidRDefault="006308E8" w:rsidP="00503465">
      <w:pPr>
        <w:numPr>
          <w:ilvl w:val="0"/>
          <w:numId w:val="15"/>
        </w:numPr>
        <w:spacing w:after="120" w:line="276" w:lineRule="auto"/>
        <w:contextualSpacing/>
        <w:jc w:val="both"/>
        <w:rPr>
          <w:rFonts w:asciiTheme="minorHAnsi" w:hAnsiTheme="minorHAnsi"/>
          <w:lang w:val="sq-AL"/>
        </w:rPr>
      </w:pPr>
      <w:r w:rsidRPr="00BB7F2F">
        <w:rPr>
          <w:rFonts w:asciiTheme="minorHAnsi" w:hAnsiTheme="minorHAnsi"/>
          <w:lang w:val="sq-AL"/>
        </w:rPr>
        <w:t xml:space="preserve">Rritja e aksesit të pacientëve për shërbimin e dializës, nëpërmjet ofrimit në qendra të reja; </w:t>
      </w:r>
    </w:p>
    <w:p w:rsidR="006308E8" w:rsidRPr="00BB7F2F" w:rsidRDefault="006308E8" w:rsidP="00503465">
      <w:pPr>
        <w:numPr>
          <w:ilvl w:val="0"/>
          <w:numId w:val="15"/>
        </w:numPr>
        <w:spacing w:after="120" w:line="276" w:lineRule="auto"/>
        <w:contextualSpacing/>
        <w:jc w:val="both"/>
        <w:rPr>
          <w:rFonts w:asciiTheme="minorHAnsi" w:hAnsiTheme="minorHAnsi"/>
          <w:lang w:val="sq-AL"/>
        </w:rPr>
      </w:pPr>
      <w:r w:rsidRPr="00BB7F2F">
        <w:rPr>
          <w:rFonts w:asciiTheme="minorHAnsi" w:hAnsiTheme="minorHAnsi"/>
          <w:lang w:val="sq-AL"/>
        </w:rPr>
        <w:t xml:space="preserve">Plotësimin e nevojave të spitaleve me infrastrukturë ndërtimore, </w:t>
      </w:r>
    </w:p>
    <w:p w:rsidR="00121650" w:rsidRDefault="00121650" w:rsidP="006308E8">
      <w:pPr>
        <w:spacing w:line="276" w:lineRule="auto"/>
        <w:jc w:val="both"/>
        <w:rPr>
          <w:rFonts w:asciiTheme="minorHAnsi" w:hAnsiTheme="minorHAnsi"/>
          <w:lang w:val="sq-AL"/>
        </w:rPr>
      </w:pPr>
    </w:p>
    <w:p w:rsidR="006308E8" w:rsidRPr="00BB7F2F" w:rsidRDefault="006308E8" w:rsidP="006308E8">
      <w:pPr>
        <w:spacing w:line="276" w:lineRule="auto"/>
        <w:jc w:val="both"/>
        <w:rPr>
          <w:rFonts w:asciiTheme="minorHAnsi" w:hAnsiTheme="minorHAnsi"/>
          <w:lang w:val="sq-AL"/>
        </w:rPr>
      </w:pPr>
      <w:r w:rsidRPr="00BB7F2F">
        <w:rPr>
          <w:rFonts w:asciiTheme="minorHAnsi" w:hAnsiTheme="minorHAnsi"/>
          <w:lang w:val="sq-AL"/>
        </w:rPr>
        <w:lastRenderedPageBreak/>
        <w:t>Këto objektiva janë realizuar nëpërmjet  produkteve, performanca e të cilave për 4/mujorin e parë të vitit 2020, është si më poshtë:</w:t>
      </w:r>
    </w:p>
    <w:p w:rsidR="006308E8" w:rsidRPr="00BB7F2F" w:rsidRDefault="006308E8" w:rsidP="00503465">
      <w:pPr>
        <w:numPr>
          <w:ilvl w:val="0"/>
          <w:numId w:val="16"/>
        </w:numPr>
        <w:spacing w:line="276" w:lineRule="auto"/>
        <w:ind w:left="810"/>
        <w:jc w:val="both"/>
        <w:rPr>
          <w:rFonts w:asciiTheme="minorHAnsi" w:hAnsiTheme="minorHAnsi"/>
          <w:lang w:val="sq-AL"/>
        </w:rPr>
      </w:pPr>
      <w:r w:rsidRPr="00BB7F2F">
        <w:rPr>
          <w:rFonts w:asciiTheme="minorHAnsi" w:hAnsiTheme="minorHAnsi"/>
          <w:lang w:val="sq-AL"/>
        </w:rPr>
        <w:t xml:space="preserve">“Trajtimi i pacientëve të shtruar në spitale”, ku janë shtruar 82.790 pacientë me një kosto faktike prej rreth 5,667 milionë lekë. </w:t>
      </w:r>
    </w:p>
    <w:p w:rsidR="006308E8" w:rsidRPr="00BB7F2F" w:rsidRDefault="006308E8" w:rsidP="00503465">
      <w:pPr>
        <w:numPr>
          <w:ilvl w:val="0"/>
          <w:numId w:val="16"/>
        </w:numPr>
        <w:spacing w:line="276" w:lineRule="auto"/>
        <w:ind w:left="810"/>
        <w:jc w:val="both"/>
        <w:rPr>
          <w:rFonts w:asciiTheme="minorHAnsi" w:hAnsiTheme="minorHAnsi"/>
          <w:lang w:val="sq-AL"/>
        </w:rPr>
      </w:pPr>
      <w:r w:rsidRPr="00BB7F2F">
        <w:rPr>
          <w:rFonts w:asciiTheme="minorHAnsi" w:hAnsiTheme="minorHAnsi"/>
          <w:lang w:val="sq-AL"/>
        </w:rPr>
        <w:t xml:space="preserve">“Pacientë të trajtuar nga paketat spitalore”, ku janë trajtuar 2.239 pacientë, me një kosto faktike, prej 245 milion lekë; </w:t>
      </w:r>
    </w:p>
    <w:p w:rsidR="006308E8" w:rsidRPr="00BB7F2F" w:rsidRDefault="006308E8" w:rsidP="00503465">
      <w:pPr>
        <w:numPr>
          <w:ilvl w:val="0"/>
          <w:numId w:val="16"/>
        </w:numPr>
        <w:spacing w:line="276" w:lineRule="auto"/>
        <w:ind w:left="810"/>
        <w:jc w:val="both"/>
        <w:rPr>
          <w:rFonts w:asciiTheme="minorHAnsi" w:hAnsiTheme="minorHAnsi"/>
          <w:lang w:val="sq-AL"/>
        </w:rPr>
      </w:pPr>
      <w:r w:rsidRPr="00BB7F2F">
        <w:rPr>
          <w:rFonts w:asciiTheme="minorHAnsi" w:hAnsiTheme="minorHAnsi"/>
          <w:lang w:val="sq-AL"/>
        </w:rPr>
        <w:t>“Trajtimi i pacientëve në spitalet psikiatrike”, ku janë trajtuar 425 pacientë, me një kosto faktike, prej 200 milionë lekë, nga 1450  pacientë të planifikuar me një kosto 714 milion lekë.</w:t>
      </w:r>
    </w:p>
    <w:p w:rsidR="006308E8" w:rsidRPr="00BB7F2F" w:rsidRDefault="006308E8" w:rsidP="00503465">
      <w:pPr>
        <w:numPr>
          <w:ilvl w:val="0"/>
          <w:numId w:val="16"/>
        </w:numPr>
        <w:spacing w:line="276" w:lineRule="auto"/>
        <w:ind w:left="810"/>
        <w:jc w:val="both"/>
        <w:rPr>
          <w:rFonts w:asciiTheme="minorHAnsi" w:hAnsiTheme="minorHAnsi"/>
          <w:lang w:val="sq-AL"/>
        </w:rPr>
      </w:pPr>
      <w:r w:rsidRPr="00BB7F2F">
        <w:rPr>
          <w:rFonts w:asciiTheme="minorHAnsi" w:hAnsiTheme="minorHAnsi"/>
          <w:lang w:val="sq-AL"/>
        </w:rPr>
        <w:t>“Pacientë të trajtuar me dializë”, ku janë kryer 64,290 seanca me një kosto faktike prej 725 milionë lekë, duke rritur aksesin e pacientëve për shërbimin e dializës nëpërmjet ofrimit në 5 qendra të reja.</w:t>
      </w:r>
    </w:p>
    <w:p w:rsidR="006308E8" w:rsidRPr="00BB7F2F" w:rsidRDefault="006308E8" w:rsidP="006308E8">
      <w:pPr>
        <w:spacing w:before="240" w:line="276" w:lineRule="auto"/>
        <w:ind w:left="360"/>
        <w:jc w:val="both"/>
        <w:rPr>
          <w:rFonts w:asciiTheme="minorHAnsi" w:hAnsiTheme="minorHAnsi"/>
          <w:lang w:val="sq-AL"/>
        </w:rPr>
      </w:pPr>
      <w:r w:rsidRPr="00BB7F2F">
        <w:rPr>
          <w:rFonts w:asciiTheme="minorHAnsi" w:hAnsiTheme="minorHAnsi"/>
          <w:lang w:val="sq-AL"/>
        </w:rPr>
        <w:t>Në programin</w:t>
      </w:r>
      <w:r w:rsidRPr="00BB7F2F">
        <w:rPr>
          <w:rFonts w:asciiTheme="minorHAnsi" w:hAnsiTheme="minorHAnsi"/>
          <w:b/>
          <w:lang w:val="sq-AL"/>
        </w:rPr>
        <w:t xml:space="preserve"> “Shërbime të Shëndetit Publik”</w:t>
      </w:r>
      <w:r w:rsidRPr="00BB7F2F">
        <w:rPr>
          <w:rFonts w:asciiTheme="minorHAnsi" w:hAnsiTheme="minorHAnsi"/>
          <w:lang w:val="sq-AL"/>
        </w:rPr>
        <w:t xml:space="preserve"> janë realizuar objektivat e:</w:t>
      </w:r>
    </w:p>
    <w:p w:rsidR="006308E8" w:rsidRPr="00BB7F2F" w:rsidRDefault="006308E8" w:rsidP="00503465">
      <w:pPr>
        <w:numPr>
          <w:ilvl w:val="0"/>
          <w:numId w:val="15"/>
        </w:numPr>
        <w:spacing w:after="120" w:line="276" w:lineRule="auto"/>
        <w:contextualSpacing/>
        <w:jc w:val="both"/>
        <w:rPr>
          <w:rFonts w:asciiTheme="minorHAnsi" w:hAnsiTheme="minorHAnsi"/>
          <w:lang w:val="sq-AL"/>
        </w:rPr>
      </w:pPr>
      <w:r w:rsidRPr="00BB7F2F">
        <w:rPr>
          <w:rFonts w:asciiTheme="minorHAnsi" w:hAnsiTheme="minorHAnsi"/>
          <w:lang w:val="sq-AL"/>
        </w:rPr>
        <w:t xml:space="preserve">Sigurimit të qëndrueshmërisë së mbulesës vaksinare, për vaksinat e kalendarit të vaksinimit; </w:t>
      </w:r>
    </w:p>
    <w:p w:rsidR="006308E8" w:rsidRPr="00BB7F2F" w:rsidRDefault="006308E8" w:rsidP="00503465">
      <w:pPr>
        <w:numPr>
          <w:ilvl w:val="0"/>
          <w:numId w:val="15"/>
        </w:numPr>
        <w:spacing w:after="120" w:line="276" w:lineRule="auto"/>
        <w:contextualSpacing/>
        <w:jc w:val="both"/>
        <w:rPr>
          <w:rFonts w:asciiTheme="minorHAnsi" w:hAnsiTheme="minorHAnsi"/>
          <w:lang w:val="sq-AL"/>
        </w:rPr>
      </w:pPr>
      <w:r w:rsidRPr="00BB7F2F">
        <w:rPr>
          <w:rFonts w:asciiTheme="minorHAnsi" w:hAnsiTheme="minorHAnsi"/>
          <w:lang w:val="sq-AL"/>
        </w:rPr>
        <w:t xml:space="preserve">Reduktimit të numrit të shpërthimeve epidemike me burim ndotjen e ujit;  </w:t>
      </w:r>
    </w:p>
    <w:p w:rsidR="006308E8" w:rsidRPr="00BB7F2F" w:rsidRDefault="006308E8" w:rsidP="00503465">
      <w:pPr>
        <w:numPr>
          <w:ilvl w:val="0"/>
          <w:numId w:val="15"/>
        </w:numPr>
        <w:spacing w:after="120" w:line="276" w:lineRule="auto"/>
        <w:contextualSpacing/>
        <w:jc w:val="both"/>
        <w:rPr>
          <w:rFonts w:asciiTheme="minorHAnsi" w:hAnsiTheme="minorHAnsi"/>
          <w:lang w:val="sq-AL"/>
        </w:rPr>
      </w:pPr>
      <w:r w:rsidRPr="00BB7F2F">
        <w:rPr>
          <w:rFonts w:asciiTheme="minorHAnsi" w:hAnsiTheme="minorHAnsi"/>
          <w:lang w:val="sq-AL"/>
        </w:rPr>
        <w:t xml:space="preserve">Rritjes së përputhshmërisë ligjore dhe ndëshkimin e parregullsive të evidentuara nëpërmjet sigurimit të kryerjes së inspektime shëndetësore; </w:t>
      </w:r>
    </w:p>
    <w:p w:rsidR="006308E8" w:rsidRPr="00BB7F2F" w:rsidRDefault="006308E8" w:rsidP="00503465">
      <w:pPr>
        <w:numPr>
          <w:ilvl w:val="0"/>
          <w:numId w:val="15"/>
        </w:numPr>
        <w:spacing w:after="120" w:line="276" w:lineRule="auto"/>
        <w:contextualSpacing/>
        <w:jc w:val="both"/>
        <w:rPr>
          <w:rFonts w:asciiTheme="minorHAnsi" w:hAnsiTheme="minorHAnsi"/>
          <w:lang w:val="sq-AL"/>
        </w:rPr>
      </w:pPr>
      <w:r w:rsidRPr="00BB7F2F">
        <w:rPr>
          <w:rFonts w:asciiTheme="minorHAnsi" w:hAnsiTheme="minorHAnsi"/>
          <w:lang w:val="sq-AL"/>
        </w:rPr>
        <w:t xml:space="preserve">Depistimit të grave për kancerin e gjirit. </w:t>
      </w:r>
    </w:p>
    <w:p w:rsidR="00E923F7" w:rsidRPr="00E923F7" w:rsidRDefault="00E923F7" w:rsidP="006308E8">
      <w:pPr>
        <w:spacing w:after="120" w:line="276" w:lineRule="auto"/>
        <w:jc w:val="both"/>
        <w:rPr>
          <w:rFonts w:asciiTheme="minorHAnsi" w:hAnsiTheme="minorHAnsi"/>
          <w:sz w:val="8"/>
          <w:szCs w:val="8"/>
          <w:lang w:val="sq-AL"/>
        </w:rPr>
      </w:pPr>
    </w:p>
    <w:p w:rsidR="006308E8" w:rsidRPr="00BB7F2F" w:rsidRDefault="006308E8" w:rsidP="006308E8">
      <w:pPr>
        <w:spacing w:after="120" w:line="276" w:lineRule="auto"/>
        <w:jc w:val="both"/>
        <w:rPr>
          <w:rFonts w:asciiTheme="minorHAnsi" w:hAnsiTheme="minorHAnsi"/>
          <w:lang w:val="sq-AL"/>
        </w:rPr>
      </w:pPr>
      <w:r w:rsidRPr="00BB7F2F">
        <w:rPr>
          <w:rFonts w:asciiTheme="minorHAnsi" w:hAnsiTheme="minorHAnsi"/>
          <w:lang w:val="sq-AL"/>
        </w:rPr>
        <w:t>Këto objektiva, për 4/mujorin e parë të vitit 2020, janë realizuar nëpërmjet realizimit të produkteve, performanca e të cilave paraqitet si më poshtë:</w:t>
      </w:r>
    </w:p>
    <w:p w:rsidR="006308E8" w:rsidRPr="00BB7F2F" w:rsidRDefault="006308E8" w:rsidP="00503465">
      <w:pPr>
        <w:numPr>
          <w:ilvl w:val="0"/>
          <w:numId w:val="16"/>
        </w:numPr>
        <w:spacing w:line="276" w:lineRule="auto"/>
        <w:ind w:left="810"/>
        <w:jc w:val="both"/>
        <w:rPr>
          <w:rFonts w:asciiTheme="minorHAnsi" w:hAnsiTheme="minorHAnsi"/>
          <w:lang w:val="sq-AL"/>
        </w:rPr>
      </w:pPr>
      <w:r w:rsidRPr="00BB7F2F">
        <w:rPr>
          <w:rFonts w:asciiTheme="minorHAnsi" w:hAnsiTheme="minorHAnsi"/>
          <w:lang w:val="sq-AL"/>
        </w:rPr>
        <w:t>“Inspektime të kryera nga inspektoriatet” është realizuar me një kosto faktike prej 63 milion lekë dhe janë kryer 4.711 inspektime.</w:t>
      </w:r>
    </w:p>
    <w:p w:rsidR="006308E8" w:rsidRPr="00BB7F2F" w:rsidRDefault="006308E8" w:rsidP="00503465">
      <w:pPr>
        <w:numPr>
          <w:ilvl w:val="0"/>
          <w:numId w:val="16"/>
        </w:numPr>
        <w:spacing w:line="276" w:lineRule="auto"/>
        <w:ind w:left="810"/>
        <w:jc w:val="both"/>
        <w:rPr>
          <w:rFonts w:asciiTheme="minorHAnsi" w:hAnsiTheme="minorHAnsi"/>
          <w:lang w:val="sq-AL"/>
        </w:rPr>
      </w:pPr>
      <w:r w:rsidRPr="00BB7F2F">
        <w:rPr>
          <w:rFonts w:asciiTheme="minorHAnsi" w:hAnsiTheme="minorHAnsi"/>
          <w:lang w:val="sq-AL"/>
        </w:rPr>
        <w:t xml:space="preserve">“Blerja dhe monitorimi i vaksinave” është realizuar me një kosto faktike prej rreth 124 milion lekë dhe janë vaksinuar rreth 66.495 fëmijë. </w:t>
      </w:r>
    </w:p>
    <w:p w:rsidR="006308E8" w:rsidRPr="00BB7F2F" w:rsidRDefault="006308E8" w:rsidP="00503465">
      <w:pPr>
        <w:numPr>
          <w:ilvl w:val="0"/>
          <w:numId w:val="16"/>
        </w:numPr>
        <w:spacing w:line="276" w:lineRule="auto"/>
        <w:ind w:left="810"/>
        <w:jc w:val="both"/>
        <w:rPr>
          <w:rFonts w:asciiTheme="minorHAnsi" w:hAnsiTheme="minorHAnsi"/>
          <w:lang w:val="sq-AL"/>
        </w:rPr>
      </w:pPr>
      <w:r w:rsidRPr="00BB7F2F">
        <w:rPr>
          <w:rFonts w:asciiTheme="minorHAnsi" w:hAnsiTheme="minorHAnsi"/>
          <w:lang w:val="sq-AL"/>
        </w:rPr>
        <w:t>“Monitorimi i situatave epidemiollogjike”, është realizuar me një kosto faktike prej   583 milion lekë dhe janë kryer rreth 866</w:t>
      </w:r>
      <w:r w:rsidRPr="00BB7F2F">
        <w:rPr>
          <w:rFonts w:asciiTheme="minorHAnsi" w:hAnsiTheme="minorHAnsi"/>
          <w:color w:val="FF0000"/>
          <w:lang w:val="sq-AL"/>
        </w:rPr>
        <w:t xml:space="preserve"> </w:t>
      </w:r>
      <w:r w:rsidRPr="00BB7F2F">
        <w:rPr>
          <w:rFonts w:asciiTheme="minorHAnsi" w:hAnsiTheme="minorHAnsi"/>
          <w:lang w:val="sq-AL"/>
        </w:rPr>
        <w:t>kontrolle për të monitoruar agjentët mjedisore për ujrat, ambjentin, ushqyerjen, shëndetin në punë, duke respektuar standartet e BE-se.</w:t>
      </w:r>
    </w:p>
    <w:p w:rsidR="006308E8" w:rsidRPr="00BB7F2F" w:rsidRDefault="006308E8" w:rsidP="00503465">
      <w:pPr>
        <w:numPr>
          <w:ilvl w:val="0"/>
          <w:numId w:val="16"/>
        </w:numPr>
        <w:spacing w:line="276" w:lineRule="auto"/>
        <w:ind w:left="810"/>
        <w:jc w:val="both"/>
        <w:rPr>
          <w:rFonts w:asciiTheme="minorHAnsi" w:hAnsiTheme="minorHAnsi"/>
          <w:lang w:val="sq-AL"/>
        </w:rPr>
      </w:pPr>
      <w:r w:rsidRPr="00BB7F2F">
        <w:rPr>
          <w:rFonts w:asciiTheme="minorHAnsi" w:hAnsiTheme="minorHAnsi"/>
          <w:lang w:val="sq-AL"/>
        </w:rPr>
        <w:t>“Depistimi i grave për kancerin e gjirit”, ku janë depistuar 951 gra me një kosto faktike prej 2,5 milionë lekë.</w:t>
      </w:r>
    </w:p>
    <w:p w:rsidR="006308E8" w:rsidRPr="00BB7F2F" w:rsidRDefault="006308E8" w:rsidP="006308E8">
      <w:pPr>
        <w:spacing w:line="276" w:lineRule="auto"/>
        <w:jc w:val="both"/>
        <w:rPr>
          <w:rFonts w:asciiTheme="minorHAnsi" w:hAnsiTheme="minorHAnsi"/>
          <w:lang w:val="sq-AL"/>
        </w:rPr>
      </w:pPr>
    </w:p>
    <w:p w:rsidR="006308E8" w:rsidRPr="00BB7F2F" w:rsidRDefault="006308E8" w:rsidP="006308E8">
      <w:pPr>
        <w:spacing w:line="276" w:lineRule="auto"/>
        <w:jc w:val="both"/>
        <w:rPr>
          <w:rFonts w:asciiTheme="minorHAnsi" w:hAnsiTheme="minorHAnsi"/>
          <w:lang w:val="sq-AL"/>
        </w:rPr>
      </w:pPr>
      <w:r w:rsidRPr="00BB7F2F">
        <w:rPr>
          <w:rFonts w:asciiTheme="minorHAnsi" w:hAnsiTheme="minorHAnsi"/>
          <w:lang w:val="sq-AL"/>
        </w:rPr>
        <w:t>Në programin</w:t>
      </w:r>
      <w:r w:rsidRPr="00BB7F2F">
        <w:rPr>
          <w:rFonts w:asciiTheme="minorHAnsi" w:hAnsiTheme="minorHAnsi"/>
          <w:b/>
          <w:lang w:val="sq-AL"/>
        </w:rPr>
        <w:t xml:space="preserve"> “Kujdesit Social”</w:t>
      </w:r>
      <w:r w:rsidRPr="00BB7F2F">
        <w:rPr>
          <w:rFonts w:asciiTheme="minorHAnsi" w:hAnsiTheme="minorHAnsi"/>
          <w:color w:val="000000"/>
          <w:lang w:val="sq-AL"/>
        </w:rPr>
        <w:t xml:space="preserve"> </w:t>
      </w:r>
      <w:r w:rsidRPr="00BB7F2F">
        <w:rPr>
          <w:rFonts w:asciiTheme="minorHAnsi" w:hAnsiTheme="minorHAnsi"/>
          <w:lang w:val="sq-AL"/>
        </w:rPr>
        <w:t>janë realizuar objektivat e:</w:t>
      </w:r>
    </w:p>
    <w:p w:rsidR="006308E8" w:rsidRPr="00BB7F2F" w:rsidRDefault="006308E8" w:rsidP="00503465">
      <w:pPr>
        <w:numPr>
          <w:ilvl w:val="0"/>
          <w:numId w:val="15"/>
        </w:numPr>
        <w:spacing w:after="120" w:line="276" w:lineRule="auto"/>
        <w:contextualSpacing/>
        <w:jc w:val="both"/>
        <w:rPr>
          <w:rFonts w:asciiTheme="minorHAnsi" w:hAnsiTheme="minorHAnsi"/>
          <w:lang w:val="sq-AL"/>
        </w:rPr>
      </w:pPr>
      <w:r w:rsidRPr="00BB7F2F">
        <w:rPr>
          <w:rFonts w:asciiTheme="minorHAnsi" w:hAnsiTheme="minorHAnsi"/>
          <w:lang w:val="sq-AL"/>
        </w:rPr>
        <w:t xml:space="preserve">Reformimit të programit të përkujddesit social në tre shtylla kryesore të tij NE, PAK dhe Shërbimet </w:t>
      </w:r>
    </w:p>
    <w:p w:rsidR="006308E8" w:rsidRPr="00BB7F2F" w:rsidRDefault="006308E8" w:rsidP="00503465">
      <w:pPr>
        <w:numPr>
          <w:ilvl w:val="0"/>
          <w:numId w:val="15"/>
        </w:numPr>
        <w:spacing w:after="120" w:line="276" w:lineRule="auto"/>
        <w:contextualSpacing/>
        <w:jc w:val="both"/>
        <w:rPr>
          <w:rFonts w:asciiTheme="minorHAnsi" w:hAnsiTheme="minorHAnsi"/>
          <w:lang w:val="sq-AL"/>
        </w:rPr>
      </w:pPr>
      <w:r w:rsidRPr="00BB7F2F">
        <w:rPr>
          <w:rFonts w:asciiTheme="minorHAnsi" w:hAnsiTheme="minorHAnsi"/>
          <w:lang w:val="sq-AL"/>
        </w:rPr>
        <w:t>Përfshirja e barabartë sociale dhe ekonomike e burrave, grave, fëmijëve dhe grupeve  të margjinalizuara.</w:t>
      </w:r>
    </w:p>
    <w:p w:rsidR="006308E8" w:rsidRPr="00BB7F2F" w:rsidRDefault="006308E8" w:rsidP="00503465">
      <w:pPr>
        <w:numPr>
          <w:ilvl w:val="0"/>
          <w:numId w:val="15"/>
        </w:numPr>
        <w:spacing w:after="120" w:line="276" w:lineRule="auto"/>
        <w:contextualSpacing/>
        <w:jc w:val="both"/>
        <w:rPr>
          <w:rFonts w:asciiTheme="minorHAnsi" w:hAnsiTheme="minorHAnsi"/>
          <w:lang w:val="sq-AL"/>
        </w:rPr>
      </w:pPr>
      <w:r w:rsidRPr="00BB7F2F">
        <w:rPr>
          <w:rFonts w:asciiTheme="minorHAnsi" w:hAnsiTheme="minorHAnsi"/>
          <w:lang w:val="sq-AL"/>
        </w:rPr>
        <w:t xml:space="preserve"> Zhvillimit të Sistemit të Menaxhimit të Informacionit për mbrojtjen sociale; </w:t>
      </w:r>
    </w:p>
    <w:p w:rsidR="006308E8" w:rsidRPr="00BB7F2F" w:rsidRDefault="006308E8" w:rsidP="00503465">
      <w:pPr>
        <w:numPr>
          <w:ilvl w:val="0"/>
          <w:numId w:val="15"/>
        </w:numPr>
        <w:spacing w:after="120" w:line="276" w:lineRule="auto"/>
        <w:contextualSpacing/>
        <w:jc w:val="both"/>
        <w:rPr>
          <w:rFonts w:asciiTheme="minorHAnsi" w:hAnsiTheme="minorHAnsi"/>
          <w:lang w:val="sq-AL"/>
        </w:rPr>
      </w:pPr>
      <w:r w:rsidRPr="00BB7F2F">
        <w:rPr>
          <w:rFonts w:asciiTheme="minorHAnsi" w:hAnsiTheme="minorHAnsi"/>
          <w:lang w:val="sq-AL"/>
        </w:rPr>
        <w:t>Rritjes së kapaciteteve të strukturave qendrore, rajonale dhe vendore, në fusha që përfshijnë administrimin, monitorimin dhe vlerësimin e skemës së ndihmës ekonomike dhe përmirësimi i shërbimeve të kontrollit/auditit për të reduktuar numrin e abuzimeve.</w:t>
      </w:r>
    </w:p>
    <w:p w:rsidR="006308E8" w:rsidRPr="00BB7F2F" w:rsidRDefault="006308E8" w:rsidP="006308E8">
      <w:pPr>
        <w:spacing w:after="120" w:line="276" w:lineRule="auto"/>
        <w:ind w:left="720"/>
        <w:contextualSpacing/>
        <w:jc w:val="both"/>
        <w:rPr>
          <w:rFonts w:asciiTheme="minorHAnsi" w:hAnsiTheme="minorHAnsi"/>
          <w:lang w:val="sq-AL"/>
        </w:rPr>
      </w:pPr>
    </w:p>
    <w:p w:rsidR="006308E8" w:rsidRPr="00BB7F2F" w:rsidRDefault="006308E8" w:rsidP="006308E8">
      <w:pPr>
        <w:spacing w:line="276" w:lineRule="auto"/>
        <w:jc w:val="both"/>
        <w:rPr>
          <w:rFonts w:asciiTheme="minorHAnsi" w:hAnsiTheme="minorHAnsi"/>
          <w:lang w:val="sq-AL"/>
        </w:rPr>
      </w:pPr>
      <w:r w:rsidRPr="00BB7F2F">
        <w:rPr>
          <w:rFonts w:asciiTheme="minorHAnsi" w:hAnsiTheme="minorHAnsi"/>
          <w:lang w:val="sq-AL"/>
        </w:rPr>
        <w:lastRenderedPageBreak/>
        <w:t>Këto objektiva janë realizuar nëpërmjet  produkteve, performanca e të cilave për 4/mujorin e parë të vitit 2020, është realizuar, si më poshtë:</w:t>
      </w:r>
    </w:p>
    <w:p w:rsidR="006308E8" w:rsidRPr="00BB7F2F" w:rsidRDefault="006308E8" w:rsidP="00503465">
      <w:pPr>
        <w:numPr>
          <w:ilvl w:val="0"/>
          <w:numId w:val="16"/>
        </w:numPr>
        <w:spacing w:line="276" w:lineRule="auto"/>
        <w:ind w:left="810"/>
        <w:jc w:val="both"/>
        <w:rPr>
          <w:rFonts w:asciiTheme="minorHAnsi" w:hAnsiTheme="minorHAnsi"/>
          <w:lang w:val="sq-AL"/>
        </w:rPr>
      </w:pPr>
      <w:r w:rsidRPr="00BB7F2F">
        <w:rPr>
          <w:rFonts w:asciiTheme="minorHAnsi" w:hAnsiTheme="minorHAnsi"/>
          <w:lang w:val="sq-AL"/>
        </w:rPr>
        <w:t>“Familje dhe individë në nevojë, përfitues të ndihmës ekonomike”, është realizuar me një kosto faktike prej 1,729 milion lekë për 60.970 familje përfituese.</w:t>
      </w:r>
    </w:p>
    <w:p w:rsidR="006308E8" w:rsidRPr="00BB7F2F" w:rsidRDefault="006308E8" w:rsidP="00503465">
      <w:pPr>
        <w:numPr>
          <w:ilvl w:val="0"/>
          <w:numId w:val="16"/>
        </w:numPr>
        <w:spacing w:line="276" w:lineRule="auto"/>
        <w:ind w:left="810"/>
        <w:jc w:val="both"/>
        <w:rPr>
          <w:rFonts w:asciiTheme="minorHAnsi" w:hAnsiTheme="minorHAnsi"/>
          <w:lang w:val="sq-AL"/>
        </w:rPr>
      </w:pPr>
      <w:r w:rsidRPr="00BB7F2F">
        <w:rPr>
          <w:rFonts w:asciiTheme="minorHAnsi" w:hAnsiTheme="minorHAnsi"/>
          <w:lang w:val="sq-AL"/>
        </w:rPr>
        <w:t xml:space="preserve"> “Persona me aftësi të kufizuar përfitues nga programi i aftësisë së kufizuar” është realizuar me një kosto faktike prej 6,808 milion lekë për 167.674 persona përfitues. </w:t>
      </w:r>
    </w:p>
    <w:p w:rsidR="006308E8" w:rsidRPr="00BB7F2F" w:rsidRDefault="006308E8" w:rsidP="00503465">
      <w:pPr>
        <w:numPr>
          <w:ilvl w:val="0"/>
          <w:numId w:val="16"/>
        </w:numPr>
        <w:spacing w:line="276" w:lineRule="auto"/>
        <w:ind w:left="810"/>
        <w:contextualSpacing/>
        <w:jc w:val="both"/>
        <w:rPr>
          <w:rFonts w:asciiTheme="minorHAnsi" w:eastAsia="MS Mincho" w:hAnsiTheme="minorHAnsi"/>
          <w:lang w:val="sq-AL"/>
        </w:rPr>
      </w:pPr>
      <w:r w:rsidRPr="00BB7F2F">
        <w:rPr>
          <w:rFonts w:asciiTheme="minorHAnsi" w:eastAsia="MS Mincho" w:hAnsiTheme="minorHAnsi"/>
          <w:lang w:val="sq-AL"/>
        </w:rPr>
        <w:t xml:space="preserve">“Përfitues të shërbimeve të përkujdesit social të ofruara në qëndrat rezidenciale publike”, është realizuar me një kosto faktike prej 252 milionë lekë për 750 persona. </w:t>
      </w:r>
    </w:p>
    <w:p w:rsidR="006308E8" w:rsidRPr="00BB7F2F" w:rsidRDefault="006308E8" w:rsidP="00503465">
      <w:pPr>
        <w:numPr>
          <w:ilvl w:val="0"/>
          <w:numId w:val="16"/>
        </w:numPr>
        <w:spacing w:line="276" w:lineRule="auto"/>
        <w:ind w:left="810"/>
        <w:jc w:val="both"/>
        <w:rPr>
          <w:rFonts w:asciiTheme="minorHAnsi" w:hAnsiTheme="minorHAnsi"/>
          <w:b/>
          <w:i/>
          <w:color w:val="0070C0"/>
          <w:sz w:val="26"/>
          <w:szCs w:val="26"/>
          <w:u w:val="single"/>
          <w:lang w:val="sq-AL"/>
        </w:rPr>
      </w:pPr>
      <w:r w:rsidRPr="00BB7F2F">
        <w:rPr>
          <w:rFonts w:asciiTheme="minorHAnsi" w:eastAsia="MS Mincho" w:hAnsiTheme="minorHAnsi"/>
          <w:lang w:val="sq-AL"/>
        </w:rPr>
        <w:t xml:space="preserve">“Shperblimi i lindjes” ku kanë përfituar 30.000 bebe me një kosto faktike prej 720 </w:t>
      </w:r>
      <w:r w:rsidR="00E923F7">
        <w:rPr>
          <w:rFonts w:asciiTheme="minorHAnsi" w:eastAsia="MS Mincho" w:hAnsiTheme="minorHAnsi"/>
          <w:lang w:val="sq-AL"/>
        </w:rPr>
        <w:t>mln</w:t>
      </w:r>
      <w:r w:rsidRPr="00BB7F2F">
        <w:rPr>
          <w:rFonts w:asciiTheme="minorHAnsi" w:eastAsia="MS Mincho" w:hAnsiTheme="minorHAnsi"/>
          <w:lang w:val="sq-AL"/>
        </w:rPr>
        <w:t xml:space="preserve"> lekë</w:t>
      </w:r>
      <w:r w:rsidR="00E923F7">
        <w:rPr>
          <w:rFonts w:asciiTheme="minorHAnsi" w:eastAsia="MS Mincho" w:hAnsiTheme="minorHAnsi"/>
          <w:lang w:val="sq-AL"/>
        </w:rPr>
        <w:t>.</w:t>
      </w:r>
      <w:r w:rsidRPr="00BB7F2F">
        <w:rPr>
          <w:rFonts w:asciiTheme="minorHAnsi" w:hAnsiTheme="minorHAnsi"/>
          <w:lang w:val="sq-AL"/>
        </w:rPr>
        <w:t xml:space="preserve"> </w:t>
      </w:r>
    </w:p>
    <w:p w:rsidR="006308E8" w:rsidRPr="00BB7F2F" w:rsidRDefault="006308E8" w:rsidP="006308E8">
      <w:pPr>
        <w:spacing w:line="276" w:lineRule="auto"/>
        <w:ind w:left="720"/>
        <w:contextualSpacing/>
        <w:jc w:val="both"/>
        <w:rPr>
          <w:rFonts w:asciiTheme="minorHAnsi" w:eastAsia="MS Mincho" w:hAnsiTheme="minorHAnsi"/>
          <w:b/>
          <w:i/>
          <w:color w:val="336699"/>
          <w:u w:val="single"/>
          <w:lang w:val="sq-AL"/>
        </w:rPr>
      </w:pPr>
    </w:p>
    <w:p w:rsidR="006308E8" w:rsidRPr="00BB7F2F" w:rsidRDefault="006308E8" w:rsidP="00E923F7">
      <w:pPr>
        <w:spacing w:line="276" w:lineRule="auto"/>
        <w:rPr>
          <w:rFonts w:asciiTheme="minorHAnsi" w:hAnsiTheme="minorHAnsi"/>
          <w:b/>
          <w:noProof/>
          <w:color w:val="0070C0"/>
          <w:lang w:val="sq-AL"/>
        </w:rPr>
      </w:pPr>
      <w:r w:rsidRPr="00BB7F2F">
        <w:rPr>
          <w:rFonts w:asciiTheme="minorHAnsi" w:eastAsia="MS Mincho" w:hAnsiTheme="minorHAnsi"/>
          <w:b/>
          <w:lang w:val="sq-AL"/>
        </w:rPr>
        <w:t xml:space="preserve"> </w:t>
      </w:r>
      <w:bookmarkStart w:id="156" w:name="_Toc10721441"/>
      <w:bookmarkStart w:id="157" w:name="_Toc11134226"/>
      <w:bookmarkStart w:id="158" w:name="_Toc10033296"/>
      <w:bookmarkStart w:id="159" w:name="_Toc10721432"/>
      <w:r w:rsidRPr="00BB7F2F">
        <w:rPr>
          <w:rFonts w:asciiTheme="minorHAnsi" w:hAnsiTheme="minorHAnsi"/>
          <w:b/>
          <w:noProof/>
          <w:color w:val="0070C0"/>
          <w:lang w:val="sq-AL"/>
        </w:rPr>
        <w:t>ARSIMI</w:t>
      </w:r>
      <w:bookmarkEnd w:id="156"/>
      <w:bookmarkEnd w:id="157"/>
    </w:p>
    <w:p w:rsidR="00524EBF" w:rsidRPr="00524EBF" w:rsidRDefault="006308E8" w:rsidP="00524EBF">
      <w:pPr>
        <w:spacing w:line="276" w:lineRule="auto"/>
        <w:jc w:val="both"/>
        <w:rPr>
          <w:rFonts w:asciiTheme="minorHAnsi" w:eastAsia="MS Mincho" w:hAnsiTheme="minorHAnsi"/>
          <w:bCs/>
          <w:i/>
          <w:iCs/>
          <w:lang w:val="sq-AL"/>
        </w:rPr>
      </w:pPr>
      <w:r w:rsidRPr="00BB7F2F">
        <w:rPr>
          <w:rFonts w:asciiTheme="minorHAnsi" w:eastAsia="MS Mincho" w:hAnsiTheme="minorHAnsi"/>
          <w:color w:val="000000"/>
          <w:lang w:val="sq-AL"/>
        </w:rPr>
        <w:t>Në përputhje me drejtimet kryesore të politikës së përgjithshme shtetërore, me fondet buxhetore të miratuara për vitin 2020, performanca e treguesve buxhetorë për këto katër programe kryesore në Ministrinë e Arsimit, Sportit dhe Rinisë, për 4/ mujorin e parë të vitit 2020, paraqitet si më poshtë</w:t>
      </w:r>
      <w:r w:rsidRPr="00BB7F2F">
        <w:rPr>
          <w:rFonts w:asciiTheme="minorHAnsi" w:eastAsia="MS Mincho" w:hAnsiTheme="minorHAnsi"/>
          <w:bCs/>
          <w:i/>
          <w:iCs/>
          <w:lang w:val="sq-AL"/>
        </w:rPr>
        <w:t xml:space="preserve">               </w:t>
      </w:r>
    </w:p>
    <w:p w:rsidR="006308E8" w:rsidRPr="00524EBF" w:rsidRDefault="00524EBF" w:rsidP="00524EBF">
      <w:pPr>
        <w:pStyle w:val="Caption"/>
        <w:spacing w:after="0"/>
        <w:rPr>
          <w:rFonts w:asciiTheme="minorHAnsi" w:hAnsiTheme="minorHAnsi"/>
          <w:b w:val="0"/>
          <w:bCs w:val="0"/>
          <w:i/>
          <w:noProof/>
          <w:color w:val="auto"/>
          <w:sz w:val="24"/>
          <w:szCs w:val="24"/>
        </w:rPr>
      </w:pPr>
      <w:bookmarkStart w:id="160" w:name="_Toc44404430"/>
      <w:r w:rsidRPr="00524EBF">
        <w:rPr>
          <w:rFonts w:asciiTheme="minorHAnsi" w:hAnsiTheme="minorHAnsi"/>
          <w:b w:val="0"/>
          <w:bCs w:val="0"/>
          <w:i/>
          <w:noProof/>
          <w:color w:val="auto"/>
          <w:sz w:val="24"/>
          <w:szCs w:val="24"/>
        </w:rPr>
        <w:t xml:space="preserve">Tabela </w:t>
      </w:r>
      <w:r w:rsidRPr="00524EBF">
        <w:rPr>
          <w:rFonts w:asciiTheme="minorHAnsi" w:hAnsiTheme="minorHAnsi"/>
          <w:b w:val="0"/>
          <w:bCs w:val="0"/>
          <w:i/>
          <w:noProof/>
          <w:color w:val="auto"/>
          <w:sz w:val="24"/>
          <w:szCs w:val="24"/>
        </w:rPr>
        <w:fldChar w:fldCharType="begin"/>
      </w:r>
      <w:r w:rsidRPr="00524EBF">
        <w:rPr>
          <w:rFonts w:asciiTheme="minorHAnsi" w:hAnsiTheme="minorHAnsi"/>
          <w:b w:val="0"/>
          <w:bCs w:val="0"/>
          <w:i/>
          <w:noProof/>
          <w:color w:val="auto"/>
          <w:sz w:val="24"/>
          <w:szCs w:val="24"/>
        </w:rPr>
        <w:instrText xml:space="preserve"> SEQ Tabela \* ARABIC </w:instrText>
      </w:r>
      <w:r w:rsidRPr="00524EBF">
        <w:rPr>
          <w:rFonts w:asciiTheme="minorHAnsi" w:hAnsiTheme="minorHAnsi"/>
          <w:b w:val="0"/>
          <w:bCs w:val="0"/>
          <w:i/>
          <w:noProof/>
          <w:color w:val="auto"/>
          <w:sz w:val="24"/>
          <w:szCs w:val="24"/>
        </w:rPr>
        <w:fldChar w:fldCharType="separate"/>
      </w:r>
      <w:r w:rsidR="00C342E2">
        <w:rPr>
          <w:rFonts w:asciiTheme="minorHAnsi" w:hAnsiTheme="minorHAnsi"/>
          <w:b w:val="0"/>
          <w:bCs w:val="0"/>
          <w:i/>
          <w:noProof/>
          <w:color w:val="auto"/>
          <w:sz w:val="24"/>
          <w:szCs w:val="24"/>
        </w:rPr>
        <w:t>29</w:t>
      </w:r>
      <w:r w:rsidRPr="00524EBF">
        <w:rPr>
          <w:rFonts w:asciiTheme="minorHAnsi" w:hAnsiTheme="minorHAnsi"/>
          <w:b w:val="0"/>
          <w:bCs w:val="0"/>
          <w:i/>
          <w:noProof/>
          <w:color w:val="auto"/>
          <w:sz w:val="24"/>
          <w:szCs w:val="24"/>
        </w:rPr>
        <w:fldChar w:fldCharType="end"/>
      </w:r>
      <w:r w:rsidRPr="00524EBF">
        <w:rPr>
          <w:rFonts w:asciiTheme="minorHAnsi" w:hAnsiTheme="minorHAnsi"/>
          <w:b w:val="0"/>
          <w:bCs w:val="0"/>
          <w:i/>
          <w:noProof/>
          <w:color w:val="auto"/>
          <w:sz w:val="24"/>
          <w:szCs w:val="24"/>
        </w:rPr>
        <w:t>: Arsimi</w:t>
      </w:r>
      <w:bookmarkEnd w:id="160"/>
      <w:r>
        <w:rPr>
          <w:rFonts w:asciiTheme="minorHAnsi" w:hAnsiTheme="minorHAnsi"/>
          <w:b w:val="0"/>
          <w:bCs w:val="0"/>
          <w:i/>
          <w:noProof/>
          <w:color w:val="auto"/>
          <w:sz w:val="24"/>
          <w:szCs w:val="24"/>
        </w:rPr>
        <w:t xml:space="preserve">     </w:t>
      </w:r>
      <w:r w:rsidR="006308E8" w:rsidRPr="00524EBF">
        <w:rPr>
          <w:rFonts w:asciiTheme="minorHAnsi" w:hAnsiTheme="minorHAnsi"/>
          <w:b w:val="0"/>
          <w:bCs w:val="0"/>
          <w:i/>
          <w:noProof/>
          <w:color w:val="auto"/>
          <w:sz w:val="24"/>
          <w:szCs w:val="24"/>
        </w:rPr>
        <w:t xml:space="preserve">                                                                                     </w:t>
      </w:r>
    </w:p>
    <w:p w:rsidR="006308E8" w:rsidRPr="00BB7F2F" w:rsidRDefault="006308E8" w:rsidP="006308E8">
      <w:pPr>
        <w:spacing w:line="276" w:lineRule="auto"/>
        <w:jc w:val="right"/>
        <w:rPr>
          <w:rFonts w:asciiTheme="minorHAnsi" w:eastAsia="MS Mincho" w:hAnsiTheme="minorHAnsi"/>
          <w:color w:val="000000"/>
          <w:lang w:val="sq-AL"/>
        </w:rPr>
      </w:pPr>
      <w:r w:rsidRPr="00BB7F2F">
        <w:rPr>
          <w:rFonts w:asciiTheme="minorHAnsi" w:eastAsia="MS Mincho" w:hAnsiTheme="minorHAnsi"/>
          <w:bCs/>
          <w:i/>
          <w:iCs/>
          <w:lang w:val="sq-AL"/>
        </w:rPr>
        <w:t>Në mijë lekë</w:t>
      </w:r>
    </w:p>
    <w:tbl>
      <w:tblPr>
        <w:tblStyle w:val="ListTable3-Accent52"/>
        <w:tblW w:w="5473" w:type="pct"/>
        <w:jc w:val="center"/>
        <w:tblLayout w:type="fixed"/>
        <w:tblLook w:val="01E0" w:firstRow="1" w:lastRow="1" w:firstColumn="1" w:lastColumn="1" w:noHBand="0" w:noVBand="0"/>
      </w:tblPr>
      <w:tblGrid>
        <w:gridCol w:w="540"/>
        <w:gridCol w:w="11"/>
        <w:gridCol w:w="3263"/>
        <w:gridCol w:w="1173"/>
        <w:gridCol w:w="1173"/>
        <w:gridCol w:w="1257"/>
        <w:gridCol w:w="1259"/>
        <w:gridCol w:w="991"/>
        <w:gridCol w:w="19"/>
        <w:gridCol w:w="1091"/>
      </w:tblGrid>
      <w:tr w:rsidR="00E923F7" w:rsidRPr="00E923F7" w:rsidTr="005556D3">
        <w:trPr>
          <w:cnfStyle w:val="100000000000" w:firstRow="1" w:lastRow="0" w:firstColumn="0" w:lastColumn="0" w:oddVBand="0" w:evenVBand="0" w:oddHBand="0" w:evenHBand="0" w:firstRowFirstColumn="0" w:firstRowLastColumn="0" w:lastRowFirstColumn="0" w:lastRowLastColumn="0"/>
          <w:trHeight w:val="337"/>
          <w:jc w:val="center"/>
        </w:trPr>
        <w:tc>
          <w:tcPr>
            <w:cnfStyle w:val="001000000100" w:firstRow="0" w:lastRow="0" w:firstColumn="1" w:lastColumn="0" w:oddVBand="0" w:evenVBand="0" w:oddHBand="0" w:evenHBand="0" w:firstRowFirstColumn="1" w:firstRowLastColumn="0" w:lastRowFirstColumn="0" w:lastRowLastColumn="0"/>
            <w:tcW w:w="256" w:type="pct"/>
            <w:gridSpan w:val="2"/>
            <w:vMerge w:val="restart"/>
          </w:tcPr>
          <w:p w:rsidR="006308E8" w:rsidRPr="00E923F7" w:rsidRDefault="006308E8" w:rsidP="00121650">
            <w:pPr>
              <w:spacing w:line="276" w:lineRule="auto"/>
              <w:jc w:val="center"/>
              <w:rPr>
                <w:rFonts w:asciiTheme="minorHAnsi" w:hAnsiTheme="minorHAnsi"/>
                <w:sz w:val="18"/>
                <w:lang w:val="sq-AL"/>
              </w:rPr>
            </w:pPr>
          </w:p>
          <w:p w:rsidR="006308E8" w:rsidRPr="00E923F7" w:rsidRDefault="006308E8" w:rsidP="00121650">
            <w:pPr>
              <w:spacing w:line="276" w:lineRule="auto"/>
              <w:jc w:val="center"/>
              <w:rPr>
                <w:rFonts w:asciiTheme="minorHAnsi" w:hAnsiTheme="minorHAnsi"/>
                <w:sz w:val="18"/>
                <w:lang w:val="sq-AL"/>
              </w:rPr>
            </w:pPr>
            <w:r w:rsidRPr="00E923F7">
              <w:rPr>
                <w:rFonts w:asciiTheme="minorHAnsi" w:hAnsiTheme="minorHAnsi"/>
                <w:sz w:val="18"/>
                <w:lang w:val="sq-AL"/>
              </w:rPr>
              <w:t>NR</w:t>
            </w:r>
          </w:p>
        </w:tc>
        <w:tc>
          <w:tcPr>
            <w:cnfStyle w:val="000010000000" w:firstRow="0" w:lastRow="0" w:firstColumn="0" w:lastColumn="0" w:oddVBand="1" w:evenVBand="0" w:oddHBand="0" w:evenHBand="0" w:firstRowFirstColumn="0" w:firstRowLastColumn="0" w:lastRowFirstColumn="0" w:lastRowLastColumn="0"/>
            <w:tcW w:w="1514" w:type="pct"/>
            <w:vMerge w:val="restart"/>
          </w:tcPr>
          <w:p w:rsidR="006308E8" w:rsidRPr="00E923F7" w:rsidRDefault="006308E8" w:rsidP="00121650">
            <w:pPr>
              <w:spacing w:line="276" w:lineRule="auto"/>
              <w:jc w:val="center"/>
              <w:rPr>
                <w:rFonts w:asciiTheme="minorHAnsi" w:hAnsiTheme="minorHAnsi"/>
                <w:sz w:val="18"/>
                <w:lang w:val="sq-AL"/>
              </w:rPr>
            </w:pPr>
          </w:p>
          <w:p w:rsidR="006308E8" w:rsidRPr="00E923F7" w:rsidRDefault="006308E8" w:rsidP="00121650">
            <w:pPr>
              <w:spacing w:line="276" w:lineRule="auto"/>
              <w:jc w:val="center"/>
              <w:rPr>
                <w:rFonts w:asciiTheme="minorHAnsi" w:hAnsiTheme="minorHAnsi"/>
                <w:sz w:val="18"/>
                <w:lang w:val="sq-AL"/>
              </w:rPr>
            </w:pPr>
            <w:r w:rsidRPr="00E923F7">
              <w:rPr>
                <w:rFonts w:asciiTheme="minorHAnsi" w:hAnsiTheme="minorHAnsi"/>
                <w:sz w:val="18"/>
                <w:lang w:val="sq-AL"/>
              </w:rPr>
              <w:t>Emërtimi i Programit</w:t>
            </w:r>
          </w:p>
        </w:tc>
        <w:tc>
          <w:tcPr>
            <w:tcW w:w="1088" w:type="pct"/>
            <w:gridSpan w:val="2"/>
          </w:tcPr>
          <w:p w:rsidR="006308E8" w:rsidRPr="00E923F7" w:rsidRDefault="006308E8" w:rsidP="00121650">
            <w:pPr>
              <w:spacing w:line="276" w:lineRule="auto"/>
              <w:ind w:left="80"/>
              <w:jc w:val="center"/>
              <w:cnfStyle w:val="100000000000" w:firstRow="1" w:lastRow="0" w:firstColumn="0" w:lastColumn="0" w:oddVBand="0" w:evenVBand="0" w:oddHBand="0" w:evenHBand="0" w:firstRowFirstColumn="0" w:firstRowLastColumn="0" w:lastRowFirstColumn="0" w:lastRowLastColumn="0"/>
              <w:rPr>
                <w:rFonts w:asciiTheme="minorHAnsi" w:hAnsiTheme="minorHAnsi"/>
                <w:sz w:val="18"/>
                <w:szCs w:val="20"/>
                <w:lang w:val="sq-AL"/>
              </w:rPr>
            </w:pPr>
            <w:r w:rsidRPr="00E923F7">
              <w:rPr>
                <w:rFonts w:asciiTheme="minorHAnsi" w:hAnsiTheme="minorHAnsi"/>
                <w:sz w:val="18"/>
                <w:szCs w:val="20"/>
                <w:lang w:val="sq-AL"/>
              </w:rPr>
              <w:t>Plani 2020</w:t>
            </w:r>
          </w:p>
        </w:tc>
        <w:tc>
          <w:tcPr>
            <w:cnfStyle w:val="000010000000" w:firstRow="0" w:lastRow="0" w:firstColumn="0" w:lastColumn="0" w:oddVBand="1" w:evenVBand="0" w:oddHBand="0" w:evenHBand="0" w:firstRowFirstColumn="0" w:firstRowLastColumn="0" w:lastRowFirstColumn="0" w:lastRowLastColumn="0"/>
            <w:tcW w:w="1167" w:type="pct"/>
            <w:gridSpan w:val="2"/>
          </w:tcPr>
          <w:p w:rsidR="006308E8" w:rsidRPr="00E923F7" w:rsidRDefault="006308E8" w:rsidP="00121650">
            <w:pPr>
              <w:spacing w:line="276" w:lineRule="auto"/>
              <w:ind w:left="80"/>
              <w:jc w:val="center"/>
              <w:rPr>
                <w:rFonts w:asciiTheme="minorHAnsi" w:hAnsiTheme="minorHAnsi"/>
                <w:sz w:val="18"/>
                <w:szCs w:val="20"/>
                <w:lang w:val="sq-AL"/>
              </w:rPr>
            </w:pPr>
            <w:r w:rsidRPr="00E923F7">
              <w:rPr>
                <w:rFonts w:asciiTheme="minorHAnsi" w:hAnsiTheme="minorHAnsi"/>
                <w:sz w:val="18"/>
                <w:szCs w:val="20"/>
                <w:lang w:val="sq-AL"/>
              </w:rPr>
              <w:t>Fakti 4/M I 2020</w:t>
            </w:r>
          </w:p>
        </w:tc>
        <w:tc>
          <w:tcPr>
            <w:cnfStyle w:val="000100001000" w:firstRow="0" w:lastRow="0" w:firstColumn="0" w:lastColumn="1" w:oddVBand="0" w:evenVBand="0" w:oddHBand="0" w:evenHBand="0" w:firstRowFirstColumn="0" w:firstRowLastColumn="1" w:lastRowFirstColumn="0" w:lastRowLastColumn="0"/>
            <w:tcW w:w="975" w:type="pct"/>
            <w:gridSpan w:val="3"/>
          </w:tcPr>
          <w:p w:rsidR="006308E8" w:rsidRPr="00E923F7" w:rsidRDefault="006308E8" w:rsidP="00121650">
            <w:pPr>
              <w:spacing w:line="276" w:lineRule="auto"/>
              <w:jc w:val="center"/>
              <w:rPr>
                <w:rFonts w:asciiTheme="minorHAnsi" w:hAnsiTheme="minorHAnsi"/>
                <w:sz w:val="18"/>
                <w:szCs w:val="20"/>
                <w:lang w:val="sq-AL"/>
              </w:rPr>
            </w:pPr>
            <w:r w:rsidRPr="00E923F7">
              <w:rPr>
                <w:rFonts w:asciiTheme="minorHAnsi" w:hAnsiTheme="minorHAnsi"/>
                <w:sz w:val="18"/>
                <w:szCs w:val="20"/>
                <w:lang w:val="sq-AL"/>
              </w:rPr>
              <w:t>Përqindja  e realizimit</w:t>
            </w:r>
          </w:p>
        </w:tc>
      </w:tr>
      <w:tr w:rsidR="00E923F7" w:rsidRPr="00E923F7" w:rsidTr="00E923F7">
        <w:trPr>
          <w:cnfStyle w:val="000000100000" w:firstRow="0" w:lastRow="0" w:firstColumn="0" w:lastColumn="0" w:oddVBand="0" w:evenVBand="0" w:oddHBand="1" w:evenHBand="0" w:firstRowFirstColumn="0" w:firstRowLastColumn="0" w:lastRowFirstColumn="0" w:lastRowLastColumn="0"/>
          <w:trHeight w:val="173"/>
          <w:jc w:val="center"/>
        </w:trPr>
        <w:tc>
          <w:tcPr>
            <w:cnfStyle w:val="001000000000" w:firstRow="0" w:lastRow="0" w:firstColumn="1" w:lastColumn="0" w:oddVBand="0" w:evenVBand="0" w:oddHBand="0" w:evenHBand="0" w:firstRowFirstColumn="0" w:firstRowLastColumn="0" w:lastRowFirstColumn="0" w:lastRowLastColumn="0"/>
            <w:tcW w:w="256" w:type="pct"/>
            <w:gridSpan w:val="2"/>
            <w:vMerge/>
          </w:tcPr>
          <w:p w:rsidR="006308E8" w:rsidRPr="00E923F7" w:rsidRDefault="006308E8" w:rsidP="00121650">
            <w:pPr>
              <w:spacing w:line="276" w:lineRule="auto"/>
              <w:jc w:val="center"/>
              <w:rPr>
                <w:rFonts w:asciiTheme="minorHAnsi" w:hAnsiTheme="minorHAnsi"/>
                <w:sz w:val="18"/>
                <w:lang w:val="sq-AL"/>
              </w:rPr>
            </w:pPr>
          </w:p>
        </w:tc>
        <w:tc>
          <w:tcPr>
            <w:cnfStyle w:val="000010000000" w:firstRow="0" w:lastRow="0" w:firstColumn="0" w:lastColumn="0" w:oddVBand="1" w:evenVBand="0" w:oddHBand="0" w:evenHBand="0" w:firstRowFirstColumn="0" w:firstRowLastColumn="0" w:lastRowFirstColumn="0" w:lastRowLastColumn="0"/>
            <w:tcW w:w="1514" w:type="pct"/>
            <w:vMerge/>
          </w:tcPr>
          <w:p w:rsidR="006308E8" w:rsidRPr="00E923F7" w:rsidRDefault="006308E8" w:rsidP="00121650">
            <w:pPr>
              <w:spacing w:line="276" w:lineRule="auto"/>
              <w:jc w:val="center"/>
              <w:rPr>
                <w:rFonts w:asciiTheme="minorHAnsi" w:hAnsiTheme="minorHAnsi"/>
                <w:b/>
                <w:sz w:val="18"/>
                <w:lang w:val="sq-AL"/>
              </w:rPr>
            </w:pPr>
          </w:p>
        </w:tc>
        <w:tc>
          <w:tcPr>
            <w:tcW w:w="544" w:type="pct"/>
          </w:tcPr>
          <w:p w:rsidR="006308E8" w:rsidRPr="00E923F7" w:rsidRDefault="006308E8" w:rsidP="00121650">
            <w:pPr>
              <w:spacing w:line="276" w:lineRule="auto"/>
              <w:ind w:left="80"/>
              <w:jc w:val="center"/>
              <w:cnfStyle w:val="000000100000" w:firstRow="0" w:lastRow="0" w:firstColumn="0" w:lastColumn="0" w:oddVBand="0" w:evenVBand="0" w:oddHBand="1" w:evenHBand="0" w:firstRowFirstColumn="0" w:firstRowLastColumn="0" w:lastRowFirstColumn="0" w:lastRowLastColumn="0"/>
              <w:rPr>
                <w:rFonts w:asciiTheme="minorHAnsi" w:hAnsiTheme="minorHAnsi"/>
                <w:b/>
                <w:sz w:val="18"/>
                <w:szCs w:val="22"/>
                <w:lang w:val="sq-AL"/>
              </w:rPr>
            </w:pPr>
            <w:r w:rsidRPr="00E923F7">
              <w:rPr>
                <w:rFonts w:asciiTheme="minorHAnsi" w:hAnsiTheme="minorHAnsi"/>
                <w:b/>
                <w:sz w:val="18"/>
                <w:szCs w:val="22"/>
                <w:lang w:val="sq-AL"/>
              </w:rPr>
              <w:t>Korrente</w:t>
            </w:r>
          </w:p>
        </w:tc>
        <w:tc>
          <w:tcPr>
            <w:cnfStyle w:val="000010000000" w:firstRow="0" w:lastRow="0" w:firstColumn="0" w:lastColumn="0" w:oddVBand="1" w:evenVBand="0" w:oddHBand="0" w:evenHBand="0" w:firstRowFirstColumn="0" w:firstRowLastColumn="0" w:lastRowFirstColumn="0" w:lastRowLastColumn="0"/>
            <w:tcW w:w="544" w:type="pct"/>
          </w:tcPr>
          <w:p w:rsidR="006308E8" w:rsidRPr="00E923F7" w:rsidRDefault="006308E8" w:rsidP="00121650">
            <w:pPr>
              <w:spacing w:line="276" w:lineRule="auto"/>
              <w:ind w:left="80"/>
              <w:jc w:val="center"/>
              <w:rPr>
                <w:rFonts w:asciiTheme="minorHAnsi" w:hAnsiTheme="minorHAnsi"/>
                <w:b/>
                <w:sz w:val="18"/>
                <w:szCs w:val="22"/>
                <w:lang w:val="sq-AL"/>
              </w:rPr>
            </w:pPr>
            <w:r w:rsidRPr="00E923F7">
              <w:rPr>
                <w:rFonts w:asciiTheme="minorHAnsi" w:hAnsiTheme="minorHAnsi"/>
                <w:b/>
                <w:sz w:val="18"/>
                <w:szCs w:val="22"/>
                <w:lang w:val="sq-AL"/>
              </w:rPr>
              <w:t>Investime</w:t>
            </w:r>
          </w:p>
        </w:tc>
        <w:tc>
          <w:tcPr>
            <w:tcW w:w="583" w:type="pct"/>
          </w:tcPr>
          <w:p w:rsidR="006308E8" w:rsidRPr="00E923F7" w:rsidRDefault="006308E8" w:rsidP="00121650">
            <w:pPr>
              <w:spacing w:line="276"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b/>
                <w:sz w:val="18"/>
                <w:szCs w:val="22"/>
                <w:lang w:val="sq-AL"/>
              </w:rPr>
            </w:pPr>
            <w:r w:rsidRPr="00E923F7">
              <w:rPr>
                <w:rFonts w:asciiTheme="minorHAnsi" w:hAnsiTheme="minorHAnsi"/>
                <w:b/>
                <w:sz w:val="18"/>
                <w:szCs w:val="22"/>
                <w:lang w:val="sq-AL"/>
              </w:rPr>
              <w:t>Korrente</w:t>
            </w:r>
          </w:p>
        </w:tc>
        <w:tc>
          <w:tcPr>
            <w:cnfStyle w:val="000010000000" w:firstRow="0" w:lastRow="0" w:firstColumn="0" w:lastColumn="0" w:oddVBand="1" w:evenVBand="0" w:oddHBand="0" w:evenHBand="0" w:firstRowFirstColumn="0" w:firstRowLastColumn="0" w:lastRowFirstColumn="0" w:lastRowLastColumn="0"/>
            <w:tcW w:w="584" w:type="pct"/>
          </w:tcPr>
          <w:p w:rsidR="006308E8" w:rsidRPr="00E923F7" w:rsidRDefault="006308E8" w:rsidP="00121650">
            <w:pPr>
              <w:spacing w:line="276" w:lineRule="auto"/>
              <w:jc w:val="center"/>
              <w:rPr>
                <w:rFonts w:asciiTheme="minorHAnsi" w:hAnsiTheme="minorHAnsi"/>
                <w:b/>
                <w:sz w:val="18"/>
                <w:szCs w:val="22"/>
                <w:lang w:val="sq-AL"/>
              </w:rPr>
            </w:pPr>
            <w:r w:rsidRPr="00E923F7">
              <w:rPr>
                <w:rFonts w:asciiTheme="minorHAnsi" w:hAnsiTheme="minorHAnsi"/>
                <w:b/>
                <w:sz w:val="18"/>
                <w:szCs w:val="22"/>
                <w:lang w:val="sq-AL"/>
              </w:rPr>
              <w:t>Investime</w:t>
            </w:r>
          </w:p>
        </w:tc>
        <w:tc>
          <w:tcPr>
            <w:tcW w:w="460" w:type="pct"/>
          </w:tcPr>
          <w:p w:rsidR="006308E8" w:rsidRPr="00E923F7" w:rsidRDefault="006308E8" w:rsidP="00121650">
            <w:pPr>
              <w:spacing w:line="276"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b/>
                <w:sz w:val="18"/>
                <w:szCs w:val="22"/>
                <w:lang w:val="sq-AL"/>
              </w:rPr>
            </w:pPr>
            <w:r w:rsidRPr="00E923F7">
              <w:rPr>
                <w:rFonts w:asciiTheme="minorHAnsi" w:hAnsiTheme="minorHAnsi"/>
                <w:b/>
                <w:sz w:val="18"/>
                <w:szCs w:val="22"/>
                <w:lang w:val="sq-AL"/>
              </w:rPr>
              <w:t>Korrente</w:t>
            </w:r>
          </w:p>
        </w:tc>
        <w:tc>
          <w:tcPr>
            <w:cnfStyle w:val="000100000000" w:firstRow="0" w:lastRow="0" w:firstColumn="0" w:lastColumn="1" w:oddVBand="0" w:evenVBand="0" w:oddHBand="0" w:evenHBand="0" w:firstRowFirstColumn="0" w:firstRowLastColumn="0" w:lastRowFirstColumn="0" w:lastRowLastColumn="0"/>
            <w:tcW w:w="515" w:type="pct"/>
            <w:gridSpan w:val="2"/>
          </w:tcPr>
          <w:p w:rsidR="006308E8" w:rsidRPr="00E923F7" w:rsidRDefault="006308E8" w:rsidP="00121650">
            <w:pPr>
              <w:spacing w:line="276" w:lineRule="auto"/>
              <w:jc w:val="center"/>
              <w:rPr>
                <w:rFonts w:asciiTheme="minorHAnsi" w:hAnsiTheme="minorHAnsi"/>
                <w:sz w:val="18"/>
                <w:szCs w:val="22"/>
                <w:lang w:val="sq-AL"/>
              </w:rPr>
            </w:pPr>
            <w:r w:rsidRPr="00E923F7">
              <w:rPr>
                <w:rFonts w:asciiTheme="minorHAnsi" w:hAnsiTheme="minorHAnsi"/>
                <w:sz w:val="18"/>
                <w:szCs w:val="22"/>
                <w:lang w:val="sq-AL"/>
              </w:rPr>
              <w:t>Investime</w:t>
            </w:r>
          </w:p>
        </w:tc>
      </w:tr>
      <w:tr w:rsidR="00E923F7" w:rsidRPr="00E923F7" w:rsidTr="00E923F7">
        <w:trPr>
          <w:trHeight w:val="353"/>
          <w:jc w:val="center"/>
        </w:trPr>
        <w:tc>
          <w:tcPr>
            <w:cnfStyle w:val="001000000000" w:firstRow="0" w:lastRow="0" w:firstColumn="1" w:lastColumn="0" w:oddVBand="0" w:evenVBand="0" w:oddHBand="0" w:evenHBand="0" w:firstRowFirstColumn="0" w:firstRowLastColumn="0" w:lastRowFirstColumn="0" w:lastRowLastColumn="0"/>
            <w:tcW w:w="251" w:type="pct"/>
          </w:tcPr>
          <w:p w:rsidR="006308E8" w:rsidRPr="00E923F7" w:rsidRDefault="006308E8" w:rsidP="00121650">
            <w:pPr>
              <w:spacing w:line="276" w:lineRule="auto"/>
              <w:jc w:val="center"/>
              <w:rPr>
                <w:rFonts w:asciiTheme="minorHAnsi" w:hAnsiTheme="minorHAnsi"/>
                <w:sz w:val="18"/>
                <w:lang w:val="sq-AL"/>
              </w:rPr>
            </w:pPr>
          </w:p>
        </w:tc>
        <w:tc>
          <w:tcPr>
            <w:cnfStyle w:val="000010000000" w:firstRow="0" w:lastRow="0" w:firstColumn="0" w:lastColumn="0" w:oddVBand="1" w:evenVBand="0" w:oddHBand="0" w:evenHBand="0" w:firstRowFirstColumn="0" w:firstRowLastColumn="0" w:lastRowFirstColumn="0" w:lastRowLastColumn="0"/>
            <w:tcW w:w="1519" w:type="pct"/>
            <w:gridSpan w:val="2"/>
          </w:tcPr>
          <w:p w:rsidR="006308E8" w:rsidRPr="00E923F7" w:rsidRDefault="006308E8" w:rsidP="00121650">
            <w:pPr>
              <w:spacing w:line="276" w:lineRule="auto"/>
              <w:rPr>
                <w:rFonts w:asciiTheme="minorHAnsi" w:hAnsiTheme="minorHAnsi"/>
                <w:sz w:val="18"/>
                <w:szCs w:val="20"/>
                <w:lang w:val="sq-AL"/>
              </w:rPr>
            </w:pPr>
            <w:r w:rsidRPr="00E923F7">
              <w:rPr>
                <w:rFonts w:asciiTheme="minorHAnsi" w:hAnsiTheme="minorHAnsi"/>
                <w:b/>
                <w:sz w:val="18"/>
                <w:lang w:val="sq-AL"/>
              </w:rPr>
              <w:t>Ministria e Arsimit, Sportit dhe Rinisë</w:t>
            </w:r>
          </w:p>
        </w:tc>
        <w:tc>
          <w:tcPr>
            <w:tcW w:w="544" w:type="pct"/>
          </w:tcPr>
          <w:p w:rsidR="006308E8" w:rsidRPr="00E923F7" w:rsidRDefault="006308E8" w:rsidP="00121650">
            <w:pPr>
              <w:spacing w:line="276" w:lineRule="auto"/>
              <w:jc w:val="right"/>
              <w:cnfStyle w:val="000000000000" w:firstRow="0" w:lastRow="0" w:firstColumn="0" w:lastColumn="0" w:oddVBand="0" w:evenVBand="0" w:oddHBand="0" w:evenHBand="0" w:firstRowFirstColumn="0" w:firstRowLastColumn="0" w:lastRowFirstColumn="0" w:lastRowLastColumn="0"/>
              <w:rPr>
                <w:rFonts w:asciiTheme="minorHAnsi" w:hAnsiTheme="minorHAnsi"/>
                <w:b/>
                <w:sz w:val="18"/>
                <w:szCs w:val="20"/>
                <w:lang w:val="sq-AL"/>
              </w:rPr>
            </w:pPr>
            <w:r w:rsidRPr="00E923F7">
              <w:rPr>
                <w:rFonts w:asciiTheme="minorHAnsi" w:hAnsiTheme="minorHAnsi"/>
                <w:b/>
                <w:sz w:val="18"/>
                <w:szCs w:val="20"/>
                <w:lang w:val="sq-AL"/>
              </w:rPr>
              <w:t>38,624,830</w:t>
            </w:r>
          </w:p>
        </w:tc>
        <w:tc>
          <w:tcPr>
            <w:cnfStyle w:val="000010000000" w:firstRow="0" w:lastRow="0" w:firstColumn="0" w:lastColumn="0" w:oddVBand="1" w:evenVBand="0" w:oddHBand="0" w:evenHBand="0" w:firstRowFirstColumn="0" w:firstRowLastColumn="0" w:lastRowFirstColumn="0" w:lastRowLastColumn="0"/>
            <w:tcW w:w="544" w:type="pct"/>
          </w:tcPr>
          <w:p w:rsidR="006308E8" w:rsidRPr="00E923F7" w:rsidRDefault="006308E8" w:rsidP="00121650">
            <w:pPr>
              <w:spacing w:line="276" w:lineRule="auto"/>
              <w:jc w:val="right"/>
              <w:rPr>
                <w:rFonts w:asciiTheme="minorHAnsi" w:hAnsiTheme="minorHAnsi"/>
                <w:b/>
                <w:sz w:val="18"/>
                <w:szCs w:val="20"/>
                <w:lang w:val="sq-AL"/>
              </w:rPr>
            </w:pPr>
            <w:r w:rsidRPr="00E923F7">
              <w:rPr>
                <w:rFonts w:asciiTheme="minorHAnsi" w:hAnsiTheme="minorHAnsi"/>
                <w:b/>
                <w:sz w:val="18"/>
                <w:szCs w:val="20"/>
                <w:lang w:val="sq-AL"/>
              </w:rPr>
              <w:t>2,605,000</w:t>
            </w:r>
          </w:p>
        </w:tc>
        <w:tc>
          <w:tcPr>
            <w:tcW w:w="583" w:type="pct"/>
          </w:tcPr>
          <w:p w:rsidR="006308E8" w:rsidRPr="00E923F7" w:rsidRDefault="006308E8" w:rsidP="00121650">
            <w:pPr>
              <w:spacing w:line="276" w:lineRule="auto"/>
              <w:jc w:val="right"/>
              <w:cnfStyle w:val="000000000000" w:firstRow="0" w:lastRow="0" w:firstColumn="0" w:lastColumn="0" w:oddVBand="0" w:evenVBand="0" w:oddHBand="0" w:evenHBand="0" w:firstRowFirstColumn="0" w:firstRowLastColumn="0" w:lastRowFirstColumn="0" w:lastRowLastColumn="0"/>
              <w:rPr>
                <w:rFonts w:asciiTheme="minorHAnsi" w:hAnsiTheme="minorHAnsi"/>
                <w:b/>
                <w:sz w:val="18"/>
                <w:szCs w:val="20"/>
                <w:lang w:val="sq-AL"/>
              </w:rPr>
            </w:pPr>
            <w:r w:rsidRPr="00E923F7">
              <w:rPr>
                <w:rFonts w:asciiTheme="minorHAnsi" w:hAnsiTheme="minorHAnsi"/>
                <w:b/>
                <w:sz w:val="18"/>
                <w:szCs w:val="20"/>
                <w:lang w:val="sq-AL"/>
              </w:rPr>
              <w:t>11,856,245</w:t>
            </w:r>
          </w:p>
        </w:tc>
        <w:tc>
          <w:tcPr>
            <w:cnfStyle w:val="000010000000" w:firstRow="0" w:lastRow="0" w:firstColumn="0" w:lastColumn="0" w:oddVBand="1" w:evenVBand="0" w:oddHBand="0" w:evenHBand="0" w:firstRowFirstColumn="0" w:firstRowLastColumn="0" w:lastRowFirstColumn="0" w:lastRowLastColumn="0"/>
            <w:tcW w:w="584" w:type="pct"/>
          </w:tcPr>
          <w:p w:rsidR="006308E8" w:rsidRPr="00E923F7" w:rsidRDefault="006308E8" w:rsidP="00121650">
            <w:pPr>
              <w:spacing w:line="276" w:lineRule="auto"/>
              <w:jc w:val="right"/>
              <w:rPr>
                <w:rFonts w:asciiTheme="minorHAnsi" w:hAnsiTheme="minorHAnsi"/>
                <w:b/>
                <w:sz w:val="18"/>
                <w:szCs w:val="20"/>
                <w:lang w:val="sq-AL"/>
              </w:rPr>
            </w:pPr>
            <w:r w:rsidRPr="00E923F7">
              <w:rPr>
                <w:rFonts w:asciiTheme="minorHAnsi" w:hAnsiTheme="minorHAnsi"/>
                <w:b/>
                <w:sz w:val="18"/>
                <w:szCs w:val="20"/>
                <w:lang w:val="sq-AL"/>
              </w:rPr>
              <w:t>341,999</w:t>
            </w:r>
          </w:p>
        </w:tc>
        <w:tc>
          <w:tcPr>
            <w:tcW w:w="469" w:type="pct"/>
            <w:gridSpan w:val="2"/>
          </w:tcPr>
          <w:p w:rsidR="006308E8" w:rsidRPr="00E923F7" w:rsidRDefault="006308E8" w:rsidP="00121650">
            <w:pPr>
              <w:spacing w:line="276" w:lineRule="auto"/>
              <w:jc w:val="right"/>
              <w:cnfStyle w:val="000000000000" w:firstRow="0" w:lastRow="0" w:firstColumn="0" w:lastColumn="0" w:oddVBand="0" w:evenVBand="0" w:oddHBand="0" w:evenHBand="0" w:firstRowFirstColumn="0" w:firstRowLastColumn="0" w:lastRowFirstColumn="0" w:lastRowLastColumn="0"/>
              <w:rPr>
                <w:rFonts w:asciiTheme="minorHAnsi" w:hAnsiTheme="minorHAnsi"/>
                <w:b/>
                <w:sz w:val="18"/>
                <w:szCs w:val="20"/>
                <w:lang w:val="sq-AL"/>
              </w:rPr>
            </w:pPr>
            <w:r w:rsidRPr="00E923F7">
              <w:rPr>
                <w:rFonts w:asciiTheme="minorHAnsi" w:hAnsiTheme="minorHAnsi"/>
                <w:b/>
                <w:sz w:val="18"/>
                <w:szCs w:val="20"/>
                <w:lang w:val="sq-AL"/>
              </w:rPr>
              <w:t>31</w:t>
            </w:r>
          </w:p>
        </w:tc>
        <w:tc>
          <w:tcPr>
            <w:cnfStyle w:val="000100000000" w:firstRow="0" w:lastRow="0" w:firstColumn="0" w:lastColumn="1" w:oddVBand="0" w:evenVBand="0" w:oddHBand="0" w:evenHBand="0" w:firstRowFirstColumn="0" w:firstRowLastColumn="0" w:lastRowFirstColumn="0" w:lastRowLastColumn="0"/>
            <w:tcW w:w="506" w:type="pct"/>
          </w:tcPr>
          <w:p w:rsidR="006308E8" w:rsidRPr="00E923F7" w:rsidRDefault="006308E8" w:rsidP="00121650">
            <w:pPr>
              <w:spacing w:line="276" w:lineRule="auto"/>
              <w:jc w:val="right"/>
              <w:rPr>
                <w:rFonts w:asciiTheme="minorHAnsi" w:hAnsiTheme="minorHAnsi"/>
                <w:sz w:val="18"/>
                <w:szCs w:val="20"/>
                <w:lang w:val="sq-AL"/>
              </w:rPr>
            </w:pPr>
            <w:r w:rsidRPr="00E923F7">
              <w:rPr>
                <w:rFonts w:asciiTheme="minorHAnsi" w:hAnsiTheme="minorHAnsi"/>
                <w:sz w:val="18"/>
                <w:szCs w:val="20"/>
                <w:lang w:val="sq-AL"/>
              </w:rPr>
              <w:t>13</w:t>
            </w:r>
          </w:p>
        </w:tc>
      </w:tr>
      <w:tr w:rsidR="00E923F7" w:rsidRPr="00E923F7" w:rsidTr="00E923F7">
        <w:trPr>
          <w:cnfStyle w:val="000000100000" w:firstRow="0" w:lastRow="0" w:firstColumn="0" w:lastColumn="0" w:oddVBand="0" w:evenVBand="0" w:oddHBand="1" w:evenHBand="0" w:firstRowFirstColumn="0" w:firstRowLastColumn="0" w:lastRowFirstColumn="0" w:lastRowLastColumn="0"/>
          <w:trHeight w:val="255"/>
          <w:jc w:val="center"/>
        </w:trPr>
        <w:tc>
          <w:tcPr>
            <w:cnfStyle w:val="001000000000" w:firstRow="0" w:lastRow="0" w:firstColumn="1" w:lastColumn="0" w:oddVBand="0" w:evenVBand="0" w:oddHBand="0" w:evenHBand="0" w:firstRowFirstColumn="0" w:firstRowLastColumn="0" w:lastRowFirstColumn="0" w:lastRowLastColumn="0"/>
            <w:tcW w:w="251" w:type="pct"/>
          </w:tcPr>
          <w:p w:rsidR="006308E8" w:rsidRPr="00E923F7" w:rsidRDefault="006308E8" w:rsidP="00121650">
            <w:pPr>
              <w:spacing w:line="276" w:lineRule="auto"/>
              <w:jc w:val="center"/>
              <w:rPr>
                <w:rFonts w:asciiTheme="minorHAnsi" w:hAnsiTheme="minorHAnsi"/>
                <w:sz w:val="18"/>
                <w:lang w:val="sq-AL"/>
              </w:rPr>
            </w:pPr>
          </w:p>
        </w:tc>
        <w:tc>
          <w:tcPr>
            <w:cnfStyle w:val="000010000000" w:firstRow="0" w:lastRow="0" w:firstColumn="0" w:lastColumn="0" w:oddVBand="1" w:evenVBand="0" w:oddHBand="0" w:evenHBand="0" w:firstRowFirstColumn="0" w:firstRowLastColumn="0" w:lastRowFirstColumn="0" w:lastRowLastColumn="0"/>
            <w:tcW w:w="1519" w:type="pct"/>
            <w:gridSpan w:val="2"/>
          </w:tcPr>
          <w:p w:rsidR="006308E8" w:rsidRPr="00E923F7" w:rsidRDefault="006308E8" w:rsidP="00121650">
            <w:pPr>
              <w:spacing w:line="276" w:lineRule="auto"/>
              <w:rPr>
                <w:rFonts w:asciiTheme="minorHAnsi" w:hAnsiTheme="minorHAnsi"/>
                <w:sz w:val="18"/>
                <w:szCs w:val="20"/>
                <w:lang w:val="sq-AL"/>
              </w:rPr>
            </w:pPr>
            <w:r w:rsidRPr="00E923F7">
              <w:rPr>
                <w:rFonts w:asciiTheme="minorHAnsi" w:hAnsiTheme="minorHAnsi"/>
                <w:b/>
                <w:sz w:val="18"/>
                <w:lang w:val="sq-AL"/>
              </w:rPr>
              <w:t>Financimi i huaj (total)</w:t>
            </w:r>
          </w:p>
        </w:tc>
        <w:tc>
          <w:tcPr>
            <w:tcW w:w="544" w:type="pct"/>
          </w:tcPr>
          <w:p w:rsidR="006308E8" w:rsidRPr="00E923F7" w:rsidRDefault="006308E8" w:rsidP="00121650">
            <w:pPr>
              <w:spacing w:line="276" w:lineRule="auto"/>
              <w:jc w:val="right"/>
              <w:cnfStyle w:val="000000100000" w:firstRow="0" w:lastRow="0" w:firstColumn="0" w:lastColumn="0" w:oddVBand="0" w:evenVBand="0" w:oddHBand="1" w:evenHBand="0" w:firstRowFirstColumn="0" w:firstRowLastColumn="0" w:lastRowFirstColumn="0" w:lastRowLastColumn="0"/>
              <w:rPr>
                <w:rFonts w:asciiTheme="minorHAnsi" w:hAnsiTheme="minorHAnsi"/>
                <w:b/>
                <w:sz w:val="18"/>
                <w:szCs w:val="20"/>
                <w:lang w:val="sq-AL"/>
              </w:rPr>
            </w:pPr>
          </w:p>
        </w:tc>
        <w:tc>
          <w:tcPr>
            <w:cnfStyle w:val="000010000000" w:firstRow="0" w:lastRow="0" w:firstColumn="0" w:lastColumn="0" w:oddVBand="1" w:evenVBand="0" w:oddHBand="0" w:evenHBand="0" w:firstRowFirstColumn="0" w:firstRowLastColumn="0" w:lastRowFirstColumn="0" w:lastRowLastColumn="0"/>
            <w:tcW w:w="544" w:type="pct"/>
          </w:tcPr>
          <w:p w:rsidR="006308E8" w:rsidRPr="00E923F7" w:rsidRDefault="006308E8" w:rsidP="00121650">
            <w:pPr>
              <w:spacing w:line="276" w:lineRule="auto"/>
              <w:jc w:val="right"/>
              <w:rPr>
                <w:rFonts w:asciiTheme="minorHAnsi" w:hAnsiTheme="minorHAnsi"/>
                <w:b/>
                <w:sz w:val="18"/>
                <w:szCs w:val="20"/>
                <w:lang w:val="sq-AL"/>
              </w:rPr>
            </w:pPr>
            <w:r w:rsidRPr="00E923F7">
              <w:rPr>
                <w:rFonts w:asciiTheme="minorHAnsi" w:hAnsiTheme="minorHAnsi"/>
                <w:b/>
                <w:sz w:val="18"/>
                <w:szCs w:val="20"/>
                <w:lang w:val="sq-AL"/>
              </w:rPr>
              <w:t>216,000</w:t>
            </w:r>
          </w:p>
        </w:tc>
        <w:tc>
          <w:tcPr>
            <w:tcW w:w="583" w:type="pct"/>
          </w:tcPr>
          <w:p w:rsidR="006308E8" w:rsidRPr="00E923F7" w:rsidRDefault="006308E8" w:rsidP="00121650">
            <w:pPr>
              <w:spacing w:line="276" w:lineRule="auto"/>
              <w:jc w:val="right"/>
              <w:cnfStyle w:val="000000100000" w:firstRow="0" w:lastRow="0" w:firstColumn="0" w:lastColumn="0" w:oddVBand="0" w:evenVBand="0" w:oddHBand="1" w:evenHBand="0" w:firstRowFirstColumn="0" w:firstRowLastColumn="0" w:lastRowFirstColumn="0" w:lastRowLastColumn="0"/>
              <w:rPr>
                <w:rFonts w:asciiTheme="minorHAnsi" w:hAnsiTheme="minorHAnsi"/>
                <w:b/>
                <w:sz w:val="18"/>
                <w:szCs w:val="20"/>
                <w:lang w:val="sq-AL"/>
              </w:rPr>
            </w:pPr>
          </w:p>
        </w:tc>
        <w:tc>
          <w:tcPr>
            <w:cnfStyle w:val="000010000000" w:firstRow="0" w:lastRow="0" w:firstColumn="0" w:lastColumn="0" w:oddVBand="1" w:evenVBand="0" w:oddHBand="0" w:evenHBand="0" w:firstRowFirstColumn="0" w:firstRowLastColumn="0" w:lastRowFirstColumn="0" w:lastRowLastColumn="0"/>
            <w:tcW w:w="584" w:type="pct"/>
          </w:tcPr>
          <w:p w:rsidR="006308E8" w:rsidRPr="00E923F7" w:rsidRDefault="006308E8" w:rsidP="00121650">
            <w:pPr>
              <w:spacing w:line="276" w:lineRule="auto"/>
              <w:jc w:val="right"/>
              <w:rPr>
                <w:rFonts w:asciiTheme="minorHAnsi" w:hAnsiTheme="minorHAnsi"/>
                <w:b/>
                <w:sz w:val="18"/>
                <w:szCs w:val="20"/>
                <w:lang w:val="sq-AL"/>
              </w:rPr>
            </w:pPr>
            <w:r w:rsidRPr="00E923F7">
              <w:rPr>
                <w:rFonts w:asciiTheme="minorHAnsi" w:hAnsiTheme="minorHAnsi"/>
                <w:b/>
                <w:sz w:val="18"/>
                <w:szCs w:val="20"/>
                <w:lang w:val="sq-AL"/>
              </w:rPr>
              <w:t>38,215</w:t>
            </w:r>
          </w:p>
        </w:tc>
        <w:tc>
          <w:tcPr>
            <w:tcW w:w="469" w:type="pct"/>
            <w:gridSpan w:val="2"/>
          </w:tcPr>
          <w:p w:rsidR="006308E8" w:rsidRPr="00E923F7" w:rsidRDefault="006308E8" w:rsidP="00121650">
            <w:pPr>
              <w:spacing w:line="276" w:lineRule="auto"/>
              <w:jc w:val="right"/>
              <w:cnfStyle w:val="000000100000" w:firstRow="0" w:lastRow="0" w:firstColumn="0" w:lastColumn="0" w:oddVBand="0" w:evenVBand="0" w:oddHBand="1" w:evenHBand="0" w:firstRowFirstColumn="0" w:firstRowLastColumn="0" w:lastRowFirstColumn="0" w:lastRowLastColumn="0"/>
              <w:rPr>
                <w:rFonts w:asciiTheme="minorHAnsi" w:hAnsiTheme="minorHAnsi"/>
                <w:b/>
                <w:sz w:val="18"/>
                <w:szCs w:val="20"/>
                <w:lang w:val="sq-AL"/>
              </w:rPr>
            </w:pPr>
          </w:p>
        </w:tc>
        <w:tc>
          <w:tcPr>
            <w:cnfStyle w:val="000100000000" w:firstRow="0" w:lastRow="0" w:firstColumn="0" w:lastColumn="1" w:oddVBand="0" w:evenVBand="0" w:oddHBand="0" w:evenHBand="0" w:firstRowFirstColumn="0" w:firstRowLastColumn="0" w:lastRowFirstColumn="0" w:lastRowLastColumn="0"/>
            <w:tcW w:w="506" w:type="pct"/>
          </w:tcPr>
          <w:p w:rsidR="006308E8" w:rsidRPr="00E923F7" w:rsidRDefault="006308E8" w:rsidP="00121650">
            <w:pPr>
              <w:spacing w:line="276" w:lineRule="auto"/>
              <w:jc w:val="right"/>
              <w:rPr>
                <w:rFonts w:asciiTheme="minorHAnsi" w:hAnsiTheme="minorHAnsi"/>
                <w:sz w:val="18"/>
                <w:szCs w:val="20"/>
                <w:lang w:val="sq-AL"/>
              </w:rPr>
            </w:pPr>
            <w:r w:rsidRPr="00E923F7">
              <w:rPr>
                <w:rFonts w:asciiTheme="minorHAnsi" w:hAnsiTheme="minorHAnsi"/>
                <w:sz w:val="18"/>
                <w:szCs w:val="20"/>
                <w:lang w:val="sq-AL"/>
              </w:rPr>
              <w:t>18</w:t>
            </w:r>
          </w:p>
        </w:tc>
      </w:tr>
      <w:tr w:rsidR="00E923F7" w:rsidRPr="00E923F7" w:rsidTr="00E923F7">
        <w:trPr>
          <w:trHeight w:val="353"/>
          <w:jc w:val="center"/>
        </w:trPr>
        <w:tc>
          <w:tcPr>
            <w:cnfStyle w:val="001000000000" w:firstRow="0" w:lastRow="0" w:firstColumn="1" w:lastColumn="0" w:oddVBand="0" w:evenVBand="0" w:oddHBand="0" w:evenHBand="0" w:firstRowFirstColumn="0" w:firstRowLastColumn="0" w:lastRowFirstColumn="0" w:lastRowLastColumn="0"/>
            <w:tcW w:w="251" w:type="pct"/>
          </w:tcPr>
          <w:p w:rsidR="006308E8" w:rsidRPr="00E923F7" w:rsidRDefault="006308E8" w:rsidP="00121650">
            <w:pPr>
              <w:spacing w:line="276" w:lineRule="auto"/>
              <w:jc w:val="center"/>
              <w:rPr>
                <w:rFonts w:asciiTheme="minorHAnsi" w:hAnsiTheme="minorHAnsi"/>
                <w:sz w:val="18"/>
                <w:lang w:val="sq-AL"/>
              </w:rPr>
            </w:pPr>
            <w:r w:rsidRPr="00E923F7">
              <w:rPr>
                <w:rFonts w:asciiTheme="minorHAnsi" w:hAnsiTheme="minorHAnsi"/>
                <w:sz w:val="18"/>
                <w:lang w:val="sq-AL"/>
              </w:rPr>
              <w:t>1.</w:t>
            </w:r>
          </w:p>
        </w:tc>
        <w:tc>
          <w:tcPr>
            <w:cnfStyle w:val="000010000000" w:firstRow="0" w:lastRow="0" w:firstColumn="0" w:lastColumn="0" w:oddVBand="1" w:evenVBand="0" w:oddHBand="0" w:evenHBand="0" w:firstRowFirstColumn="0" w:firstRowLastColumn="0" w:lastRowFirstColumn="0" w:lastRowLastColumn="0"/>
            <w:tcW w:w="1519" w:type="pct"/>
            <w:gridSpan w:val="2"/>
            <w:vAlign w:val="bottom"/>
          </w:tcPr>
          <w:p w:rsidR="006308E8" w:rsidRPr="00E923F7" w:rsidRDefault="006308E8" w:rsidP="00121650">
            <w:pPr>
              <w:spacing w:line="276" w:lineRule="auto"/>
              <w:jc w:val="center"/>
              <w:rPr>
                <w:rFonts w:asciiTheme="minorHAnsi" w:hAnsiTheme="minorHAnsi"/>
                <w:sz w:val="18"/>
                <w:lang w:val="sq-AL"/>
              </w:rPr>
            </w:pPr>
            <w:r w:rsidRPr="00E923F7">
              <w:rPr>
                <w:rFonts w:asciiTheme="minorHAnsi" w:hAnsiTheme="minorHAnsi"/>
                <w:sz w:val="18"/>
                <w:lang w:val="sq-AL"/>
              </w:rPr>
              <w:t>Planifikimi, Menaxhimi dhe Administrimi</w:t>
            </w:r>
          </w:p>
        </w:tc>
        <w:tc>
          <w:tcPr>
            <w:tcW w:w="544" w:type="pct"/>
          </w:tcPr>
          <w:p w:rsidR="006308E8" w:rsidRPr="00E923F7" w:rsidRDefault="006308E8" w:rsidP="00121650">
            <w:pPr>
              <w:spacing w:line="276" w:lineRule="auto"/>
              <w:jc w:val="right"/>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20"/>
                <w:lang w:val="sq-AL"/>
              </w:rPr>
            </w:pPr>
            <w:r w:rsidRPr="00E923F7">
              <w:rPr>
                <w:rFonts w:asciiTheme="minorHAnsi" w:hAnsiTheme="minorHAnsi"/>
                <w:sz w:val="18"/>
                <w:szCs w:val="20"/>
                <w:lang w:val="sq-AL"/>
              </w:rPr>
              <w:t>704,350</w:t>
            </w:r>
          </w:p>
        </w:tc>
        <w:tc>
          <w:tcPr>
            <w:cnfStyle w:val="000010000000" w:firstRow="0" w:lastRow="0" w:firstColumn="0" w:lastColumn="0" w:oddVBand="1" w:evenVBand="0" w:oddHBand="0" w:evenHBand="0" w:firstRowFirstColumn="0" w:firstRowLastColumn="0" w:lastRowFirstColumn="0" w:lastRowLastColumn="0"/>
            <w:tcW w:w="544" w:type="pct"/>
          </w:tcPr>
          <w:p w:rsidR="006308E8" w:rsidRPr="00E923F7" w:rsidRDefault="006308E8" w:rsidP="00121650">
            <w:pPr>
              <w:spacing w:line="276" w:lineRule="auto"/>
              <w:jc w:val="right"/>
              <w:rPr>
                <w:rFonts w:asciiTheme="minorHAnsi" w:hAnsiTheme="minorHAnsi"/>
                <w:sz w:val="18"/>
                <w:szCs w:val="20"/>
                <w:lang w:val="sq-AL"/>
              </w:rPr>
            </w:pPr>
            <w:r w:rsidRPr="00E923F7">
              <w:rPr>
                <w:rFonts w:asciiTheme="minorHAnsi" w:hAnsiTheme="minorHAnsi"/>
                <w:sz w:val="18"/>
                <w:szCs w:val="20"/>
                <w:lang w:val="sq-AL"/>
              </w:rPr>
              <w:t>22,000</w:t>
            </w:r>
          </w:p>
        </w:tc>
        <w:tc>
          <w:tcPr>
            <w:tcW w:w="583" w:type="pct"/>
          </w:tcPr>
          <w:p w:rsidR="006308E8" w:rsidRPr="00E923F7" w:rsidRDefault="006308E8" w:rsidP="00121650">
            <w:pPr>
              <w:spacing w:line="276" w:lineRule="auto"/>
              <w:jc w:val="right"/>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20"/>
                <w:lang w:val="sq-AL"/>
              </w:rPr>
            </w:pPr>
            <w:r w:rsidRPr="00E923F7">
              <w:rPr>
                <w:rFonts w:asciiTheme="minorHAnsi" w:hAnsiTheme="minorHAnsi"/>
                <w:sz w:val="18"/>
                <w:szCs w:val="20"/>
                <w:lang w:val="sq-AL"/>
              </w:rPr>
              <w:t>166,945</w:t>
            </w:r>
          </w:p>
        </w:tc>
        <w:tc>
          <w:tcPr>
            <w:cnfStyle w:val="000010000000" w:firstRow="0" w:lastRow="0" w:firstColumn="0" w:lastColumn="0" w:oddVBand="1" w:evenVBand="0" w:oddHBand="0" w:evenHBand="0" w:firstRowFirstColumn="0" w:firstRowLastColumn="0" w:lastRowFirstColumn="0" w:lastRowLastColumn="0"/>
            <w:tcW w:w="584" w:type="pct"/>
          </w:tcPr>
          <w:p w:rsidR="006308E8" w:rsidRPr="00E923F7" w:rsidRDefault="006308E8" w:rsidP="00121650">
            <w:pPr>
              <w:spacing w:line="276" w:lineRule="auto"/>
              <w:jc w:val="right"/>
              <w:rPr>
                <w:rFonts w:asciiTheme="minorHAnsi" w:hAnsiTheme="minorHAnsi"/>
                <w:sz w:val="18"/>
                <w:szCs w:val="20"/>
                <w:lang w:val="sq-AL"/>
              </w:rPr>
            </w:pPr>
            <w:r w:rsidRPr="00E923F7">
              <w:rPr>
                <w:rFonts w:asciiTheme="minorHAnsi" w:hAnsiTheme="minorHAnsi"/>
                <w:sz w:val="18"/>
                <w:szCs w:val="20"/>
                <w:lang w:val="sq-AL"/>
              </w:rPr>
              <w:t>0</w:t>
            </w:r>
          </w:p>
        </w:tc>
        <w:tc>
          <w:tcPr>
            <w:tcW w:w="469" w:type="pct"/>
            <w:gridSpan w:val="2"/>
          </w:tcPr>
          <w:p w:rsidR="006308E8" w:rsidRPr="00E923F7" w:rsidRDefault="006308E8" w:rsidP="00121650">
            <w:pPr>
              <w:spacing w:line="276" w:lineRule="auto"/>
              <w:jc w:val="right"/>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20"/>
                <w:lang w:val="sq-AL"/>
              </w:rPr>
            </w:pPr>
            <w:r w:rsidRPr="00E923F7">
              <w:rPr>
                <w:rFonts w:asciiTheme="minorHAnsi" w:hAnsiTheme="minorHAnsi"/>
                <w:sz w:val="18"/>
                <w:szCs w:val="20"/>
                <w:lang w:val="sq-AL"/>
              </w:rPr>
              <w:t>24</w:t>
            </w:r>
          </w:p>
        </w:tc>
        <w:tc>
          <w:tcPr>
            <w:cnfStyle w:val="000100000000" w:firstRow="0" w:lastRow="0" w:firstColumn="0" w:lastColumn="1" w:oddVBand="0" w:evenVBand="0" w:oddHBand="0" w:evenHBand="0" w:firstRowFirstColumn="0" w:firstRowLastColumn="0" w:lastRowFirstColumn="0" w:lastRowLastColumn="0"/>
            <w:tcW w:w="506" w:type="pct"/>
          </w:tcPr>
          <w:p w:rsidR="006308E8" w:rsidRPr="00E923F7" w:rsidRDefault="006308E8" w:rsidP="00121650">
            <w:pPr>
              <w:spacing w:line="276" w:lineRule="auto"/>
              <w:jc w:val="right"/>
              <w:rPr>
                <w:rFonts w:asciiTheme="minorHAnsi" w:hAnsiTheme="minorHAnsi"/>
                <w:sz w:val="18"/>
                <w:szCs w:val="20"/>
                <w:lang w:val="sq-AL"/>
              </w:rPr>
            </w:pPr>
            <w:r w:rsidRPr="00E923F7">
              <w:rPr>
                <w:rFonts w:asciiTheme="minorHAnsi" w:hAnsiTheme="minorHAnsi"/>
                <w:sz w:val="18"/>
                <w:szCs w:val="20"/>
                <w:lang w:val="sq-AL"/>
              </w:rPr>
              <w:t>0</w:t>
            </w:r>
          </w:p>
        </w:tc>
      </w:tr>
      <w:tr w:rsidR="00E923F7" w:rsidRPr="00E923F7" w:rsidTr="00E923F7">
        <w:trPr>
          <w:cnfStyle w:val="000000100000" w:firstRow="0" w:lastRow="0" w:firstColumn="0" w:lastColumn="0" w:oddVBand="0" w:evenVBand="0" w:oddHBand="1" w:evenHBand="0" w:firstRowFirstColumn="0" w:firstRowLastColumn="0" w:lastRowFirstColumn="0" w:lastRowLastColumn="0"/>
          <w:trHeight w:val="317"/>
          <w:jc w:val="center"/>
        </w:trPr>
        <w:tc>
          <w:tcPr>
            <w:cnfStyle w:val="001000000000" w:firstRow="0" w:lastRow="0" w:firstColumn="1" w:lastColumn="0" w:oddVBand="0" w:evenVBand="0" w:oddHBand="0" w:evenHBand="0" w:firstRowFirstColumn="0" w:firstRowLastColumn="0" w:lastRowFirstColumn="0" w:lastRowLastColumn="0"/>
            <w:tcW w:w="251" w:type="pct"/>
          </w:tcPr>
          <w:p w:rsidR="006308E8" w:rsidRPr="00E923F7" w:rsidRDefault="006308E8" w:rsidP="00121650">
            <w:pPr>
              <w:spacing w:line="276" w:lineRule="auto"/>
              <w:jc w:val="center"/>
              <w:rPr>
                <w:rFonts w:asciiTheme="minorHAnsi" w:hAnsiTheme="minorHAnsi"/>
                <w:sz w:val="18"/>
                <w:lang w:val="sq-AL"/>
              </w:rPr>
            </w:pPr>
            <w:r w:rsidRPr="00E923F7">
              <w:rPr>
                <w:rFonts w:asciiTheme="minorHAnsi" w:hAnsiTheme="minorHAnsi"/>
                <w:sz w:val="18"/>
                <w:lang w:val="sq-AL"/>
              </w:rPr>
              <w:t>2.</w:t>
            </w:r>
          </w:p>
        </w:tc>
        <w:tc>
          <w:tcPr>
            <w:cnfStyle w:val="000010000000" w:firstRow="0" w:lastRow="0" w:firstColumn="0" w:lastColumn="0" w:oddVBand="1" w:evenVBand="0" w:oddHBand="0" w:evenHBand="0" w:firstRowFirstColumn="0" w:firstRowLastColumn="0" w:lastRowFirstColumn="0" w:lastRowLastColumn="0"/>
            <w:tcW w:w="1519" w:type="pct"/>
            <w:gridSpan w:val="2"/>
          </w:tcPr>
          <w:p w:rsidR="006308E8" w:rsidRPr="00E923F7" w:rsidRDefault="006308E8" w:rsidP="00121650">
            <w:pPr>
              <w:spacing w:line="276" w:lineRule="auto"/>
              <w:rPr>
                <w:rFonts w:asciiTheme="minorHAnsi" w:hAnsiTheme="minorHAnsi"/>
                <w:sz w:val="18"/>
                <w:szCs w:val="20"/>
                <w:lang w:val="sq-AL"/>
              </w:rPr>
            </w:pPr>
            <w:r w:rsidRPr="00E923F7">
              <w:rPr>
                <w:rFonts w:asciiTheme="minorHAnsi" w:hAnsiTheme="minorHAnsi"/>
                <w:sz w:val="18"/>
                <w:szCs w:val="20"/>
                <w:lang w:val="sq-AL"/>
              </w:rPr>
              <w:t>Arsimi Bazë</w:t>
            </w:r>
          </w:p>
        </w:tc>
        <w:tc>
          <w:tcPr>
            <w:tcW w:w="544" w:type="pct"/>
          </w:tcPr>
          <w:p w:rsidR="006308E8" w:rsidRPr="00E923F7" w:rsidRDefault="006308E8" w:rsidP="00121650">
            <w:pPr>
              <w:spacing w:line="276" w:lineRule="auto"/>
              <w:jc w:val="right"/>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20"/>
                <w:lang w:val="sq-AL"/>
              </w:rPr>
            </w:pPr>
            <w:r w:rsidRPr="00E923F7">
              <w:rPr>
                <w:rFonts w:asciiTheme="minorHAnsi" w:hAnsiTheme="minorHAnsi"/>
                <w:sz w:val="18"/>
                <w:szCs w:val="20"/>
                <w:lang w:val="sq-AL"/>
              </w:rPr>
              <w:t>21,724,720</w:t>
            </w:r>
          </w:p>
        </w:tc>
        <w:tc>
          <w:tcPr>
            <w:cnfStyle w:val="000010000000" w:firstRow="0" w:lastRow="0" w:firstColumn="0" w:lastColumn="0" w:oddVBand="1" w:evenVBand="0" w:oddHBand="0" w:evenHBand="0" w:firstRowFirstColumn="0" w:firstRowLastColumn="0" w:lastRowFirstColumn="0" w:lastRowLastColumn="0"/>
            <w:tcW w:w="544" w:type="pct"/>
          </w:tcPr>
          <w:p w:rsidR="006308E8" w:rsidRPr="00E923F7" w:rsidRDefault="006308E8" w:rsidP="00121650">
            <w:pPr>
              <w:spacing w:line="276" w:lineRule="auto"/>
              <w:jc w:val="right"/>
              <w:rPr>
                <w:rFonts w:asciiTheme="minorHAnsi" w:hAnsiTheme="minorHAnsi"/>
                <w:sz w:val="18"/>
                <w:szCs w:val="20"/>
                <w:lang w:val="sq-AL"/>
              </w:rPr>
            </w:pPr>
            <w:r w:rsidRPr="00E923F7">
              <w:rPr>
                <w:rFonts w:asciiTheme="minorHAnsi" w:hAnsiTheme="minorHAnsi"/>
                <w:sz w:val="18"/>
                <w:szCs w:val="20"/>
                <w:lang w:val="sq-AL"/>
              </w:rPr>
              <w:t>1,117,000</w:t>
            </w:r>
          </w:p>
        </w:tc>
        <w:tc>
          <w:tcPr>
            <w:tcW w:w="583" w:type="pct"/>
          </w:tcPr>
          <w:p w:rsidR="006308E8" w:rsidRPr="00E923F7" w:rsidRDefault="006308E8" w:rsidP="00121650">
            <w:pPr>
              <w:spacing w:line="276" w:lineRule="auto"/>
              <w:jc w:val="right"/>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20"/>
                <w:lang w:val="sq-AL"/>
              </w:rPr>
            </w:pPr>
            <w:r w:rsidRPr="00E923F7">
              <w:rPr>
                <w:rFonts w:asciiTheme="minorHAnsi" w:hAnsiTheme="minorHAnsi"/>
                <w:sz w:val="18"/>
                <w:szCs w:val="20"/>
                <w:lang w:val="sq-AL"/>
              </w:rPr>
              <w:t>6,869,031</w:t>
            </w:r>
          </w:p>
        </w:tc>
        <w:tc>
          <w:tcPr>
            <w:cnfStyle w:val="000010000000" w:firstRow="0" w:lastRow="0" w:firstColumn="0" w:lastColumn="0" w:oddVBand="1" w:evenVBand="0" w:oddHBand="0" w:evenHBand="0" w:firstRowFirstColumn="0" w:firstRowLastColumn="0" w:lastRowFirstColumn="0" w:lastRowLastColumn="0"/>
            <w:tcW w:w="584" w:type="pct"/>
          </w:tcPr>
          <w:p w:rsidR="006308E8" w:rsidRPr="00E923F7" w:rsidRDefault="006308E8" w:rsidP="00121650">
            <w:pPr>
              <w:spacing w:line="276" w:lineRule="auto"/>
              <w:jc w:val="right"/>
              <w:rPr>
                <w:rFonts w:asciiTheme="minorHAnsi" w:hAnsiTheme="minorHAnsi"/>
                <w:sz w:val="18"/>
                <w:szCs w:val="20"/>
                <w:lang w:val="sq-AL"/>
              </w:rPr>
            </w:pPr>
            <w:r w:rsidRPr="00E923F7">
              <w:rPr>
                <w:rFonts w:asciiTheme="minorHAnsi" w:hAnsiTheme="minorHAnsi"/>
                <w:sz w:val="18"/>
                <w:szCs w:val="20"/>
                <w:lang w:val="sq-AL"/>
              </w:rPr>
              <w:t>118,259</w:t>
            </w:r>
          </w:p>
        </w:tc>
        <w:tc>
          <w:tcPr>
            <w:tcW w:w="469" w:type="pct"/>
            <w:gridSpan w:val="2"/>
          </w:tcPr>
          <w:p w:rsidR="006308E8" w:rsidRPr="00E923F7" w:rsidRDefault="006308E8" w:rsidP="00121650">
            <w:pPr>
              <w:spacing w:line="276" w:lineRule="auto"/>
              <w:jc w:val="right"/>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20"/>
                <w:lang w:val="sq-AL"/>
              </w:rPr>
            </w:pPr>
            <w:r w:rsidRPr="00E923F7">
              <w:rPr>
                <w:rFonts w:asciiTheme="minorHAnsi" w:hAnsiTheme="minorHAnsi"/>
                <w:sz w:val="18"/>
                <w:szCs w:val="20"/>
                <w:lang w:val="sq-AL"/>
              </w:rPr>
              <w:t>32</w:t>
            </w:r>
          </w:p>
        </w:tc>
        <w:tc>
          <w:tcPr>
            <w:cnfStyle w:val="000100000000" w:firstRow="0" w:lastRow="0" w:firstColumn="0" w:lastColumn="1" w:oddVBand="0" w:evenVBand="0" w:oddHBand="0" w:evenHBand="0" w:firstRowFirstColumn="0" w:firstRowLastColumn="0" w:lastRowFirstColumn="0" w:lastRowLastColumn="0"/>
            <w:tcW w:w="506" w:type="pct"/>
          </w:tcPr>
          <w:p w:rsidR="006308E8" w:rsidRPr="00E923F7" w:rsidRDefault="006308E8" w:rsidP="00121650">
            <w:pPr>
              <w:spacing w:line="276" w:lineRule="auto"/>
              <w:jc w:val="right"/>
              <w:rPr>
                <w:rFonts w:asciiTheme="minorHAnsi" w:hAnsiTheme="minorHAnsi"/>
                <w:sz w:val="18"/>
                <w:szCs w:val="20"/>
                <w:lang w:val="sq-AL"/>
              </w:rPr>
            </w:pPr>
            <w:r w:rsidRPr="00E923F7">
              <w:rPr>
                <w:rFonts w:asciiTheme="minorHAnsi" w:hAnsiTheme="minorHAnsi"/>
                <w:sz w:val="18"/>
                <w:szCs w:val="20"/>
                <w:lang w:val="sq-AL"/>
              </w:rPr>
              <w:t>11</w:t>
            </w:r>
          </w:p>
        </w:tc>
      </w:tr>
      <w:tr w:rsidR="00E923F7" w:rsidRPr="00E923F7" w:rsidTr="00E923F7">
        <w:trPr>
          <w:trHeight w:val="240"/>
          <w:jc w:val="center"/>
        </w:trPr>
        <w:tc>
          <w:tcPr>
            <w:cnfStyle w:val="001000000000" w:firstRow="0" w:lastRow="0" w:firstColumn="1" w:lastColumn="0" w:oddVBand="0" w:evenVBand="0" w:oddHBand="0" w:evenHBand="0" w:firstRowFirstColumn="0" w:firstRowLastColumn="0" w:lastRowFirstColumn="0" w:lastRowLastColumn="0"/>
            <w:tcW w:w="251" w:type="pct"/>
          </w:tcPr>
          <w:p w:rsidR="006308E8" w:rsidRPr="00E923F7" w:rsidRDefault="006308E8" w:rsidP="00121650">
            <w:pPr>
              <w:spacing w:line="276" w:lineRule="auto"/>
              <w:jc w:val="center"/>
              <w:rPr>
                <w:rFonts w:asciiTheme="minorHAnsi" w:hAnsiTheme="minorHAnsi"/>
                <w:sz w:val="18"/>
                <w:lang w:val="sq-AL"/>
              </w:rPr>
            </w:pPr>
            <w:r w:rsidRPr="00E923F7">
              <w:rPr>
                <w:rFonts w:asciiTheme="minorHAnsi" w:hAnsiTheme="minorHAnsi"/>
                <w:sz w:val="18"/>
                <w:lang w:val="sq-AL"/>
              </w:rPr>
              <w:t>3..</w:t>
            </w:r>
          </w:p>
        </w:tc>
        <w:tc>
          <w:tcPr>
            <w:cnfStyle w:val="000010000000" w:firstRow="0" w:lastRow="0" w:firstColumn="0" w:lastColumn="0" w:oddVBand="1" w:evenVBand="0" w:oddHBand="0" w:evenHBand="0" w:firstRowFirstColumn="0" w:firstRowLastColumn="0" w:lastRowFirstColumn="0" w:lastRowLastColumn="0"/>
            <w:tcW w:w="1519" w:type="pct"/>
            <w:gridSpan w:val="2"/>
          </w:tcPr>
          <w:p w:rsidR="006308E8" w:rsidRPr="00E923F7" w:rsidRDefault="006308E8" w:rsidP="00121650">
            <w:pPr>
              <w:spacing w:line="276" w:lineRule="auto"/>
              <w:rPr>
                <w:rFonts w:asciiTheme="minorHAnsi" w:hAnsiTheme="minorHAnsi"/>
                <w:sz w:val="18"/>
                <w:szCs w:val="20"/>
                <w:lang w:val="sq-AL"/>
              </w:rPr>
            </w:pPr>
            <w:r w:rsidRPr="00E923F7">
              <w:rPr>
                <w:rFonts w:asciiTheme="minorHAnsi" w:hAnsiTheme="minorHAnsi"/>
                <w:sz w:val="18"/>
                <w:szCs w:val="20"/>
                <w:lang w:val="sq-AL"/>
              </w:rPr>
              <w:t>Arsimi i Mesëm i Përgjithshëm</w:t>
            </w:r>
          </w:p>
        </w:tc>
        <w:tc>
          <w:tcPr>
            <w:tcW w:w="544" w:type="pct"/>
          </w:tcPr>
          <w:p w:rsidR="006308E8" w:rsidRPr="00E923F7" w:rsidRDefault="006308E8" w:rsidP="00121650">
            <w:pPr>
              <w:spacing w:line="276" w:lineRule="auto"/>
              <w:jc w:val="right"/>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20"/>
                <w:lang w:val="sq-AL"/>
              </w:rPr>
            </w:pPr>
            <w:r w:rsidRPr="00E923F7">
              <w:rPr>
                <w:rFonts w:asciiTheme="minorHAnsi" w:hAnsiTheme="minorHAnsi"/>
                <w:sz w:val="18"/>
                <w:szCs w:val="20"/>
                <w:lang w:val="sq-AL"/>
              </w:rPr>
              <w:t>6,264,543</w:t>
            </w:r>
          </w:p>
        </w:tc>
        <w:tc>
          <w:tcPr>
            <w:cnfStyle w:val="000010000000" w:firstRow="0" w:lastRow="0" w:firstColumn="0" w:lastColumn="0" w:oddVBand="1" w:evenVBand="0" w:oddHBand="0" w:evenHBand="0" w:firstRowFirstColumn="0" w:firstRowLastColumn="0" w:lastRowFirstColumn="0" w:lastRowLastColumn="0"/>
            <w:tcW w:w="544" w:type="pct"/>
          </w:tcPr>
          <w:p w:rsidR="006308E8" w:rsidRPr="00E923F7" w:rsidRDefault="006308E8" w:rsidP="00121650">
            <w:pPr>
              <w:spacing w:line="276" w:lineRule="auto"/>
              <w:jc w:val="right"/>
              <w:rPr>
                <w:rFonts w:asciiTheme="minorHAnsi" w:hAnsiTheme="minorHAnsi"/>
                <w:sz w:val="18"/>
                <w:szCs w:val="20"/>
                <w:lang w:val="sq-AL"/>
              </w:rPr>
            </w:pPr>
            <w:r w:rsidRPr="00E923F7">
              <w:rPr>
                <w:rFonts w:asciiTheme="minorHAnsi" w:hAnsiTheme="minorHAnsi"/>
                <w:sz w:val="18"/>
                <w:szCs w:val="20"/>
                <w:lang w:val="sq-AL"/>
              </w:rPr>
              <w:t>842,000</w:t>
            </w:r>
          </w:p>
        </w:tc>
        <w:tc>
          <w:tcPr>
            <w:tcW w:w="583" w:type="pct"/>
          </w:tcPr>
          <w:p w:rsidR="006308E8" w:rsidRPr="00E923F7" w:rsidRDefault="006308E8" w:rsidP="00121650">
            <w:pPr>
              <w:spacing w:line="276" w:lineRule="auto"/>
              <w:jc w:val="right"/>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20"/>
                <w:lang w:val="sq-AL"/>
              </w:rPr>
            </w:pPr>
            <w:r w:rsidRPr="00E923F7">
              <w:rPr>
                <w:rFonts w:asciiTheme="minorHAnsi" w:hAnsiTheme="minorHAnsi"/>
                <w:sz w:val="18"/>
                <w:szCs w:val="20"/>
                <w:lang w:val="sq-AL"/>
              </w:rPr>
              <w:t>1,934,636</w:t>
            </w:r>
          </w:p>
        </w:tc>
        <w:tc>
          <w:tcPr>
            <w:cnfStyle w:val="000010000000" w:firstRow="0" w:lastRow="0" w:firstColumn="0" w:lastColumn="0" w:oddVBand="1" w:evenVBand="0" w:oddHBand="0" w:evenHBand="0" w:firstRowFirstColumn="0" w:firstRowLastColumn="0" w:lastRowFirstColumn="0" w:lastRowLastColumn="0"/>
            <w:tcW w:w="584" w:type="pct"/>
          </w:tcPr>
          <w:p w:rsidR="006308E8" w:rsidRPr="00E923F7" w:rsidRDefault="006308E8" w:rsidP="00121650">
            <w:pPr>
              <w:spacing w:line="276" w:lineRule="auto"/>
              <w:jc w:val="right"/>
              <w:rPr>
                <w:rFonts w:asciiTheme="minorHAnsi" w:hAnsiTheme="minorHAnsi"/>
                <w:sz w:val="18"/>
                <w:szCs w:val="20"/>
                <w:lang w:val="sq-AL"/>
              </w:rPr>
            </w:pPr>
            <w:r w:rsidRPr="00E923F7">
              <w:rPr>
                <w:rFonts w:asciiTheme="minorHAnsi" w:hAnsiTheme="minorHAnsi"/>
                <w:sz w:val="18"/>
                <w:szCs w:val="20"/>
                <w:lang w:val="sq-AL"/>
              </w:rPr>
              <w:t>159,094</w:t>
            </w:r>
          </w:p>
        </w:tc>
        <w:tc>
          <w:tcPr>
            <w:tcW w:w="469" w:type="pct"/>
            <w:gridSpan w:val="2"/>
          </w:tcPr>
          <w:p w:rsidR="006308E8" w:rsidRPr="00E923F7" w:rsidRDefault="006308E8" w:rsidP="00121650">
            <w:pPr>
              <w:spacing w:line="276" w:lineRule="auto"/>
              <w:jc w:val="right"/>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20"/>
                <w:lang w:val="sq-AL"/>
              </w:rPr>
            </w:pPr>
            <w:r w:rsidRPr="00E923F7">
              <w:rPr>
                <w:rFonts w:asciiTheme="minorHAnsi" w:hAnsiTheme="minorHAnsi"/>
                <w:sz w:val="18"/>
                <w:szCs w:val="20"/>
                <w:lang w:val="sq-AL"/>
              </w:rPr>
              <w:t>31</w:t>
            </w:r>
          </w:p>
        </w:tc>
        <w:tc>
          <w:tcPr>
            <w:cnfStyle w:val="000100000000" w:firstRow="0" w:lastRow="0" w:firstColumn="0" w:lastColumn="1" w:oddVBand="0" w:evenVBand="0" w:oddHBand="0" w:evenHBand="0" w:firstRowFirstColumn="0" w:firstRowLastColumn="0" w:lastRowFirstColumn="0" w:lastRowLastColumn="0"/>
            <w:tcW w:w="506" w:type="pct"/>
          </w:tcPr>
          <w:p w:rsidR="006308E8" w:rsidRPr="00E923F7" w:rsidRDefault="006308E8" w:rsidP="00121650">
            <w:pPr>
              <w:spacing w:line="276" w:lineRule="auto"/>
              <w:jc w:val="right"/>
              <w:rPr>
                <w:rFonts w:asciiTheme="minorHAnsi" w:hAnsiTheme="minorHAnsi"/>
                <w:sz w:val="18"/>
                <w:szCs w:val="20"/>
                <w:lang w:val="sq-AL"/>
              </w:rPr>
            </w:pPr>
            <w:r w:rsidRPr="00E923F7">
              <w:rPr>
                <w:rFonts w:asciiTheme="minorHAnsi" w:hAnsiTheme="minorHAnsi"/>
                <w:sz w:val="18"/>
                <w:szCs w:val="20"/>
                <w:lang w:val="sq-AL"/>
              </w:rPr>
              <w:t>19</w:t>
            </w:r>
          </w:p>
        </w:tc>
      </w:tr>
      <w:tr w:rsidR="00E923F7" w:rsidRPr="00E923F7" w:rsidTr="00E923F7">
        <w:trPr>
          <w:cnfStyle w:val="000000100000" w:firstRow="0" w:lastRow="0" w:firstColumn="0" w:lastColumn="0" w:oddVBand="0" w:evenVBand="0" w:oddHBand="1" w:evenHBand="0" w:firstRowFirstColumn="0" w:firstRowLastColumn="0" w:lastRowFirstColumn="0" w:lastRowLastColumn="0"/>
          <w:trHeight w:val="275"/>
          <w:jc w:val="center"/>
        </w:trPr>
        <w:tc>
          <w:tcPr>
            <w:cnfStyle w:val="001000000000" w:firstRow="0" w:lastRow="0" w:firstColumn="1" w:lastColumn="0" w:oddVBand="0" w:evenVBand="0" w:oddHBand="0" w:evenHBand="0" w:firstRowFirstColumn="0" w:firstRowLastColumn="0" w:lastRowFirstColumn="0" w:lastRowLastColumn="0"/>
            <w:tcW w:w="251" w:type="pct"/>
          </w:tcPr>
          <w:p w:rsidR="006308E8" w:rsidRPr="00E923F7" w:rsidRDefault="006308E8" w:rsidP="00121650">
            <w:pPr>
              <w:spacing w:line="276" w:lineRule="auto"/>
              <w:jc w:val="center"/>
              <w:rPr>
                <w:rFonts w:asciiTheme="minorHAnsi" w:hAnsiTheme="minorHAnsi"/>
                <w:sz w:val="18"/>
                <w:lang w:val="sq-AL"/>
              </w:rPr>
            </w:pPr>
            <w:r w:rsidRPr="00E923F7">
              <w:rPr>
                <w:rFonts w:asciiTheme="minorHAnsi" w:hAnsiTheme="minorHAnsi"/>
                <w:sz w:val="18"/>
                <w:lang w:val="sq-AL"/>
              </w:rPr>
              <w:t>4.</w:t>
            </w:r>
          </w:p>
        </w:tc>
        <w:tc>
          <w:tcPr>
            <w:cnfStyle w:val="000010000000" w:firstRow="0" w:lastRow="0" w:firstColumn="0" w:lastColumn="0" w:oddVBand="1" w:evenVBand="0" w:oddHBand="0" w:evenHBand="0" w:firstRowFirstColumn="0" w:firstRowLastColumn="0" w:lastRowFirstColumn="0" w:lastRowLastColumn="0"/>
            <w:tcW w:w="1519" w:type="pct"/>
            <w:gridSpan w:val="2"/>
          </w:tcPr>
          <w:p w:rsidR="006308E8" w:rsidRPr="00E923F7" w:rsidRDefault="006308E8" w:rsidP="00121650">
            <w:pPr>
              <w:spacing w:line="276" w:lineRule="auto"/>
              <w:rPr>
                <w:rFonts w:asciiTheme="minorHAnsi" w:hAnsiTheme="minorHAnsi"/>
                <w:sz w:val="18"/>
                <w:szCs w:val="20"/>
                <w:lang w:val="sq-AL"/>
              </w:rPr>
            </w:pPr>
            <w:r w:rsidRPr="00E923F7">
              <w:rPr>
                <w:rFonts w:asciiTheme="minorHAnsi" w:hAnsiTheme="minorHAnsi"/>
                <w:sz w:val="18"/>
                <w:szCs w:val="20"/>
                <w:lang w:val="sq-AL"/>
              </w:rPr>
              <w:t>Arsimi i Universitar</w:t>
            </w:r>
          </w:p>
        </w:tc>
        <w:tc>
          <w:tcPr>
            <w:tcW w:w="544" w:type="pct"/>
          </w:tcPr>
          <w:p w:rsidR="006308E8" w:rsidRPr="00E923F7" w:rsidRDefault="006308E8" w:rsidP="00121650">
            <w:pPr>
              <w:spacing w:line="276" w:lineRule="auto"/>
              <w:jc w:val="right"/>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20"/>
                <w:lang w:val="sq-AL"/>
              </w:rPr>
            </w:pPr>
            <w:r w:rsidRPr="00E923F7">
              <w:rPr>
                <w:rFonts w:asciiTheme="minorHAnsi" w:hAnsiTheme="minorHAnsi"/>
                <w:sz w:val="18"/>
                <w:szCs w:val="20"/>
                <w:lang w:val="sq-AL"/>
              </w:rPr>
              <w:t>9,397,969</w:t>
            </w:r>
          </w:p>
        </w:tc>
        <w:tc>
          <w:tcPr>
            <w:cnfStyle w:val="000010000000" w:firstRow="0" w:lastRow="0" w:firstColumn="0" w:lastColumn="0" w:oddVBand="1" w:evenVBand="0" w:oddHBand="0" w:evenHBand="0" w:firstRowFirstColumn="0" w:firstRowLastColumn="0" w:lastRowFirstColumn="0" w:lastRowLastColumn="0"/>
            <w:tcW w:w="544" w:type="pct"/>
          </w:tcPr>
          <w:p w:rsidR="006308E8" w:rsidRPr="00E923F7" w:rsidRDefault="006308E8" w:rsidP="00121650">
            <w:pPr>
              <w:spacing w:line="276" w:lineRule="auto"/>
              <w:jc w:val="right"/>
              <w:rPr>
                <w:rFonts w:asciiTheme="minorHAnsi" w:hAnsiTheme="minorHAnsi"/>
                <w:sz w:val="18"/>
                <w:szCs w:val="20"/>
                <w:lang w:val="sq-AL"/>
              </w:rPr>
            </w:pPr>
            <w:r w:rsidRPr="00E923F7">
              <w:rPr>
                <w:rFonts w:asciiTheme="minorHAnsi" w:hAnsiTheme="minorHAnsi"/>
                <w:sz w:val="18"/>
                <w:szCs w:val="20"/>
                <w:lang w:val="sq-AL"/>
              </w:rPr>
              <w:t>430,000</w:t>
            </w:r>
          </w:p>
        </w:tc>
        <w:tc>
          <w:tcPr>
            <w:tcW w:w="583" w:type="pct"/>
          </w:tcPr>
          <w:p w:rsidR="006308E8" w:rsidRPr="00E923F7" w:rsidRDefault="006308E8" w:rsidP="00121650">
            <w:pPr>
              <w:spacing w:line="276" w:lineRule="auto"/>
              <w:jc w:val="right"/>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20"/>
                <w:lang w:val="sq-AL"/>
              </w:rPr>
            </w:pPr>
            <w:r w:rsidRPr="00E923F7">
              <w:rPr>
                <w:rFonts w:asciiTheme="minorHAnsi" w:hAnsiTheme="minorHAnsi"/>
                <w:sz w:val="18"/>
                <w:szCs w:val="20"/>
                <w:lang w:val="sq-AL"/>
              </w:rPr>
              <w:t>2,805,695</w:t>
            </w:r>
          </w:p>
        </w:tc>
        <w:tc>
          <w:tcPr>
            <w:cnfStyle w:val="000010000000" w:firstRow="0" w:lastRow="0" w:firstColumn="0" w:lastColumn="0" w:oddVBand="1" w:evenVBand="0" w:oddHBand="0" w:evenHBand="0" w:firstRowFirstColumn="0" w:firstRowLastColumn="0" w:lastRowFirstColumn="0" w:lastRowLastColumn="0"/>
            <w:tcW w:w="584" w:type="pct"/>
          </w:tcPr>
          <w:p w:rsidR="006308E8" w:rsidRPr="00E923F7" w:rsidRDefault="006308E8" w:rsidP="00121650">
            <w:pPr>
              <w:spacing w:line="276" w:lineRule="auto"/>
              <w:jc w:val="right"/>
              <w:rPr>
                <w:rFonts w:asciiTheme="minorHAnsi" w:hAnsiTheme="minorHAnsi"/>
                <w:sz w:val="18"/>
                <w:szCs w:val="20"/>
                <w:lang w:val="sq-AL"/>
              </w:rPr>
            </w:pPr>
            <w:r w:rsidRPr="00E923F7">
              <w:rPr>
                <w:rFonts w:asciiTheme="minorHAnsi" w:hAnsiTheme="minorHAnsi"/>
                <w:sz w:val="18"/>
                <w:szCs w:val="20"/>
                <w:lang w:val="sq-AL"/>
              </w:rPr>
              <w:t>40,608</w:t>
            </w:r>
          </w:p>
        </w:tc>
        <w:tc>
          <w:tcPr>
            <w:tcW w:w="469" w:type="pct"/>
            <w:gridSpan w:val="2"/>
          </w:tcPr>
          <w:p w:rsidR="006308E8" w:rsidRPr="00E923F7" w:rsidRDefault="006308E8" w:rsidP="00121650">
            <w:pPr>
              <w:spacing w:line="276" w:lineRule="auto"/>
              <w:jc w:val="right"/>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20"/>
                <w:lang w:val="sq-AL"/>
              </w:rPr>
            </w:pPr>
            <w:r w:rsidRPr="00E923F7">
              <w:rPr>
                <w:rFonts w:asciiTheme="minorHAnsi" w:hAnsiTheme="minorHAnsi"/>
                <w:sz w:val="18"/>
                <w:szCs w:val="20"/>
                <w:lang w:val="sq-AL"/>
              </w:rPr>
              <w:t>30</w:t>
            </w:r>
          </w:p>
        </w:tc>
        <w:tc>
          <w:tcPr>
            <w:cnfStyle w:val="000100000000" w:firstRow="0" w:lastRow="0" w:firstColumn="0" w:lastColumn="1" w:oddVBand="0" w:evenVBand="0" w:oddHBand="0" w:evenHBand="0" w:firstRowFirstColumn="0" w:firstRowLastColumn="0" w:lastRowFirstColumn="0" w:lastRowLastColumn="0"/>
            <w:tcW w:w="506" w:type="pct"/>
          </w:tcPr>
          <w:p w:rsidR="006308E8" w:rsidRPr="00E923F7" w:rsidRDefault="006308E8" w:rsidP="00121650">
            <w:pPr>
              <w:spacing w:line="276" w:lineRule="auto"/>
              <w:jc w:val="right"/>
              <w:rPr>
                <w:rFonts w:asciiTheme="minorHAnsi" w:hAnsiTheme="minorHAnsi"/>
                <w:sz w:val="18"/>
                <w:szCs w:val="20"/>
                <w:lang w:val="sq-AL"/>
              </w:rPr>
            </w:pPr>
            <w:r w:rsidRPr="00E923F7">
              <w:rPr>
                <w:rFonts w:asciiTheme="minorHAnsi" w:hAnsiTheme="minorHAnsi"/>
                <w:sz w:val="18"/>
                <w:szCs w:val="20"/>
                <w:lang w:val="sq-AL"/>
              </w:rPr>
              <w:t>9</w:t>
            </w:r>
          </w:p>
        </w:tc>
      </w:tr>
      <w:tr w:rsidR="00E923F7" w:rsidRPr="00E923F7" w:rsidTr="00E923F7">
        <w:trPr>
          <w:trHeight w:val="180"/>
          <w:jc w:val="center"/>
        </w:trPr>
        <w:tc>
          <w:tcPr>
            <w:cnfStyle w:val="001000000000" w:firstRow="0" w:lastRow="0" w:firstColumn="1" w:lastColumn="0" w:oddVBand="0" w:evenVBand="0" w:oddHBand="0" w:evenHBand="0" w:firstRowFirstColumn="0" w:firstRowLastColumn="0" w:lastRowFirstColumn="0" w:lastRowLastColumn="0"/>
            <w:tcW w:w="251" w:type="pct"/>
          </w:tcPr>
          <w:p w:rsidR="006308E8" w:rsidRPr="00E923F7" w:rsidRDefault="006308E8" w:rsidP="00121650">
            <w:pPr>
              <w:spacing w:line="276" w:lineRule="auto"/>
              <w:jc w:val="center"/>
              <w:rPr>
                <w:rFonts w:asciiTheme="minorHAnsi" w:hAnsiTheme="minorHAnsi"/>
                <w:sz w:val="18"/>
                <w:lang w:val="sq-AL"/>
              </w:rPr>
            </w:pPr>
          </w:p>
        </w:tc>
        <w:tc>
          <w:tcPr>
            <w:cnfStyle w:val="000010000000" w:firstRow="0" w:lastRow="0" w:firstColumn="0" w:lastColumn="0" w:oddVBand="1" w:evenVBand="0" w:oddHBand="0" w:evenHBand="0" w:firstRowFirstColumn="0" w:firstRowLastColumn="0" w:lastRowFirstColumn="0" w:lastRowLastColumn="0"/>
            <w:tcW w:w="1519" w:type="pct"/>
            <w:gridSpan w:val="2"/>
          </w:tcPr>
          <w:p w:rsidR="006308E8" w:rsidRPr="00E923F7" w:rsidRDefault="006308E8" w:rsidP="00121650">
            <w:pPr>
              <w:spacing w:line="276" w:lineRule="auto"/>
              <w:jc w:val="center"/>
              <w:rPr>
                <w:rFonts w:asciiTheme="minorHAnsi" w:hAnsiTheme="minorHAnsi"/>
                <w:sz w:val="18"/>
                <w:szCs w:val="20"/>
                <w:lang w:val="sq-AL"/>
              </w:rPr>
            </w:pPr>
            <w:r w:rsidRPr="00E923F7">
              <w:rPr>
                <w:rFonts w:asciiTheme="minorHAnsi" w:hAnsiTheme="minorHAnsi"/>
                <w:sz w:val="18"/>
                <w:szCs w:val="20"/>
                <w:lang w:val="sq-AL"/>
              </w:rPr>
              <w:t>Financimi i huaj</w:t>
            </w:r>
          </w:p>
        </w:tc>
        <w:tc>
          <w:tcPr>
            <w:tcW w:w="544" w:type="pct"/>
          </w:tcPr>
          <w:p w:rsidR="006308E8" w:rsidRPr="00E923F7" w:rsidRDefault="006308E8" w:rsidP="00121650">
            <w:pPr>
              <w:spacing w:line="276" w:lineRule="auto"/>
              <w:jc w:val="right"/>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20"/>
                <w:lang w:val="sq-AL"/>
              </w:rPr>
            </w:pPr>
          </w:p>
        </w:tc>
        <w:tc>
          <w:tcPr>
            <w:cnfStyle w:val="000010000000" w:firstRow="0" w:lastRow="0" w:firstColumn="0" w:lastColumn="0" w:oddVBand="1" w:evenVBand="0" w:oddHBand="0" w:evenHBand="0" w:firstRowFirstColumn="0" w:firstRowLastColumn="0" w:lastRowFirstColumn="0" w:lastRowLastColumn="0"/>
            <w:tcW w:w="544" w:type="pct"/>
          </w:tcPr>
          <w:p w:rsidR="006308E8" w:rsidRPr="00E923F7" w:rsidRDefault="006308E8" w:rsidP="00121650">
            <w:pPr>
              <w:spacing w:line="276" w:lineRule="auto"/>
              <w:jc w:val="right"/>
              <w:rPr>
                <w:rFonts w:asciiTheme="minorHAnsi" w:hAnsiTheme="minorHAnsi"/>
                <w:sz w:val="18"/>
                <w:szCs w:val="20"/>
                <w:lang w:val="sq-AL"/>
              </w:rPr>
            </w:pPr>
            <w:r w:rsidRPr="00E923F7">
              <w:rPr>
                <w:rFonts w:asciiTheme="minorHAnsi" w:hAnsiTheme="minorHAnsi"/>
                <w:sz w:val="18"/>
                <w:szCs w:val="20"/>
                <w:lang w:val="sq-AL"/>
              </w:rPr>
              <w:t>100,000</w:t>
            </w:r>
          </w:p>
        </w:tc>
        <w:tc>
          <w:tcPr>
            <w:tcW w:w="583" w:type="pct"/>
          </w:tcPr>
          <w:p w:rsidR="006308E8" w:rsidRPr="00E923F7" w:rsidRDefault="006308E8" w:rsidP="00121650">
            <w:pPr>
              <w:spacing w:line="276" w:lineRule="auto"/>
              <w:jc w:val="right"/>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20"/>
                <w:lang w:val="sq-AL"/>
              </w:rPr>
            </w:pPr>
          </w:p>
        </w:tc>
        <w:tc>
          <w:tcPr>
            <w:cnfStyle w:val="000010000000" w:firstRow="0" w:lastRow="0" w:firstColumn="0" w:lastColumn="0" w:oddVBand="1" w:evenVBand="0" w:oddHBand="0" w:evenHBand="0" w:firstRowFirstColumn="0" w:firstRowLastColumn="0" w:lastRowFirstColumn="0" w:lastRowLastColumn="0"/>
            <w:tcW w:w="584" w:type="pct"/>
          </w:tcPr>
          <w:p w:rsidR="006308E8" w:rsidRPr="00E923F7" w:rsidRDefault="006308E8" w:rsidP="00121650">
            <w:pPr>
              <w:spacing w:line="276" w:lineRule="auto"/>
              <w:jc w:val="right"/>
              <w:rPr>
                <w:rFonts w:asciiTheme="minorHAnsi" w:hAnsiTheme="minorHAnsi"/>
                <w:sz w:val="18"/>
                <w:szCs w:val="20"/>
                <w:lang w:val="sq-AL"/>
              </w:rPr>
            </w:pPr>
            <w:r w:rsidRPr="00E923F7">
              <w:rPr>
                <w:rFonts w:asciiTheme="minorHAnsi" w:hAnsiTheme="minorHAnsi"/>
                <w:sz w:val="18"/>
                <w:szCs w:val="20"/>
                <w:lang w:val="sq-AL"/>
              </w:rPr>
              <w:t>10,431</w:t>
            </w:r>
          </w:p>
        </w:tc>
        <w:tc>
          <w:tcPr>
            <w:tcW w:w="469" w:type="pct"/>
            <w:gridSpan w:val="2"/>
          </w:tcPr>
          <w:p w:rsidR="006308E8" w:rsidRPr="00E923F7" w:rsidRDefault="006308E8" w:rsidP="00121650">
            <w:pPr>
              <w:spacing w:line="276" w:lineRule="auto"/>
              <w:jc w:val="right"/>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20"/>
                <w:lang w:val="sq-AL"/>
              </w:rPr>
            </w:pPr>
          </w:p>
        </w:tc>
        <w:tc>
          <w:tcPr>
            <w:cnfStyle w:val="000100000000" w:firstRow="0" w:lastRow="0" w:firstColumn="0" w:lastColumn="1" w:oddVBand="0" w:evenVBand="0" w:oddHBand="0" w:evenHBand="0" w:firstRowFirstColumn="0" w:firstRowLastColumn="0" w:lastRowFirstColumn="0" w:lastRowLastColumn="0"/>
            <w:tcW w:w="506" w:type="pct"/>
          </w:tcPr>
          <w:p w:rsidR="006308E8" w:rsidRPr="00E923F7" w:rsidRDefault="006308E8" w:rsidP="00121650">
            <w:pPr>
              <w:spacing w:line="276" w:lineRule="auto"/>
              <w:jc w:val="right"/>
              <w:rPr>
                <w:rFonts w:asciiTheme="minorHAnsi" w:hAnsiTheme="minorHAnsi"/>
                <w:sz w:val="18"/>
                <w:szCs w:val="20"/>
                <w:lang w:val="sq-AL"/>
              </w:rPr>
            </w:pPr>
            <w:r w:rsidRPr="00E923F7">
              <w:rPr>
                <w:rFonts w:asciiTheme="minorHAnsi" w:hAnsiTheme="minorHAnsi"/>
                <w:sz w:val="18"/>
                <w:szCs w:val="20"/>
                <w:lang w:val="sq-AL"/>
              </w:rPr>
              <w:t>10</w:t>
            </w:r>
          </w:p>
        </w:tc>
      </w:tr>
      <w:tr w:rsidR="00E923F7" w:rsidRPr="00E923F7" w:rsidTr="00E923F7">
        <w:trPr>
          <w:cnfStyle w:val="000000100000" w:firstRow="0" w:lastRow="0" w:firstColumn="0" w:lastColumn="0" w:oddVBand="0" w:evenVBand="0" w:oddHBand="1" w:evenHBand="0" w:firstRowFirstColumn="0" w:firstRowLastColumn="0" w:lastRowFirstColumn="0" w:lastRowLastColumn="0"/>
          <w:trHeight w:val="275"/>
          <w:jc w:val="center"/>
        </w:trPr>
        <w:tc>
          <w:tcPr>
            <w:cnfStyle w:val="001000000000" w:firstRow="0" w:lastRow="0" w:firstColumn="1" w:lastColumn="0" w:oddVBand="0" w:evenVBand="0" w:oddHBand="0" w:evenHBand="0" w:firstRowFirstColumn="0" w:firstRowLastColumn="0" w:lastRowFirstColumn="0" w:lastRowLastColumn="0"/>
            <w:tcW w:w="251" w:type="pct"/>
          </w:tcPr>
          <w:p w:rsidR="006308E8" w:rsidRPr="00E923F7" w:rsidRDefault="006308E8" w:rsidP="00121650">
            <w:pPr>
              <w:spacing w:line="276" w:lineRule="auto"/>
              <w:jc w:val="center"/>
              <w:rPr>
                <w:rFonts w:asciiTheme="minorHAnsi" w:hAnsiTheme="minorHAnsi"/>
                <w:sz w:val="18"/>
                <w:lang w:val="sq-AL"/>
              </w:rPr>
            </w:pPr>
            <w:r w:rsidRPr="00E923F7">
              <w:rPr>
                <w:rFonts w:asciiTheme="minorHAnsi" w:hAnsiTheme="minorHAnsi"/>
                <w:sz w:val="18"/>
                <w:lang w:val="sq-AL"/>
              </w:rPr>
              <w:t>5.</w:t>
            </w:r>
          </w:p>
        </w:tc>
        <w:tc>
          <w:tcPr>
            <w:cnfStyle w:val="000010000000" w:firstRow="0" w:lastRow="0" w:firstColumn="0" w:lastColumn="0" w:oddVBand="1" w:evenVBand="0" w:oddHBand="0" w:evenHBand="0" w:firstRowFirstColumn="0" w:firstRowLastColumn="0" w:lastRowFirstColumn="0" w:lastRowLastColumn="0"/>
            <w:tcW w:w="1519" w:type="pct"/>
            <w:gridSpan w:val="2"/>
          </w:tcPr>
          <w:p w:rsidR="006308E8" w:rsidRPr="00E923F7" w:rsidRDefault="006308E8" w:rsidP="00121650">
            <w:pPr>
              <w:spacing w:line="276" w:lineRule="auto"/>
              <w:rPr>
                <w:rFonts w:asciiTheme="minorHAnsi" w:hAnsiTheme="minorHAnsi"/>
                <w:sz w:val="18"/>
                <w:szCs w:val="20"/>
                <w:lang w:val="sq-AL"/>
              </w:rPr>
            </w:pPr>
            <w:r w:rsidRPr="00E923F7">
              <w:rPr>
                <w:rFonts w:asciiTheme="minorHAnsi" w:hAnsiTheme="minorHAnsi"/>
                <w:sz w:val="18"/>
                <w:szCs w:val="20"/>
                <w:lang w:val="sq-AL"/>
              </w:rPr>
              <w:t>Fonde për Shkencën</w:t>
            </w:r>
          </w:p>
        </w:tc>
        <w:tc>
          <w:tcPr>
            <w:tcW w:w="544" w:type="pct"/>
          </w:tcPr>
          <w:p w:rsidR="006308E8" w:rsidRPr="00E923F7" w:rsidRDefault="006308E8" w:rsidP="00121650">
            <w:pPr>
              <w:spacing w:line="276" w:lineRule="auto"/>
              <w:jc w:val="right"/>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20"/>
                <w:lang w:val="sq-AL"/>
              </w:rPr>
            </w:pPr>
            <w:r w:rsidRPr="00E923F7">
              <w:rPr>
                <w:rFonts w:asciiTheme="minorHAnsi" w:hAnsiTheme="minorHAnsi"/>
                <w:sz w:val="18"/>
                <w:szCs w:val="20"/>
                <w:lang w:val="sq-AL"/>
              </w:rPr>
              <w:t>313,147</w:t>
            </w:r>
          </w:p>
        </w:tc>
        <w:tc>
          <w:tcPr>
            <w:cnfStyle w:val="000010000000" w:firstRow="0" w:lastRow="0" w:firstColumn="0" w:lastColumn="0" w:oddVBand="1" w:evenVBand="0" w:oddHBand="0" w:evenHBand="0" w:firstRowFirstColumn="0" w:firstRowLastColumn="0" w:lastRowFirstColumn="0" w:lastRowLastColumn="0"/>
            <w:tcW w:w="544" w:type="pct"/>
          </w:tcPr>
          <w:p w:rsidR="006308E8" w:rsidRPr="00E923F7" w:rsidRDefault="006308E8" w:rsidP="00121650">
            <w:pPr>
              <w:spacing w:line="276" w:lineRule="auto"/>
              <w:jc w:val="right"/>
              <w:rPr>
                <w:rFonts w:asciiTheme="minorHAnsi" w:hAnsiTheme="minorHAnsi"/>
                <w:sz w:val="18"/>
                <w:szCs w:val="20"/>
                <w:lang w:val="sq-AL"/>
              </w:rPr>
            </w:pPr>
            <w:r w:rsidRPr="00E923F7">
              <w:rPr>
                <w:rFonts w:asciiTheme="minorHAnsi" w:hAnsiTheme="minorHAnsi"/>
                <w:sz w:val="18"/>
                <w:szCs w:val="20"/>
                <w:lang w:val="sq-AL"/>
              </w:rPr>
              <w:t>100,000</w:t>
            </w:r>
          </w:p>
        </w:tc>
        <w:tc>
          <w:tcPr>
            <w:tcW w:w="583" w:type="pct"/>
          </w:tcPr>
          <w:p w:rsidR="006308E8" w:rsidRPr="00E923F7" w:rsidRDefault="006308E8" w:rsidP="00121650">
            <w:pPr>
              <w:spacing w:line="276" w:lineRule="auto"/>
              <w:jc w:val="right"/>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20"/>
                <w:lang w:val="sq-AL"/>
              </w:rPr>
            </w:pPr>
            <w:r w:rsidRPr="00E923F7">
              <w:rPr>
                <w:rFonts w:asciiTheme="minorHAnsi" w:hAnsiTheme="minorHAnsi"/>
                <w:sz w:val="18"/>
                <w:szCs w:val="20"/>
                <w:lang w:val="sq-AL"/>
              </w:rPr>
              <w:t>22,246</w:t>
            </w:r>
          </w:p>
        </w:tc>
        <w:tc>
          <w:tcPr>
            <w:cnfStyle w:val="000010000000" w:firstRow="0" w:lastRow="0" w:firstColumn="0" w:lastColumn="0" w:oddVBand="1" w:evenVBand="0" w:oddHBand="0" w:evenHBand="0" w:firstRowFirstColumn="0" w:firstRowLastColumn="0" w:lastRowFirstColumn="0" w:lastRowLastColumn="0"/>
            <w:tcW w:w="584" w:type="pct"/>
          </w:tcPr>
          <w:p w:rsidR="006308E8" w:rsidRPr="00E923F7" w:rsidRDefault="006308E8" w:rsidP="00121650">
            <w:pPr>
              <w:spacing w:line="276" w:lineRule="auto"/>
              <w:jc w:val="right"/>
              <w:rPr>
                <w:rFonts w:asciiTheme="minorHAnsi" w:hAnsiTheme="minorHAnsi"/>
                <w:sz w:val="18"/>
                <w:szCs w:val="20"/>
                <w:lang w:val="sq-AL"/>
              </w:rPr>
            </w:pPr>
            <w:r w:rsidRPr="00E923F7">
              <w:rPr>
                <w:rFonts w:asciiTheme="minorHAnsi" w:hAnsiTheme="minorHAnsi"/>
                <w:sz w:val="18"/>
                <w:szCs w:val="20"/>
                <w:lang w:val="sq-AL"/>
              </w:rPr>
              <w:t>17,964</w:t>
            </w:r>
          </w:p>
        </w:tc>
        <w:tc>
          <w:tcPr>
            <w:tcW w:w="469" w:type="pct"/>
            <w:gridSpan w:val="2"/>
          </w:tcPr>
          <w:p w:rsidR="006308E8" w:rsidRPr="00E923F7" w:rsidRDefault="006308E8" w:rsidP="00121650">
            <w:pPr>
              <w:spacing w:line="276" w:lineRule="auto"/>
              <w:jc w:val="right"/>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20"/>
                <w:lang w:val="sq-AL"/>
              </w:rPr>
            </w:pPr>
            <w:r w:rsidRPr="00E923F7">
              <w:rPr>
                <w:rFonts w:asciiTheme="minorHAnsi" w:hAnsiTheme="minorHAnsi"/>
                <w:sz w:val="18"/>
                <w:szCs w:val="20"/>
                <w:lang w:val="sq-AL"/>
              </w:rPr>
              <w:t>7</w:t>
            </w:r>
          </w:p>
        </w:tc>
        <w:tc>
          <w:tcPr>
            <w:cnfStyle w:val="000100000000" w:firstRow="0" w:lastRow="0" w:firstColumn="0" w:lastColumn="1" w:oddVBand="0" w:evenVBand="0" w:oddHBand="0" w:evenHBand="0" w:firstRowFirstColumn="0" w:firstRowLastColumn="0" w:lastRowFirstColumn="0" w:lastRowLastColumn="0"/>
            <w:tcW w:w="506" w:type="pct"/>
          </w:tcPr>
          <w:p w:rsidR="006308E8" w:rsidRPr="00E923F7" w:rsidRDefault="006308E8" w:rsidP="00121650">
            <w:pPr>
              <w:spacing w:line="276" w:lineRule="auto"/>
              <w:jc w:val="right"/>
              <w:rPr>
                <w:rFonts w:asciiTheme="minorHAnsi" w:hAnsiTheme="minorHAnsi"/>
                <w:sz w:val="18"/>
                <w:szCs w:val="20"/>
                <w:lang w:val="sq-AL"/>
              </w:rPr>
            </w:pPr>
            <w:r w:rsidRPr="00E923F7">
              <w:rPr>
                <w:rFonts w:asciiTheme="minorHAnsi" w:hAnsiTheme="minorHAnsi"/>
                <w:sz w:val="18"/>
                <w:szCs w:val="20"/>
                <w:lang w:val="sq-AL"/>
              </w:rPr>
              <w:t>18</w:t>
            </w:r>
          </w:p>
        </w:tc>
      </w:tr>
      <w:tr w:rsidR="00E923F7" w:rsidRPr="00E923F7" w:rsidTr="00E923F7">
        <w:trPr>
          <w:trHeight w:val="275"/>
          <w:jc w:val="center"/>
        </w:trPr>
        <w:tc>
          <w:tcPr>
            <w:cnfStyle w:val="001000000000" w:firstRow="0" w:lastRow="0" w:firstColumn="1" w:lastColumn="0" w:oddVBand="0" w:evenVBand="0" w:oddHBand="0" w:evenHBand="0" w:firstRowFirstColumn="0" w:firstRowLastColumn="0" w:lastRowFirstColumn="0" w:lastRowLastColumn="0"/>
            <w:tcW w:w="251" w:type="pct"/>
          </w:tcPr>
          <w:p w:rsidR="006308E8" w:rsidRPr="00E923F7" w:rsidRDefault="006308E8" w:rsidP="00121650">
            <w:pPr>
              <w:spacing w:line="276" w:lineRule="auto"/>
              <w:jc w:val="center"/>
              <w:rPr>
                <w:rFonts w:asciiTheme="minorHAnsi" w:hAnsiTheme="minorHAnsi"/>
                <w:sz w:val="18"/>
                <w:lang w:val="sq-AL"/>
              </w:rPr>
            </w:pPr>
          </w:p>
        </w:tc>
        <w:tc>
          <w:tcPr>
            <w:cnfStyle w:val="000010000000" w:firstRow="0" w:lastRow="0" w:firstColumn="0" w:lastColumn="0" w:oddVBand="1" w:evenVBand="0" w:oddHBand="0" w:evenHBand="0" w:firstRowFirstColumn="0" w:firstRowLastColumn="0" w:lastRowFirstColumn="0" w:lastRowLastColumn="0"/>
            <w:tcW w:w="1519" w:type="pct"/>
            <w:gridSpan w:val="2"/>
          </w:tcPr>
          <w:p w:rsidR="006308E8" w:rsidRPr="00E923F7" w:rsidRDefault="006308E8" w:rsidP="00121650">
            <w:pPr>
              <w:spacing w:line="276" w:lineRule="auto"/>
              <w:jc w:val="center"/>
              <w:rPr>
                <w:rFonts w:asciiTheme="minorHAnsi" w:hAnsiTheme="minorHAnsi"/>
                <w:sz w:val="18"/>
                <w:szCs w:val="20"/>
                <w:lang w:val="sq-AL"/>
              </w:rPr>
            </w:pPr>
            <w:r w:rsidRPr="00E923F7">
              <w:rPr>
                <w:rFonts w:asciiTheme="minorHAnsi" w:hAnsiTheme="minorHAnsi"/>
                <w:sz w:val="18"/>
                <w:szCs w:val="20"/>
                <w:lang w:val="sq-AL"/>
              </w:rPr>
              <w:t>Financimi i huaj</w:t>
            </w:r>
          </w:p>
        </w:tc>
        <w:tc>
          <w:tcPr>
            <w:tcW w:w="544" w:type="pct"/>
          </w:tcPr>
          <w:p w:rsidR="006308E8" w:rsidRPr="00E923F7" w:rsidRDefault="006308E8" w:rsidP="00121650">
            <w:pPr>
              <w:spacing w:line="276" w:lineRule="auto"/>
              <w:jc w:val="right"/>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20"/>
                <w:lang w:val="sq-AL"/>
              </w:rPr>
            </w:pPr>
          </w:p>
        </w:tc>
        <w:tc>
          <w:tcPr>
            <w:cnfStyle w:val="000010000000" w:firstRow="0" w:lastRow="0" w:firstColumn="0" w:lastColumn="0" w:oddVBand="1" w:evenVBand="0" w:oddHBand="0" w:evenHBand="0" w:firstRowFirstColumn="0" w:firstRowLastColumn="0" w:lastRowFirstColumn="0" w:lastRowLastColumn="0"/>
            <w:tcW w:w="544" w:type="pct"/>
          </w:tcPr>
          <w:p w:rsidR="006308E8" w:rsidRPr="00E923F7" w:rsidRDefault="006308E8" w:rsidP="00121650">
            <w:pPr>
              <w:spacing w:line="276" w:lineRule="auto"/>
              <w:jc w:val="right"/>
              <w:rPr>
                <w:rFonts w:asciiTheme="minorHAnsi" w:hAnsiTheme="minorHAnsi"/>
                <w:sz w:val="18"/>
                <w:szCs w:val="20"/>
                <w:lang w:val="sq-AL"/>
              </w:rPr>
            </w:pPr>
            <w:r w:rsidRPr="00E923F7">
              <w:rPr>
                <w:rFonts w:asciiTheme="minorHAnsi" w:hAnsiTheme="minorHAnsi"/>
                <w:sz w:val="18"/>
                <w:szCs w:val="20"/>
                <w:lang w:val="sq-AL"/>
              </w:rPr>
              <w:t>100,000</w:t>
            </w:r>
          </w:p>
        </w:tc>
        <w:tc>
          <w:tcPr>
            <w:tcW w:w="583" w:type="pct"/>
          </w:tcPr>
          <w:p w:rsidR="006308E8" w:rsidRPr="00E923F7" w:rsidRDefault="006308E8" w:rsidP="00121650">
            <w:pPr>
              <w:spacing w:line="276" w:lineRule="auto"/>
              <w:jc w:val="right"/>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20"/>
                <w:lang w:val="sq-AL"/>
              </w:rPr>
            </w:pPr>
          </w:p>
        </w:tc>
        <w:tc>
          <w:tcPr>
            <w:cnfStyle w:val="000010000000" w:firstRow="0" w:lastRow="0" w:firstColumn="0" w:lastColumn="0" w:oddVBand="1" w:evenVBand="0" w:oddHBand="0" w:evenHBand="0" w:firstRowFirstColumn="0" w:firstRowLastColumn="0" w:lastRowFirstColumn="0" w:lastRowLastColumn="0"/>
            <w:tcW w:w="584" w:type="pct"/>
          </w:tcPr>
          <w:p w:rsidR="006308E8" w:rsidRPr="00E923F7" w:rsidRDefault="006308E8" w:rsidP="00121650">
            <w:pPr>
              <w:spacing w:line="276" w:lineRule="auto"/>
              <w:jc w:val="right"/>
              <w:rPr>
                <w:rFonts w:asciiTheme="minorHAnsi" w:hAnsiTheme="minorHAnsi"/>
                <w:sz w:val="18"/>
                <w:szCs w:val="20"/>
                <w:lang w:val="sq-AL"/>
              </w:rPr>
            </w:pPr>
            <w:r w:rsidRPr="00E923F7">
              <w:rPr>
                <w:rFonts w:asciiTheme="minorHAnsi" w:hAnsiTheme="minorHAnsi"/>
                <w:sz w:val="18"/>
                <w:szCs w:val="20"/>
                <w:lang w:val="sq-AL"/>
              </w:rPr>
              <w:t>6,261</w:t>
            </w:r>
          </w:p>
        </w:tc>
        <w:tc>
          <w:tcPr>
            <w:tcW w:w="469" w:type="pct"/>
            <w:gridSpan w:val="2"/>
          </w:tcPr>
          <w:p w:rsidR="006308E8" w:rsidRPr="00E923F7" w:rsidRDefault="006308E8" w:rsidP="00121650">
            <w:pPr>
              <w:spacing w:line="276" w:lineRule="auto"/>
              <w:jc w:val="right"/>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20"/>
                <w:lang w:val="sq-AL"/>
              </w:rPr>
            </w:pPr>
          </w:p>
        </w:tc>
        <w:tc>
          <w:tcPr>
            <w:cnfStyle w:val="000100000000" w:firstRow="0" w:lastRow="0" w:firstColumn="0" w:lastColumn="1" w:oddVBand="0" w:evenVBand="0" w:oddHBand="0" w:evenHBand="0" w:firstRowFirstColumn="0" w:firstRowLastColumn="0" w:lastRowFirstColumn="0" w:lastRowLastColumn="0"/>
            <w:tcW w:w="506" w:type="pct"/>
          </w:tcPr>
          <w:p w:rsidR="006308E8" w:rsidRPr="00E923F7" w:rsidRDefault="006308E8" w:rsidP="00121650">
            <w:pPr>
              <w:spacing w:line="276" w:lineRule="auto"/>
              <w:jc w:val="right"/>
              <w:rPr>
                <w:rFonts w:asciiTheme="minorHAnsi" w:hAnsiTheme="minorHAnsi"/>
                <w:sz w:val="18"/>
                <w:szCs w:val="20"/>
                <w:lang w:val="sq-AL"/>
              </w:rPr>
            </w:pPr>
            <w:r w:rsidRPr="00E923F7">
              <w:rPr>
                <w:rFonts w:asciiTheme="minorHAnsi" w:hAnsiTheme="minorHAnsi"/>
                <w:sz w:val="18"/>
                <w:szCs w:val="20"/>
                <w:lang w:val="sq-AL"/>
              </w:rPr>
              <w:t>6</w:t>
            </w:r>
          </w:p>
        </w:tc>
      </w:tr>
      <w:tr w:rsidR="00E923F7" w:rsidRPr="00E923F7" w:rsidTr="00E923F7">
        <w:trPr>
          <w:cnfStyle w:val="000000100000" w:firstRow="0" w:lastRow="0" w:firstColumn="0" w:lastColumn="0" w:oddVBand="0" w:evenVBand="0" w:oddHBand="1" w:evenHBand="0" w:firstRowFirstColumn="0" w:firstRowLastColumn="0" w:lastRowFirstColumn="0" w:lastRowLastColumn="0"/>
          <w:trHeight w:val="275"/>
          <w:jc w:val="center"/>
        </w:trPr>
        <w:tc>
          <w:tcPr>
            <w:cnfStyle w:val="001000000000" w:firstRow="0" w:lastRow="0" w:firstColumn="1" w:lastColumn="0" w:oddVBand="0" w:evenVBand="0" w:oddHBand="0" w:evenHBand="0" w:firstRowFirstColumn="0" w:firstRowLastColumn="0" w:lastRowFirstColumn="0" w:lastRowLastColumn="0"/>
            <w:tcW w:w="251" w:type="pct"/>
          </w:tcPr>
          <w:p w:rsidR="006308E8" w:rsidRPr="00E923F7" w:rsidRDefault="006308E8" w:rsidP="00121650">
            <w:pPr>
              <w:spacing w:line="276" w:lineRule="auto"/>
              <w:jc w:val="center"/>
              <w:rPr>
                <w:rFonts w:asciiTheme="minorHAnsi" w:hAnsiTheme="minorHAnsi"/>
                <w:sz w:val="18"/>
                <w:lang w:val="sq-AL"/>
              </w:rPr>
            </w:pPr>
            <w:r w:rsidRPr="00E923F7">
              <w:rPr>
                <w:rFonts w:asciiTheme="minorHAnsi" w:hAnsiTheme="minorHAnsi"/>
                <w:sz w:val="18"/>
                <w:lang w:val="sq-AL"/>
              </w:rPr>
              <w:t>6.</w:t>
            </w:r>
          </w:p>
        </w:tc>
        <w:tc>
          <w:tcPr>
            <w:cnfStyle w:val="000010000000" w:firstRow="0" w:lastRow="0" w:firstColumn="0" w:lastColumn="0" w:oddVBand="1" w:evenVBand="0" w:oddHBand="0" w:evenHBand="0" w:firstRowFirstColumn="0" w:firstRowLastColumn="0" w:lastRowFirstColumn="0" w:lastRowLastColumn="0"/>
            <w:tcW w:w="1519" w:type="pct"/>
            <w:gridSpan w:val="2"/>
          </w:tcPr>
          <w:p w:rsidR="006308E8" w:rsidRPr="00E923F7" w:rsidRDefault="006308E8" w:rsidP="00121650">
            <w:pPr>
              <w:spacing w:line="276" w:lineRule="auto"/>
              <w:rPr>
                <w:rFonts w:asciiTheme="minorHAnsi" w:hAnsiTheme="minorHAnsi"/>
                <w:sz w:val="18"/>
                <w:szCs w:val="20"/>
                <w:lang w:val="sq-AL"/>
              </w:rPr>
            </w:pPr>
            <w:r w:rsidRPr="00E923F7">
              <w:rPr>
                <w:rFonts w:asciiTheme="minorHAnsi" w:hAnsiTheme="minorHAnsi"/>
                <w:sz w:val="18"/>
                <w:szCs w:val="20"/>
                <w:lang w:val="sq-AL"/>
              </w:rPr>
              <w:t>Zhvillimi i Sportit dhe Rinisë</w:t>
            </w:r>
          </w:p>
        </w:tc>
        <w:tc>
          <w:tcPr>
            <w:tcW w:w="544" w:type="pct"/>
          </w:tcPr>
          <w:p w:rsidR="006308E8" w:rsidRPr="00E923F7" w:rsidRDefault="006308E8" w:rsidP="00121650">
            <w:pPr>
              <w:spacing w:line="276" w:lineRule="auto"/>
              <w:jc w:val="right"/>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20"/>
                <w:lang w:val="sq-AL"/>
              </w:rPr>
            </w:pPr>
            <w:r w:rsidRPr="00E923F7">
              <w:rPr>
                <w:rFonts w:asciiTheme="minorHAnsi" w:hAnsiTheme="minorHAnsi"/>
                <w:sz w:val="18"/>
                <w:szCs w:val="20"/>
                <w:lang w:val="sq-AL"/>
              </w:rPr>
              <w:t>220,100</w:t>
            </w:r>
          </w:p>
        </w:tc>
        <w:tc>
          <w:tcPr>
            <w:cnfStyle w:val="000010000000" w:firstRow="0" w:lastRow="0" w:firstColumn="0" w:lastColumn="0" w:oddVBand="1" w:evenVBand="0" w:oddHBand="0" w:evenHBand="0" w:firstRowFirstColumn="0" w:firstRowLastColumn="0" w:lastRowFirstColumn="0" w:lastRowLastColumn="0"/>
            <w:tcW w:w="544" w:type="pct"/>
          </w:tcPr>
          <w:p w:rsidR="006308E8" w:rsidRPr="00E923F7" w:rsidRDefault="006308E8" w:rsidP="00121650">
            <w:pPr>
              <w:spacing w:line="276" w:lineRule="auto"/>
              <w:jc w:val="right"/>
              <w:rPr>
                <w:rFonts w:asciiTheme="minorHAnsi" w:hAnsiTheme="minorHAnsi"/>
                <w:sz w:val="18"/>
                <w:szCs w:val="20"/>
                <w:lang w:val="sq-AL"/>
              </w:rPr>
            </w:pPr>
            <w:r w:rsidRPr="00E923F7">
              <w:rPr>
                <w:rFonts w:asciiTheme="minorHAnsi" w:hAnsiTheme="minorHAnsi"/>
                <w:sz w:val="18"/>
                <w:szCs w:val="20"/>
                <w:lang w:val="sq-AL"/>
              </w:rPr>
              <w:t>94,000</w:t>
            </w:r>
          </w:p>
        </w:tc>
        <w:tc>
          <w:tcPr>
            <w:tcW w:w="583" w:type="pct"/>
          </w:tcPr>
          <w:p w:rsidR="006308E8" w:rsidRPr="00E923F7" w:rsidRDefault="006308E8" w:rsidP="00121650">
            <w:pPr>
              <w:spacing w:line="276" w:lineRule="auto"/>
              <w:jc w:val="right"/>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20"/>
                <w:lang w:val="sq-AL"/>
              </w:rPr>
            </w:pPr>
            <w:r w:rsidRPr="00E923F7">
              <w:rPr>
                <w:rFonts w:asciiTheme="minorHAnsi" w:hAnsiTheme="minorHAnsi"/>
                <w:sz w:val="18"/>
                <w:szCs w:val="20"/>
                <w:lang w:val="sq-AL"/>
              </w:rPr>
              <w:t>57,693</w:t>
            </w:r>
          </w:p>
        </w:tc>
        <w:tc>
          <w:tcPr>
            <w:cnfStyle w:val="000010000000" w:firstRow="0" w:lastRow="0" w:firstColumn="0" w:lastColumn="0" w:oddVBand="1" w:evenVBand="0" w:oddHBand="0" w:evenHBand="0" w:firstRowFirstColumn="0" w:firstRowLastColumn="0" w:lastRowFirstColumn="0" w:lastRowLastColumn="0"/>
            <w:tcW w:w="584" w:type="pct"/>
          </w:tcPr>
          <w:p w:rsidR="006308E8" w:rsidRPr="00E923F7" w:rsidRDefault="006308E8" w:rsidP="00121650">
            <w:pPr>
              <w:spacing w:line="276" w:lineRule="auto"/>
              <w:jc w:val="right"/>
              <w:rPr>
                <w:rFonts w:asciiTheme="minorHAnsi" w:hAnsiTheme="minorHAnsi"/>
                <w:sz w:val="18"/>
                <w:szCs w:val="20"/>
                <w:lang w:val="sq-AL"/>
              </w:rPr>
            </w:pPr>
            <w:r w:rsidRPr="00E923F7">
              <w:rPr>
                <w:rFonts w:asciiTheme="minorHAnsi" w:hAnsiTheme="minorHAnsi"/>
                <w:sz w:val="18"/>
                <w:szCs w:val="20"/>
                <w:lang w:val="sq-AL"/>
              </w:rPr>
              <w:t>6,074</w:t>
            </w:r>
          </w:p>
        </w:tc>
        <w:tc>
          <w:tcPr>
            <w:tcW w:w="469" w:type="pct"/>
            <w:gridSpan w:val="2"/>
          </w:tcPr>
          <w:p w:rsidR="006308E8" w:rsidRPr="00E923F7" w:rsidRDefault="006308E8" w:rsidP="00121650">
            <w:pPr>
              <w:spacing w:line="276" w:lineRule="auto"/>
              <w:jc w:val="right"/>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20"/>
                <w:lang w:val="sq-AL"/>
              </w:rPr>
            </w:pPr>
            <w:r w:rsidRPr="00E923F7">
              <w:rPr>
                <w:rFonts w:asciiTheme="minorHAnsi" w:hAnsiTheme="minorHAnsi"/>
                <w:sz w:val="18"/>
                <w:szCs w:val="20"/>
                <w:lang w:val="sq-AL"/>
              </w:rPr>
              <w:t>26</w:t>
            </w:r>
          </w:p>
        </w:tc>
        <w:tc>
          <w:tcPr>
            <w:cnfStyle w:val="000100000000" w:firstRow="0" w:lastRow="0" w:firstColumn="0" w:lastColumn="1" w:oddVBand="0" w:evenVBand="0" w:oddHBand="0" w:evenHBand="0" w:firstRowFirstColumn="0" w:firstRowLastColumn="0" w:lastRowFirstColumn="0" w:lastRowLastColumn="0"/>
            <w:tcW w:w="506" w:type="pct"/>
          </w:tcPr>
          <w:p w:rsidR="006308E8" w:rsidRPr="00E923F7" w:rsidRDefault="006308E8" w:rsidP="00121650">
            <w:pPr>
              <w:spacing w:line="276" w:lineRule="auto"/>
              <w:jc w:val="right"/>
              <w:rPr>
                <w:rFonts w:asciiTheme="minorHAnsi" w:hAnsiTheme="minorHAnsi"/>
                <w:sz w:val="18"/>
                <w:szCs w:val="20"/>
                <w:lang w:val="sq-AL"/>
              </w:rPr>
            </w:pPr>
            <w:r w:rsidRPr="00E923F7">
              <w:rPr>
                <w:rFonts w:asciiTheme="minorHAnsi" w:hAnsiTheme="minorHAnsi"/>
                <w:sz w:val="18"/>
                <w:szCs w:val="20"/>
                <w:lang w:val="sq-AL"/>
              </w:rPr>
              <w:t>7</w:t>
            </w:r>
          </w:p>
        </w:tc>
      </w:tr>
      <w:tr w:rsidR="00E923F7" w:rsidRPr="00E923F7" w:rsidTr="00E923F7">
        <w:trPr>
          <w:cnfStyle w:val="010000000000" w:firstRow="0" w:lastRow="1" w:firstColumn="0" w:lastColumn="0" w:oddVBand="0" w:evenVBand="0" w:oddHBand="0" w:evenHBand="0" w:firstRowFirstColumn="0" w:firstRowLastColumn="0" w:lastRowFirstColumn="0" w:lastRowLastColumn="0"/>
          <w:trHeight w:val="275"/>
          <w:jc w:val="center"/>
        </w:trPr>
        <w:tc>
          <w:tcPr>
            <w:cnfStyle w:val="001000000001" w:firstRow="0" w:lastRow="0" w:firstColumn="1" w:lastColumn="0" w:oddVBand="0" w:evenVBand="0" w:oddHBand="0" w:evenHBand="0" w:firstRowFirstColumn="0" w:firstRowLastColumn="0" w:lastRowFirstColumn="1" w:lastRowLastColumn="0"/>
            <w:tcW w:w="251" w:type="pct"/>
          </w:tcPr>
          <w:p w:rsidR="006308E8" w:rsidRPr="00E923F7" w:rsidRDefault="006308E8" w:rsidP="00121650">
            <w:pPr>
              <w:spacing w:line="276" w:lineRule="auto"/>
              <w:jc w:val="center"/>
              <w:rPr>
                <w:rFonts w:asciiTheme="minorHAnsi" w:hAnsiTheme="minorHAnsi"/>
                <w:sz w:val="18"/>
                <w:lang w:val="sq-AL"/>
              </w:rPr>
            </w:pPr>
          </w:p>
        </w:tc>
        <w:tc>
          <w:tcPr>
            <w:cnfStyle w:val="000010000000" w:firstRow="0" w:lastRow="0" w:firstColumn="0" w:lastColumn="0" w:oddVBand="1" w:evenVBand="0" w:oddHBand="0" w:evenHBand="0" w:firstRowFirstColumn="0" w:firstRowLastColumn="0" w:lastRowFirstColumn="0" w:lastRowLastColumn="0"/>
            <w:tcW w:w="1519" w:type="pct"/>
            <w:gridSpan w:val="2"/>
          </w:tcPr>
          <w:p w:rsidR="006308E8" w:rsidRPr="00E923F7" w:rsidRDefault="006308E8" w:rsidP="00121650">
            <w:pPr>
              <w:spacing w:line="276" w:lineRule="auto"/>
              <w:jc w:val="center"/>
              <w:rPr>
                <w:rFonts w:asciiTheme="minorHAnsi" w:hAnsiTheme="minorHAnsi"/>
                <w:sz w:val="18"/>
                <w:szCs w:val="20"/>
                <w:lang w:val="sq-AL"/>
              </w:rPr>
            </w:pPr>
            <w:r w:rsidRPr="00E923F7">
              <w:rPr>
                <w:rFonts w:asciiTheme="minorHAnsi" w:hAnsiTheme="minorHAnsi"/>
                <w:sz w:val="18"/>
                <w:szCs w:val="20"/>
                <w:lang w:val="sq-AL"/>
              </w:rPr>
              <w:t>Financimi i huaj</w:t>
            </w:r>
          </w:p>
        </w:tc>
        <w:tc>
          <w:tcPr>
            <w:tcW w:w="544" w:type="pct"/>
          </w:tcPr>
          <w:p w:rsidR="006308E8" w:rsidRPr="00E923F7" w:rsidRDefault="006308E8" w:rsidP="00121650">
            <w:pPr>
              <w:spacing w:line="276" w:lineRule="auto"/>
              <w:jc w:val="right"/>
              <w:cnfStyle w:val="010000000000" w:firstRow="0" w:lastRow="1" w:firstColumn="0" w:lastColumn="0" w:oddVBand="0" w:evenVBand="0" w:oddHBand="0" w:evenHBand="0" w:firstRowFirstColumn="0" w:firstRowLastColumn="0" w:lastRowFirstColumn="0" w:lastRowLastColumn="0"/>
              <w:rPr>
                <w:rFonts w:asciiTheme="minorHAnsi" w:hAnsiTheme="minorHAnsi"/>
                <w:sz w:val="18"/>
                <w:lang w:val="sq-AL"/>
              </w:rPr>
            </w:pPr>
          </w:p>
        </w:tc>
        <w:tc>
          <w:tcPr>
            <w:cnfStyle w:val="000010000000" w:firstRow="0" w:lastRow="0" w:firstColumn="0" w:lastColumn="0" w:oddVBand="1" w:evenVBand="0" w:oddHBand="0" w:evenHBand="0" w:firstRowFirstColumn="0" w:firstRowLastColumn="0" w:lastRowFirstColumn="0" w:lastRowLastColumn="0"/>
            <w:tcW w:w="544" w:type="pct"/>
          </w:tcPr>
          <w:p w:rsidR="006308E8" w:rsidRPr="00E923F7" w:rsidRDefault="006308E8" w:rsidP="00121650">
            <w:pPr>
              <w:spacing w:line="276" w:lineRule="auto"/>
              <w:jc w:val="right"/>
              <w:rPr>
                <w:rFonts w:asciiTheme="minorHAnsi" w:hAnsiTheme="minorHAnsi"/>
                <w:sz w:val="18"/>
                <w:szCs w:val="20"/>
                <w:lang w:val="sq-AL"/>
              </w:rPr>
            </w:pPr>
            <w:r w:rsidRPr="00E923F7">
              <w:rPr>
                <w:rFonts w:asciiTheme="minorHAnsi" w:hAnsiTheme="minorHAnsi"/>
                <w:sz w:val="18"/>
                <w:szCs w:val="20"/>
                <w:lang w:val="sq-AL"/>
              </w:rPr>
              <w:t>16,000</w:t>
            </w:r>
          </w:p>
        </w:tc>
        <w:tc>
          <w:tcPr>
            <w:tcW w:w="583" w:type="pct"/>
          </w:tcPr>
          <w:p w:rsidR="006308E8" w:rsidRPr="00E923F7" w:rsidRDefault="006308E8" w:rsidP="00121650">
            <w:pPr>
              <w:spacing w:line="276" w:lineRule="auto"/>
              <w:jc w:val="right"/>
              <w:cnfStyle w:val="010000000000" w:firstRow="0" w:lastRow="1" w:firstColumn="0" w:lastColumn="0" w:oddVBand="0" w:evenVBand="0" w:oddHBand="0" w:evenHBand="0" w:firstRowFirstColumn="0" w:firstRowLastColumn="0" w:lastRowFirstColumn="0" w:lastRowLastColumn="0"/>
              <w:rPr>
                <w:rFonts w:asciiTheme="minorHAnsi" w:hAnsiTheme="minorHAnsi"/>
                <w:sz w:val="18"/>
                <w:szCs w:val="20"/>
                <w:lang w:val="sq-AL"/>
              </w:rPr>
            </w:pPr>
          </w:p>
        </w:tc>
        <w:tc>
          <w:tcPr>
            <w:cnfStyle w:val="000010000000" w:firstRow="0" w:lastRow="0" w:firstColumn="0" w:lastColumn="0" w:oddVBand="1" w:evenVBand="0" w:oddHBand="0" w:evenHBand="0" w:firstRowFirstColumn="0" w:firstRowLastColumn="0" w:lastRowFirstColumn="0" w:lastRowLastColumn="0"/>
            <w:tcW w:w="584" w:type="pct"/>
          </w:tcPr>
          <w:p w:rsidR="006308E8" w:rsidRPr="00E923F7" w:rsidRDefault="006308E8" w:rsidP="00121650">
            <w:pPr>
              <w:spacing w:line="276" w:lineRule="auto"/>
              <w:jc w:val="right"/>
              <w:rPr>
                <w:rFonts w:asciiTheme="minorHAnsi" w:hAnsiTheme="minorHAnsi"/>
                <w:sz w:val="18"/>
                <w:szCs w:val="20"/>
                <w:lang w:val="sq-AL"/>
              </w:rPr>
            </w:pPr>
            <w:r w:rsidRPr="00E923F7">
              <w:rPr>
                <w:rFonts w:asciiTheme="minorHAnsi" w:hAnsiTheme="minorHAnsi"/>
                <w:sz w:val="18"/>
                <w:szCs w:val="20"/>
                <w:lang w:val="sq-AL"/>
              </w:rPr>
              <w:t>0</w:t>
            </w:r>
          </w:p>
        </w:tc>
        <w:tc>
          <w:tcPr>
            <w:tcW w:w="469" w:type="pct"/>
            <w:gridSpan w:val="2"/>
          </w:tcPr>
          <w:p w:rsidR="006308E8" w:rsidRPr="00E923F7" w:rsidRDefault="006308E8" w:rsidP="00121650">
            <w:pPr>
              <w:spacing w:line="276" w:lineRule="auto"/>
              <w:jc w:val="right"/>
              <w:cnfStyle w:val="010000000000" w:firstRow="0" w:lastRow="1" w:firstColumn="0" w:lastColumn="0" w:oddVBand="0" w:evenVBand="0" w:oddHBand="0" w:evenHBand="0" w:firstRowFirstColumn="0" w:firstRowLastColumn="0" w:lastRowFirstColumn="0" w:lastRowLastColumn="0"/>
              <w:rPr>
                <w:rFonts w:asciiTheme="minorHAnsi" w:hAnsiTheme="minorHAnsi"/>
                <w:sz w:val="18"/>
                <w:szCs w:val="20"/>
                <w:lang w:val="sq-AL"/>
              </w:rPr>
            </w:pPr>
          </w:p>
        </w:tc>
        <w:tc>
          <w:tcPr>
            <w:cnfStyle w:val="000100000010" w:firstRow="0" w:lastRow="0" w:firstColumn="0" w:lastColumn="1" w:oddVBand="0" w:evenVBand="0" w:oddHBand="0" w:evenHBand="0" w:firstRowFirstColumn="0" w:firstRowLastColumn="0" w:lastRowFirstColumn="0" w:lastRowLastColumn="1"/>
            <w:tcW w:w="506" w:type="pct"/>
          </w:tcPr>
          <w:p w:rsidR="006308E8" w:rsidRPr="00E923F7" w:rsidRDefault="006308E8" w:rsidP="00121650">
            <w:pPr>
              <w:spacing w:line="276" w:lineRule="auto"/>
              <w:jc w:val="right"/>
              <w:rPr>
                <w:rFonts w:asciiTheme="minorHAnsi" w:hAnsiTheme="minorHAnsi"/>
                <w:sz w:val="18"/>
                <w:szCs w:val="20"/>
                <w:lang w:val="sq-AL"/>
              </w:rPr>
            </w:pPr>
            <w:r w:rsidRPr="00E923F7">
              <w:rPr>
                <w:rFonts w:asciiTheme="minorHAnsi" w:hAnsiTheme="minorHAnsi"/>
                <w:sz w:val="18"/>
                <w:szCs w:val="20"/>
                <w:lang w:val="sq-AL"/>
              </w:rPr>
              <w:t>0</w:t>
            </w:r>
          </w:p>
        </w:tc>
      </w:tr>
    </w:tbl>
    <w:p w:rsidR="00121650" w:rsidRDefault="00121650" w:rsidP="006308E8">
      <w:pPr>
        <w:tabs>
          <w:tab w:val="left" w:pos="6619"/>
        </w:tabs>
        <w:spacing w:after="120"/>
        <w:jc w:val="both"/>
        <w:rPr>
          <w:rFonts w:asciiTheme="minorHAnsi" w:hAnsiTheme="minorHAnsi"/>
        </w:rPr>
      </w:pPr>
    </w:p>
    <w:p w:rsidR="006308E8" w:rsidRPr="00BB7F2F" w:rsidRDefault="006308E8" w:rsidP="006308E8">
      <w:pPr>
        <w:tabs>
          <w:tab w:val="left" w:pos="6619"/>
        </w:tabs>
        <w:spacing w:after="120"/>
        <w:jc w:val="both"/>
        <w:rPr>
          <w:rFonts w:asciiTheme="minorHAnsi" w:hAnsiTheme="minorHAnsi"/>
          <w:color w:val="000000"/>
          <w:lang w:val="sq-AL"/>
        </w:rPr>
      </w:pPr>
      <w:r w:rsidRPr="00BB7F2F">
        <w:rPr>
          <w:rFonts w:asciiTheme="minorHAnsi" w:hAnsiTheme="minorHAnsi"/>
          <w:color w:val="000000"/>
          <w:lang w:val="sq-AL"/>
        </w:rPr>
        <w:t>Në programin “Arsimi Bazë” objektivat e të cilit janë:</w:t>
      </w:r>
      <w:r w:rsidRPr="00BB7F2F">
        <w:rPr>
          <w:rFonts w:asciiTheme="minorHAnsi" w:hAnsiTheme="minorHAnsi"/>
          <w:color w:val="000000"/>
          <w:lang w:val="sq-AL"/>
        </w:rPr>
        <w:tab/>
      </w:r>
    </w:p>
    <w:p w:rsidR="006308E8" w:rsidRPr="00BB7F2F" w:rsidRDefault="006308E8" w:rsidP="00503465">
      <w:pPr>
        <w:numPr>
          <w:ilvl w:val="0"/>
          <w:numId w:val="44"/>
        </w:numPr>
        <w:spacing w:after="120" w:line="276" w:lineRule="auto"/>
        <w:contextualSpacing/>
        <w:jc w:val="both"/>
        <w:rPr>
          <w:rFonts w:asciiTheme="minorHAnsi" w:eastAsia="Calibri" w:hAnsiTheme="minorHAnsi"/>
          <w:color w:val="000000"/>
          <w:lang w:val="sq-AL"/>
        </w:rPr>
      </w:pPr>
      <w:r w:rsidRPr="00BB7F2F">
        <w:rPr>
          <w:rFonts w:asciiTheme="minorHAnsi" w:eastAsia="Calibri" w:hAnsiTheme="minorHAnsi"/>
          <w:color w:val="000000"/>
          <w:lang w:val="sq-AL"/>
        </w:rPr>
        <w:t xml:space="preserve">Sigurimi i një arsimi cilësor dhe për të gjithë nxënësit duke përmirësuar kushtet e mësimdhënies e mësimnxënies duke siguruar kushte të barabarta për pjesëmarrje në arsimin bazë, për të gjithë fëmijët e grup moshës në arsimin parashkollor dhe atë të detyruar; </w:t>
      </w:r>
    </w:p>
    <w:p w:rsidR="006308E8" w:rsidRPr="00BB7F2F" w:rsidRDefault="006308E8" w:rsidP="00503465">
      <w:pPr>
        <w:numPr>
          <w:ilvl w:val="0"/>
          <w:numId w:val="44"/>
        </w:numPr>
        <w:contextualSpacing/>
        <w:jc w:val="both"/>
        <w:rPr>
          <w:rFonts w:asciiTheme="minorHAnsi" w:eastAsia="Calibri" w:hAnsiTheme="minorHAnsi"/>
          <w:color w:val="000000"/>
          <w:lang w:val="sq-AL"/>
        </w:rPr>
      </w:pPr>
      <w:r w:rsidRPr="00BB7F2F">
        <w:rPr>
          <w:rFonts w:asciiTheme="minorHAnsi" w:eastAsia="Calibri" w:hAnsiTheme="minorHAnsi"/>
          <w:color w:val="000000"/>
          <w:lang w:val="sq-AL"/>
        </w:rPr>
        <w:t>Sigurimi i kushteve dhe garantimi i kushteve për çdo fëmijë/ nxënës, për të ndjekur arsimin parashkollor, si dhe arsimin 9-vjeçar.</w:t>
      </w:r>
    </w:p>
    <w:p w:rsidR="006308E8" w:rsidRPr="00BB7F2F" w:rsidRDefault="006308E8" w:rsidP="00503465">
      <w:pPr>
        <w:numPr>
          <w:ilvl w:val="0"/>
          <w:numId w:val="44"/>
        </w:numPr>
        <w:contextualSpacing/>
        <w:jc w:val="both"/>
        <w:rPr>
          <w:rFonts w:asciiTheme="minorHAnsi" w:eastAsia="Calibri" w:hAnsiTheme="minorHAnsi"/>
          <w:color w:val="000000"/>
          <w:lang w:val="sq-AL"/>
        </w:rPr>
      </w:pPr>
      <w:r w:rsidRPr="00BB7F2F">
        <w:rPr>
          <w:rFonts w:asciiTheme="minorHAnsi" w:eastAsia="Calibri" w:hAnsiTheme="minorHAnsi"/>
          <w:color w:val="000000"/>
          <w:lang w:val="sq-AL"/>
        </w:rPr>
        <w:t xml:space="preserve">Zhvillimi dhe implementimi i kurrikulës së re në arsimin 9-vjecar. </w:t>
      </w:r>
    </w:p>
    <w:p w:rsidR="006308E8" w:rsidRPr="00BB7F2F" w:rsidRDefault="006308E8" w:rsidP="00503465">
      <w:pPr>
        <w:numPr>
          <w:ilvl w:val="0"/>
          <w:numId w:val="44"/>
        </w:numPr>
        <w:spacing w:after="120" w:line="276" w:lineRule="auto"/>
        <w:contextualSpacing/>
        <w:jc w:val="both"/>
        <w:rPr>
          <w:rFonts w:asciiTheme="minorHAnsi" w:eastAsia="Calibri" w:hAnsiTheme="minorHAnsi"/>
          <w:color w:val="000000"/>
          <w:lang w:val="sq-AL"/>
        </w:rPr>
      </w:pPr>
      <w:r w:rsidRPr="00BB7F2F">
        <w:rPr>
          <w:rFonts w:asciiTheme="minorHAnsi" w:eastAsia="Calibri" w:hAnsiTheme="minorHAnsi"/>
          <w:color w:val="000000"/>
          <w:lang w:val="sq-AL"/>
        </w:rPr>
        <w:t>Rritja e viteve të shkollimit.</w:t>
      </w:r>
    </w:p>
    <w:p w:rsidR="006308E8" w:rsidRPr="00BB7F2F" w:rsidRDefault="006308E8" w:rsidP="00503465">
      <w:pPr>
        <w:numPr>
          <w:ilvl w:val="0"/>
          <w:numId w:val="44"/>
        </w:numPr>
        <w:spacing w:after="120" w:line="276" w:lineRule="auto"/>
        <w:contextualSpacing/>
        <w:jc w:val="both"/>
        <w:rPr>
          <w:rFonts w:asciiTheme="minorHAnsi" w:eastAsia="Calibri" w:hAnsiTheme="minorHAnsi"/>
          <w:color w:val="000000"/>
          <w:lang w:val="sq-AL"/>
        </w:rPr>
      </w:pPr>
      <w:r w:rsidRPr="00BB7F2F">
        <w:rPr>
          <w:rFonts w:asciiTheme="minorHAnsi" w:eastAsia="Calibri" w:hAnsiTheme="minorHAnsi"/>
          <w:color w:val="000000"/>
          <w:lang w:val="sq-AL"/>
        </w:rPr>
        <w:t xml:space="preserve">Rritja e autonomisë së shkollave. </w:t>
      </w:r>
    </w:p>
    <w:p w:rsidR="006308E8" w:rsidRPr="00BB7F2F" w:rsidRDefault="006308E8" w:rsidP="00503465">
      <w:pPr>
        <w:numPr>
          <w:ilvl w:val="0"/>
          <w:numId w:val="44"/>
        </w:numPr>
        <w:spacing w:after="120" w:line="276" w:lineRule="auto"/>
        <w:contextualSpacing/>
        <w:jc w:val="both"/>
        <w:rPr>
          <w:rFonts w:asciiTheme="minorHAnsi" w:eastAsia="Calibri" w:hAnsiTheme="minorHAnsi"/>
          <w:color w:val="000000"/>
          <w:lang w:val="sq-AL"/>
        </w:rPr>
      </w:pPr>
      <w:r w:rsidRPr="00BB7F2F">
        <w:rPr>
          <w:rFonts w:asciiTheme="minorHAnsi" w:eastAsia="Calibri" w:hAnsiTheme="minorHAnsi"/>
          <w:color w:val="000000"/>
          <w:lang w:val="sq-AL"/>
        </w:rPr>
        <w:t>Ulja e nxënësve që braktisin shkollën në Arsimin Bazë.</w:t>
      </w:r>
    </w:p>
    <w:p w:rsidR="006308E8" w:rsidRPr="00BB7F2F" w:rsidRDefault="006308E8" w:rsidP="00503465">
      <w:pPr>
        <w:numPr>
          <w:ilvl w:val="0"/>
          <w:numId w:val="44"/>
        </w:numPr>
        <w:spacing w:after="120" w:line="276" w:lineRule="auto"/>
        <w:contextualSpacing/>
        <w:jc w:val="both"/>
        <w:rPr>
          <w:rFonts w:asciiTheme="minorHAnsi" w:eastAsia="Calibri" w:hAnsiTheme="minorHAnsi"/>
          <w:color w:val="000000"/>
          <w:lang w:val="sq-AL"/>
        </w:rPr>
      </w:pPr>
      <w:r w:rsidRPr="00BB7F2F">
        <w:rPr>
          <w:rFonts w:asciiTheme="minorHAnsi" w:eastAsia="Calibri" w:hAnsiTheme="minorHAnsi"/>
          <w:color w:val="000000"/>
          <w:lang w:val="sq-AL"/>
        </w:rPr>
        <w:t>Tërheqia e fëmijëve romë/egjiptian në Arsimin Bazë.</w:t>
      </w:r>
    </w:p>
    <w:p w:rsidR="006308E8" w:rsidRPr="00BB7F2F" w:rsidRDefault="006308E8" w:rsidP="00503465">
      <w:pPr>
        <w:numPr>
          <w:ilvl w:val="0"/>
          <w:numId w:val="44"/>
        </w:numPr>
        <w:spacing w:after="120" w:line="276" w:lineRule="auto"/>
        <w:contextualSpacing/>
        <w:jc w:val="both"/>
        <w:rPr>
          <w:rFonts w:asciiTheme="minorHAnsi" w:eastAsia="Calibri" w:hAnsiTheme="minorHAnsi"/>
          <w:color w:val="000000"/>
          <w:lang w:val="sq-AL"/>
        </w:rPr>
      </w:pPr>
      <w:r w:rsidRPr="00BB7F2F">
        <w:rPr>
          <w:rFonts w:asciiTheme="minorHAnsi" w:eastAsia="Calibri" w:hAnsiTheme="minorHAnsi"/>
          <w:color w:val="000000"/>
          <w:lang w:val="sq-AL"/>
        </w:rPr>
        <w:lastRenderedPageBreak/>
        <w:t xml:space="preserve">Rehabilitimi/ndërtimi i kopshteve /shkollave sipas standardeve. </w:t>
      </w:r>
    </w:p>
    <w:p w:rsidR="006308E8" w:rsidRPr="00BB7F2F" w:rsidRDefault="006308E8" w:rsidP="00503465">
      <w:pPr>
        <w:numPr>
          <w:ilvl w:val="0"/>
          <w:numId w:val="44"/>
        </w:numPr>
        <w:spacing w:after="120" w:line="276" w:lineRule="auto"/>
        <w:contextualSpacing/>
        <w:jc w:val="both"/>
        <w:rPr>
          <w:rFonts w:asciiTheme="minorHAnsi" w:eastAsia="Calibri" w:hAnsiTheme="minorHAnsi"/>
          <w:color w:val="000000"/>
          <w:lang w:val="sq-AL"/>
        </w:rPr>
      </w:pPr>
      <w:r w:rsidRPr="00BB7F2F">
        <w:rPr>
          <w:rFonts w:asciiTheme="minorHAnsi" w:eastAsia="Calibri" w:hAnsiTheme="minorHAnsi"/>
          <w:color w:val="000000"/>
          <w:lang w:val="sq-AL"/>
        </w:rPr>
        <w:t>Rritja e cilësisë së mësimdhënies, trajnimi i mësuesve, pajisja e shkollave me laborator shkencorë e IT, krijimi i bibliotekave dixhitale për kurrikulën e Arsimin Bazë.</w:t>
      </w:r>
    </w:p>
    <w:p w:rsidR="006308E8" w:rsidRPr="00BB7F2F" w:rsidRDefault="006308E8" w:rsidP="00503465">
      <w:pPr>
        <w:numPr>
          <w:ilvl w:val="0"/>
          <w:numId w:val="44"/>
        </w:numPr>
        <w:spacing w:after="120" w:line="276" w:lineRule="auto"/>
        <w:contextualSpacing/>
        <w:jc w:val="both"/>
        <w:rPr>
          <w:rFonts w:asciiTheme="minorHAnsi" w:eastAsia="Calibri" w:hAnsiTheme="minorHAnsi"/>
          <w:color w:val="000000"/>
          <w:lang w:val="sq-AL"/>
        </w:rPr>
      </w:pPr>
      <w:r w:rsidRPr="00BB7F2F">
        <w:rPr>
          <w:rFonts w:asciiTheme="minorHAnsi" w:eastAsia="Calibri" w:hAnsiTheme="minorHAnsi"/>
          <w:color w:val="000000"/>
          <w:lang w:val="sq-AL"/>
        </w:rPr>
        <w:t>Shtrirja e shërbimit të punonjësit social dhe psikologut sipas standardeve të krahasuara me ato të vendeve të zhvilluara.</w:t>
      </w:r>
    </w:p>
    <w:p w:rsidR="00121650" w:rsidRDefault="00121650" w:rsidP="006308E8">
      <w:pPr>
        <w:jc w:val="both"/>
        <w:rPr>
          <w:rFonts w:asciiTheme="minorHAnsi" w:hAnsiTheme="minorHAnsi"/>
          <w:lang w:val="sq-AL"/>
        </w:rPr>
      </w:pPr>
    </w:p>
    <w:p w:rsidR="006308E8" w:rsidRPr="00BB7F2F" w:rsidRDefault="006308E8" w:rsidP="00121650">
      <w:pPr>
        <w:spacing w:line="276" w:lineRule="auto"/>
        <w:jc w:val="both"/>
        <w:rPr>
          <w:rFonts w:asciiTheme="minorHAnsi" w:hAnsiTheme="minorHAnsi"/>
          <w:lang w:val="sq-AL"/>
        </w:rPr>
      </w:pPr>
      <w:r w:rsidRPr="00BB7F2F">
        <w:rPr>
          <w:rFonts w:asciiTheme="minorHAnsi" w:hAnsiTheme="minorHAnsi"/>
          <w:lang w:val="sq-AL"/>
        </w:rPr>
        <w:t>Këto objektiva janë realizuar nëpërmjet produkteve, performanca e të cilave për 4/Mujorin e parë 2020, është realizuar, si më poshtë:</w:t>
      </w:r>
    </w:p>
    <w:p w:rsidR="006308E8" w:rsidRPr="00BB7F2F" w:rsidRDefault="006308E8" w:rsidP="00503465">
      <w:pPr>
        <w:numPr>
          <w:ilvl w:val="0"/>
          <w:numId w:val="45"/>
        </w:numPr>
        <w:autoSpaceDE w:val="0"/>
        <w:autoSpaceDN w:val="0"/>
        <w:adjustRightInd w:val="0"/>
        <w:spacing w:line="276" w:lineRule="auto"/>
        <w:contextualSpacing/>
        <w:jc w:val="both"/>
        <w:rPr>
          <w:rFonts w:asciiTheme="minorHAnsi" w:hAnsiTheme="minorHAnsi"/>
          <w:lang w:val="sq-AL"/>
        </w:rPr>
      </w:pPr>
      <w:r w:rsidRPr="00BB7F2F">
        <w:rPr>
          <w:rFonts w:asciiTheme="minorHAnsi" w:hAnsiTheme="minorHAnsi"/>
          <w:lang w:val="sq-AL"/>
        </w:rPr>
        <w:t>Trajtimin me një kompensim shtese mbi pagë të punonjësve mësimorë në arsimin parauniversitar, ku përveç pagës, punonjësit mësimorë, që punojnë larg vendbanimit, përfitojnë një kompensim në masën, 2.700 lekë në muaj deri në 5 km larg vendbanimin dhe 6.000 lekë në muaj mbi 5 km larg vendbanimin, duke përfituar rreth 9.000 punonjës mësimorë;</w:t>
      </w:r>
    </w:p>
    <w:p w:rsidR="006308E8" w:rsidRPr="00BB7F2F" w:rsidRDefault="006308E8" w:rsidP="00503465">
      <w:pPr>
        <w:numPr>
          <w:ilvl w:val="0"/>
          <w:numId w:val="45"/>
        </w:numPr>
        <w:autoSpaceDE w:val="0"/>
        <w:autoSpaceDN w:val="0"/>
        <w:adjustRightInd w:val="0"/>
        <w:spacing w:line="276" w:lineRule="auto"/>
        <w:contextualSpacing/>
        <w:jc w:val="both"/>
        <w:rPr>
          <w:rFonts w:asciiTheme="minorHAnsi" w:hAnsiTheme="minorHAnsi"/>
          <w:lang w:val="sq-AL"/>
        </w:rPr>
      </w:pPr>
      <w:r w:rsidRPr="00BB7F2F">
        <w:rPr>
          <w:rFonts w:asciiTheme="minorHAnsi" w:hAnsiTheme="minorHAnsi"/>
          <w:lang w:val="sq-AL"/>
        </w:rPr>
        <w:t>Ofrimi i shërbimit të transportit me fonde të buxhetit, për të mbuluar shpenzimet për transportin për rreth 38.660 mijë nxënësve/mesues që kanë vendbanimi mbi 2 km nga shkolla, për transportin për fëmijët që ndjekin arsimin parashkollor dhe edukatorëve të tyre, si dhe transportin e mësuesve që punojnë mbi 5 km nga vendbanimi/qendra e përhershme e punës në shkollë.</w:t>
      </w:r>
    </w:p>
    <w:p w:rsidR="006308E8" w:rsidRPr="00BB7F2F" w:rsidRDefault="006308E8" w:rsidP="00503465">
      <w:pPr>
        <w:numPr>
          <w:ilvl w:val="0"/>
          <w:numId w:val="45"/>
        </w:numPr>
        <w:autoSpaceDE w:val="0"/>
        <w:autoSpaceDN w:val="0"/>
        <w:adjustRightInd w:val="0"/>
        <w:spacing w:line="276" w:lineRule="auto"/>
        <w:contextualSpacing/>
        <w:jc w:val="both"/>
        <w:rPr>
          <w:rFonts w:asciiTheme="minorHAnsi" w:hAnsiTheme="minorHAnsi"/>
          <w:lang w:val="sq-AL"/>
        </w:rPr>
      </w:pPr>
      <w:r w:rsidRPr="00BB7F2F">
        <w:rPr>
          <w:rFonts w:asciiTheme="minorHAnsi" w:hAnsiTheme="minorHAnsi"/>
          <w:lang w:val="sq-AL"/>
        </w:rPr>
        <w:t xml:space="preserve">Ofrimi i teksteve shkollore falas në përdorim për të gjithë nxënësit nga klasa e parë në klasën e gjashtë, si dhe nxënës të 16 kategorve sociale nga klasa e shtatë në klasën e nëntë dukë siguruar rreth 205 mijë nxënës të arsimit bazë për blerjen e teksteve shkollore,  realizuar me rreth  500 milion lekë. </w:t>
      </w:r>
    </w:p>
    <w:p w:rsidR="006308E8" w:rsidRPr="00BB7F2F" w:rsidRDefault="006308E8" w:rsidP="00503465">
      <w:pPr>
        <w:numPr>
          <w:ilvl w:val="0"/>
          <w:numId w:val="45"/>
        </w:numPr>
        <w:autoSpaceDE w:val="0"/>
        <w:autoSpaceDN w:val="0"/>
        <w:adjustRightInd w:val="0"/>
        <w:spacing w:line="276" w:lineRule="auto"/>
        <w:contextualSpacing/>
        <w:jc w:val="both"/>
        <w:rPr>
          <w:rFonts w:asciiTheme="minorHAnsi" w:hAnsiTheme="minorHAnsi"/>
          <w:lang w:val="sq-AL"/>
        </w:rPr>
      </w:pPr>
      <w:r w:rsidRPr="00BB7F2F">
        <w:rPr>
          <w:rFonts w:asciiTheme="minorHAnsi" w:hAnsiTheme="minorHAnsi"/>
          <w:lang w:val="sq-AL"/>
        </w:rPr>
        <w:t xml:space="preserve">Ofrimi i kuotës ushqimore, bursa me fonde të buxhetit të shtetit, për të mbuluar shpenzimet për kuotë ushqimore të nxënësve me nevoja të veçanta, për rreth 1.400  nxënës të arsimit para-universitar nga shtresat sociale në nevojë. </w:t>
      </w:r>
    </w:p>
    <w:p w:rsidR="006308E8" w:rsidRPr="00BB7F2F" w:rsidRDefault="006308E8" w:rsidP="00503465">
      <w:pPr>
        <w:numPr>
          <w:ilvl w:val="0"/>
          <w:numId w:val="45"/>
        </w:numPr>
        <w:autoSpaceDE w:val="0"/>
        <w:autoSpaceDN w:val="0"/>
        <w:adjustRightInd w:val="0"/>
        <w:spacing w:line="276" w:lineRule="auto"/>
        <w:contextualSpacing/>
        <w:jc w:val="both"/>
        <w:rPr>
          <w:rFonts w:asciiTheme="minorHAnsi" w:hAnsiTheme="minorHAnsi"/>
          <w:lang w:val="sq-AL"/>
        </w:rPr>
      </w:pPr>
      <w:r w:rsidRPr="00BB7F2F">
        <w:rPr>
          <w:rFonts w:asciiTheme="minorHAnsi" w:hAnsiTheme="minorHAnsi"/>
          <w:lang w:val="sq-AL"/>
        </w:rPr>
        <w:t>Mbi arsimin gjithpërfshirës, do të sigurohet arsim cilësor dhe gjithëpërfshirës më synim që 100% e femijëve të grupmoshës 6-16 vjeç të ndjekin arsimin bazë. Rritja e treguesit të regjistrimit me 10-15% fëmijë për nxënësit romë dhe egjiptianë, 10% për nxënësit me aftësi të kufizuar, ndaj vitit paraardhës. Rritja e numrit të mësuesve ndihmës për nxënësit me aftësi të kufizuar në  rreth 940 mësues.</w:t>
      </w:r>
    </w:p>
    <w:p w:rsidR="006308E8" w:rsidRPr="00BB7F2F" w:rsidRDefault="006308E8" w:rsidP="006308E8">
      <w:pPr>
        <w:autoSpaceDE w:val="0"/>
        <w:autoSpaceDN w:val="0"/>
        <w:adjustRightInd w:val="0"/>
        <w:jc w:val="both"/>
        <w:rPr>
          <w:rFonts w:asciiTheme="minorHAnsi" w:hAnsiTheme="minorHAnsi"/>
          <w:lang w:val="sq-AL"/>
        </w:rPr>
      </w:pPr>
    </w:p>
    <w:p w:rsidR="006308E8" w:rsidRPr="00BB7F2F" w:rsidRDefault="006308E8" w:rsidP="006308E8">
      <w:pPr>
        <w:spacing w:after="120"/>
        <w:jc w:val="both"/>
        <w:rPr>
          <w:rFonts w:asciiTheme="minorHAnsi" w:hAnsiTheme="minorHAnsi"/>
          <w:lang w:val="sq-AL"/>
        </w:rPr>
      </w:pPr>
      <w:r w:rsidRPr="00BB7F2F">
        <w:rPr>
          <w:rFonts w:asciiTheme="minorHAnsi" w:hAnsiTheme="minorHAnsi"/>
          <w:lang w:val="sq-AL"/>
        </w:rPr>
        <w:t xml:space="preserve">Në programin </w:t>
      </w:r>
      <w:r w:rsidRPr="00BB7F2F">
        <w:rPr>
          <w:rFonts w:asciiTheme="minorHAnsi" w:hAnsiTheme="minorHAnsi"/>
          <w:b/>
          <w:lang w:val="sq-AL"/>
        </w:rPr>
        <w:t>“Arsimi Mesëm i Përgjithshëm”</w:t>
      </w:r>
      <w:r w:rsidRPr="00BB7F2F">
        <w:rPr>
          <w:rFonts w:asciiTheme="minorHAnsi" w:hAnsiTheme="minorHAnsi"/>
          <w:color w:val="000000"/>
          <w:lang w:val="sq-AL"/>
        </w:rPr>
        <w:t xml:space="preserve"> </w:t>
      </w:r>
      <w:r w:rsidRPr="00BB7F2F">
        <w:rPr>
          <w:rFonts w:asciiTheme="minorHAnsi" w:hAnsiTheme="minorHAnsi"/>
          <w:lang w:val="sq-AL"/>
        </w:rPr>
        <w:t xml:space="preserve">objektivat e </w:t>
      </w:r>
      <w:r w:rsidRPr="00BB7F2F">
        <w:rPr>
          <w:rFonts w:asciiTheme="minorHAnsi" w:hAnsiTheme="minorHAnsi"/>
          <w:color w:val="000000"/>
          <w:lang w:val="sq-AL"/>
        </w:rPr>
        <w:t>e të cilit janë</w:t>
      </w:r>
      <w:r w:rsidRPr="00BB7F2F">
        <w:rPr>
          <w:rFonts w:asciiTheme="minorHAnsi" w:hAnsiTheme="minorHAnsi"/>
          <w:lang w:val="sq-AL"/>
        </w:rPr>
        <w:t>:</w:t>
      </w:r>
    </w:p>
    <w:p w:rsidR="006308E8" w:rsidRPr="00BB7F2F" w:rsidRDefault="006308E8" w:rsidP="00503465">
      <w:pPr>
        <w:numPr>
          <w:ilvl w:val="0"/>
          <w:numId w:val="46"/>
        </w:numPr>
        <w:autoSpaceDE w:val="0"/>
        <w:autoSpaceDN w:val="0"/>
        <w:adjustRightInd w:val="0"/>
        <w:contextualSpacing/>
        <w:rPr>
          <w:rFonts w:asciiTheme="minorHAnsi" w:eastAsia="Calibri" w:hAnsiTheme="minorHAnsi"/>
          <w:lang w:val="sq-AL"/>
        </w:rPr>
      </w:pPr>
      <w:r w:rsidRPr="00BB7F2F">
        <w:rPr>
          <w:rFonts w:asciiTheme="minorHAnsi" w:eastAsia="Calibri" w:hAnsiTheme="minorHAnsi"/>
          <w:lang w:val="sq-AL"/>
        </w:rPr>
        <w:t xml:space="preserve">Nxënës që rregjistrohen dhe ndjekin arsimin e mesëm të lartë pasi përfundojnë  arsimin bazë. </w:t>
      </w:r>
    </w:p>
    <w:p w:rsidR="006308E8" w:rsidRPr="00BB7F2F" w:rsidRDefault="006308E8" w:rsidP="00503465">
      <w:pPr>
        <w:numPr>
          <w:ilvl w:val="0"/>
          <w:numId w:val="46"/>
        </w:numPr>
        <w:autoSpaceDE w:val="0"/>
        <w:autoSpaceDN w:val="0"/>
        <w:adjustRightInd w:val="0"/>
        <w:contextualSpacing/>
        <w:jc w:val="both"/>
        <w:rPr>
          <w:rFonts w:asciiTheme="minorHAnsi" w:eastAsia="Calibri" w:hAnsiTheme="minorHAnsi"/>
          <w:lang w:val="sq-AL"/>
        </w:rPr>
      </w:pPr>
      <w:r w:rsidRPr="00BB7F2F">
        <w:rPr>
          <w:rFonts w:asciiTheme="minorHAnsi" w:eastAsia="Calibri" w:hAnsiTheme="minorHAnsi"/>
          <w:lang w:val="sq-AL"/>
        </w:rPr>
        <w:t xml:space="preserve">Zbatimi i kurrikules së re dhe trajnimi i mësuesve të klasës së 11 në gjimnaze dhe shkollat social-kulturore, si dhe zbatimi i sistemit të ri të zhvillimit profesional. </w:t>
      </w:r>
    </w:p>
    <w:p w:rsidR="006308E8" w:rsidRPr="00BB7F2F" w:rsidRDefault="006308E8" w:rsidP="00503465">
      <w:pPr>
        <w:numPr>
          <w:ilvl w:val="0"/>
          <w:numId w:val="47"/>
        </w:numPr>
        <w:autoSpaceDE w:val="0"/>
        <w:autoSpaceDN w:val="0"/>
        <w:adjustRightInd w:val="0"/>
        <w:contextualSpacing/>
        <w:jc w:val="both"/>
        <w:rPr>
          <w:rFonts w:asciiTheme="minorHAnsi" w:eastAsia="Calibri" w:hAnsiTheme="minorHAnsi"/>
          <w:lang w:val="sq-AL"/>
        </w:rPr>
      </w:pPr>
      <w:r w:rsidRPr="00BB7F2F">
        <w:rPr>
          <w:rFonts w:asciiTheme="minorHAnsi" w:eastAsia="Calibri" w:hAnsiTheme="minorHAnsi"/>
          <w:lang w:val="sq-AL"/>
        </w:rPr>
        <w:t>Realizimi i Maturës Shtetërore 2020, realizimi i testimit "Mësues per Shqipërinë", në formë elektronikë.</w:t>
      </w:r>
    </w:p>
    <w:p w:rsidR="006308E8" w:rsidRPr="00BB7F2F" w:rsidRDefault="006308E8" w:rsidP="00503465">
      <w:pPr>
        <w:numPr>
          <w:ilvl w:val="0"/>
          <w:numId w:val="47"/>
        </w:numPr>
        <w:spacing w:after="120" w:line="276" w:lineRule="auto"/>
        <w:contextualSpacing/>
        <w:jc w:val="both"/>
        <w:rPr>
          <w:rFonts w:asciiTheme="minorHAnsi" w:eastAsia="Calibri" w:hAnsiTheme="minorHAnsi"/>
          <w:lang w:val="sq-AL"/>
        </w:rPr>
      </w:pPr>
      <w:r w:rsidRPr="00BB7F2F">
        <w:rPr>
          <w:rFonts w:asciiTheme="minorHAnsi" w:eastAsia="Calibri" w:hAnsiTheme="minorHAnsi"/>
          <w:lang w:val="sq-AL"/>
        </w:rPr>
        <w:t>Përmirësimi i infrastrukturës ekzistuese në arsimin e mesëm, rehabilitimi i klasave në gjimnaze në zonat urbane, shtimi i klasave të reja në zonat urbane, pajisja me mjete didaktike për Fizikë-Kimi-Biologji të shkollave të mesme, pajisja e shkollave me klasa mësimore inteligjente/ digjitale, si dhe pasurimi i bibliotekave në të gjitha shkollat.</w:t>
      </w:r>
    </w:p>
    <w:p w:rsidR="00121650" w:rsidRDefault="00121650" w:rsidP="006308E8">
      <w:pPr>
        <w:jc w:val="both"/>
        <w:rPr>
          <w:rFonts w:asciiTheme="minorHAnsi" w:hAnsiTheme="minorHAnsi"/>
          <w:lang w:val="sq-AL"/>
        </w:rPr>
      </w:pPr>
    </w:p>
    <w:p w:rsidR="006308E8" w:rsidRPr="00BB7F2F" w:rsidRDefault="006308E8" w:rsidP="00121650">
      <w:pPr>
        <w:spacing w:line="276" w:lineRule="auto"/>
        <w:jc w:val="both"/>
        <w:rPr>
          <w:rFonts w:asciiTheme="minorHAnsi" w:hAnsiTheme="minorHAnsi"/>
          <w:lang w:val="sq-AL"/>
        </w:rPr>
      </w:pPr>
      <w:r w:rsidRPr="00BB7F2F">
        <w:rPr>
          <w:rFonts w:asciiTheme="minorHAnsi" w:hAnsiTheme="minorHAnsi"/>
          <w:lang w:val="sq-AL"/>
        </w:rPr>
        <w:lastRenderedPageBreak/>
        <w:t>Këto objektiva janë realizuar nëpërmjet produkteve, performanca e të cilave për 4/Mujorin e parë 2020, është realizuar, si më poshtë:</w:t>
      </w:r>
    </w:p>
    <w:p w:rsidR="006308E8" w:rsidRPr="00BB7F2F" w:rsidRDefault="006308E8" w:rsidP="00503465">
      <w:pPr>
        <w:numPr>
          <w:ilvl w:val="0"/>
          <w:numId w:val="48"/>
        </w:numPr>
        <w:autoSpaceDE w:val="0"/>
        <w:autoSpaceDN w:val="0"/>
        <w:adjustRightInd w:val="0"/>
        <w:spacing w:line="276" w:lineRule="auto"/>
        <w:contextualSpacing/>
        <w:jc w:val="both"/>
        <w:rPr>
          <w:rFonts w:asciiTheme="minorHAnsi" w:eastAsia="Calibri" w:hAnsiTheme="minorHAnsi"/>
          <w:lang w:val="sq-AL"/>
        </w:rPr>
      </w:pPr>
      <w:r w:rsidRPr="00BB7F2F">
        <w:rPr>
          <w:rFonts w:asciiTheme="minorHAnsi" w:eastAsia="Calibri" w:hAnsiTheme="minorHAnsi"/>
          <w:lang w:val="sq-AL"/>
        </w:rPr>
        <w:t>Në vitin shkollor 2019-2020, afro 96,1 % e nxënësve që përfunduan arsimin e detyrueshëm u regjistruan në arsimin e mesëm. Në këtë vit shkollor marrin shërbim arsimor në arsimin e mesëm 90,000 nxënës,.</w:t>
      </w:r>
    </w:p>
    <w:p w:rsidR="006308E8" w:rsidRPr="00BB7F2F" w:rsidRDefault="006308E8" w:rsidP="00503465">
      <w:pPr>
        <w:numPr>
          <w:ilvl w:val="0"/>
          <w:numId w:val="48"/>
        </w:numPr>
        <w:autoSpaceDE w:val="0"/>
        <w:autoSpaceDN w:val="0"/>
        <w:adjustRightInd w:val="0"/>
        <w:spacing w:line="276" w:lineRule="auto"/>
        <w:contextualSpacing/>
        <w:jc w:val="both"/>
        <w:rPr>
          <w:rFonts w:asciiTheme="minorHAnsi" w:eastAsia="Calibri" w:hAnsiTheme="minorHAnsi"/>
          <w:lang w:val="sq-AL"/>
        </w:rPr>
      </w:pPr>
      <w:r w:rsidRPr="00BB7F2F">
        <w:rPr>
          <w:rFonts w:asciiTheme="minorHAnsi" w:eastAsia="Calibri" w:hAnsiTheme="minorHAnsi"/>
          <w:lang w:val="sq-AL"/>
        </w:rPr>
        <w:t>Në procesin e kualifikimit për vitin 2020, morën pjesë mësues të të gjitha cikleve dhe drejtues të shkollave të arsimit bazë dhe të mesëm.</w:t>
      </w:r>
    </w:p>
    <w:p w:rsidR="006308E8" w:rsidRPr="00BB7F2F" w:rsidRDefault="006308E8" w:rsidP="00503465">
      <w:pPr>
        <w:numPr>
          <w:ilvl w:val="0"/>
          <w:numId w:val="48"/>
        </w:numPr>
        <w:autoSpaceDE w:val="0"/>
        <w:autoSpaceDN w:val="0"/>
        <w:adjustRightInd w:val="0"/>
        <w:spacing w:line="276" w:lineRule="auto"/>
        <w:contextualSpacing/>
        <w:jc w:val="both"/>
        <w:rPr>
          <w:rFonts w:asciiTheme="minorHAnsi" w:eastAsia="Calibri" w:hAnsiTheme="minorHAnsi"/>
          <w:lang w:val="sq-AL"/>
        </w:rPr>
      </w:pPr>
      <w:r w:rsidRPr="00BB7F2F">
        <w:rPr>
          <w:rFonts w:asciiTheme="minorHAnsi" w:eastAsia="Calibri" w:hAnsiTheme="minorHAnsi"/>
          <w:lang w:val="sq-AL"/>
        </w:rPr>
        <w:t>Plotësimi i paketës kurrikulare sipas qasjes me bazë kompetencat në arsimin e mesëm të lartë ka të bëjë me hartimin e udhëzuesve kurrikularë lëndorë. Këta udhëzues janë hartuar sipas profileve lëndore në ndihmë të mësuesve të arsimit të mesëm të lartë me shembuj konkretë dhe praktikë për zbatimin e kurikulës në klasat 10-12.</w:t>
      </w:r>
    </w:p>
    <w:p w:rsidR="006308E8" w:rsidRPr="00BB7F2F" w:rsidRDefault="006308E8" w:rsidP="00503465">
      <w:pPr>
        <w:numPr>
          <w:ilvl w:val="0"/>
          <w:numId w:val="48"/>
        </w:numPr>
        <w:autoSpaceDE w:val="0"/>
        <w:autoSpaceDN w:val="0"/>
        <w:adjustRightInd w:val="0"/>
        <w:spacing w:line="276" w:lineRule="auto"/>
        <w:contextualSpacing/>
        <w:rPr>
          <w:rFonts w:asciiTheme="minorHAnsi" w:eastAsia="Calibri" w:hAnsiTheme="minorHAnsi"/>
          <w:lang w:val="sq-AL"/>
        </w:rPr>
      </w:pPr>
      <w:r w:rsidRPr="00BB7F2F">
        <w:rPr>
          <w:rFonts w:asciiTheme="minorHAnsi" w:eastAsia="Calibri" w:hAnsiTheme="minorHAnsi"/>
          <w:lang w:val="sq-AL"/>
        </w:rPr>
        <w:t>U hartuan dhe u miratuan formularët A1 dhe A1/Z dhe u shpallën në fqen e MASR-së</w:t>
      </w:r>
    </w:p>
    <w:p w:rsidR="006308E8" w:rsidRPr="00BB7F2F" w:rsidRDefault="006308E8" w:rsidP="00503465">
      <w:pPr>
        <w:numPr>
          <w:ilvl w:val="0"/>
          <w:numId w:val="48"/>
        </w:numPr>
        <w:autoSpaceDE w:val="0"/>
        <w:autoSpaceDN w:val="0"/>
        <w:adjustRightInd w:val="0"/>
        <w:spacing w:line="276" w:lineRule="auto"/>
        <w:contextualSpacing/>
        <w:rPr>
          <w:rFonts w:asciiTheme="minorHAnsi" w:eastAsia="Calibri" w:hAnsiTheme="minorHAnsi"/>
          <w:lang w:val="sq-AL"/>
        </w:rPr>
      </w:pPr>
      <w:r w:rsidRPr="00BB7F2F">
        <w:rPr>
          <w:rFonts w:asciiTheme="minorHAnsi" w:eastAsia="Calibri" w:hAnsiTheme="minorHAnsi"/>
          <w:lang w:val="sq-AL"/>
        </w:rPr>
        <w:t>U riaktivizua portali U-Albania</w:t>
      </w:r>
    </w:p>
    <w:p w:rsidR="006308E8" w:rsidRPr="00BB7F2F" w:rsidRDefault="006308E8" w:rsidP="00503465">
      <w:pPr>
        <w:numPr>
          <w:ilvl w:val="0"/>
          <w:numId w:val="48"/>
        </w:numPr>
        <w:autoSpaceDE w:val="0"/>
        <w:autoSpaceDN w:val="0"/>
        <w:adjustRightInd w:val="0"/>
        <w:spacing w:line="276" w:lineRule="auto"/>
        <w:contextualSpacing/>
        <w:rPr>
          <w:rFonts w:asciiTheme="minorHAnsi" w:eastAsia="Calibri" w:hAnsiTheme="minorHAnsi"/>
          <w:lang w:val="sq-AL"/>
        </w:rPr>
      </w:pPr>
      <w:r w:rsidRPr="00BB7F2F">
        <w:rPr>
          <w:rFonts w:asciiTheme="minorHAnsi" w:eastAsia="Calibri" w:hAnsiTheme="minorHAnsi"/>
          <w:lang w:val="sq-AL"/>
        </w:rPr>
        <w:t>U përcaktuan dhe u miratuan qendrat se ku do të zhvilloheshin provimet për Maturën Shtetërore 2020.</w:t>
      </w:r>
    </w:p>
    <w:p w:rsidR="006308E8" w:rsidRPr="00BB7F2F" w:rsidRDefault="006308E8" w:rsidP="006308E8">
      <w:pPr>
        <w:spacing w:line="276" w:lineRule="auto"/>
        <w:jc w:val="both"/>
        <w:rPr>
          <w:rFonts w:asciiTheme="minorHAnsi" w:eastAsia="MS Mincho" w:hAnsiTheme="minorHAnsi"/>
          <w:lang w:val="sq-AL"/>
        </w:rPr>
      </w:pPr>
    </w:p>
    <w:p w:rsidR="006308E8" w:rsidRPr="00BB7F2F" w:rsidRDefault="006308E8" w:rsidP="006308E8">
      <w:pPr>
        <w:spacing w:before="120" w:after="120" w:line="276" w:lineRule="auto"/>
        <w:jc w:val="both"/>
        <w:rPr>
          <w:rFonts w:asciiTheme="minorHAnsi" w:hAnsiTheme="minorHAnsi"/>
          <w:b/>
          <w:noProof/>
          <w:color w:val="0070C0"/>
          <w:lang w:val="sq-AL"/>
        </w:rPr>
      </w:pPr>
      <w:bookmarkStart w:id="161" w:name="_Toc11134227"/>
      <w:bookmarkEnd w:id="158"/>
      <w:bookmarkEnd w:id="159"/>
      <w:r w:rsidRPr="00BB7F2F">
        <w:rPr>
          <w:rFonts w:asciiTheme="minorHAnsi" w:hAnsiTheme="minorHAnsi"/>
          <w:b/>
          <w:noProof/>
          <w:color w:val="0070C0"/>
          <w:lang w:val="sq-AL"/>
        </w:rPr>
        <w:t>BUJQËSIA DHE ZHVILLIMI RURAL</w:t>
      </w:r>
      <w:bookmarkEnd w:id="161"/>
    </w:p>
    <w:p w:rsidR="006308E8" w:rsidRPr="00524EBF" w:rsidRDefault="006308E8" w:rsidP="00524EBF">
      <w:pPr>
        <w:rPr>
          <w:rFonts w:eastAsia="MS Mincho"/>
        </w:rPr>
      </w:pPr>
      <w:r w:rsidRPr="00BB7F2F">
        <w:rPr>
          <w:rFonts w:eastAsia="MS Mincho"/>
          <w:lang w:val="sq-AL"/>
        </w:rPr>
        <w:t>Performanca e treguesve buxhetorë për shtatë programet e Ministrisë së Bujqësisë dhe Zhvillimit Rural, paraqitet si më poshtë:</w:t>
      </w:r>
    </w:p>
    <w:p w:rsidR="00524EBF" w:rsidRPr="00524EBF" w:rsidRDefault="00524EBF" w:rsidP="00524EBF">
      <w:pPr>
        <w:pStyle w:val="Caption"/>
        <w:spacing w:after="0"/>
        <w:rPr>
          <w:rFonts w:asciiTheme="minorHAnsi" w:hAnsiTheme="minorHAnsi"/>
          <w:b w:val="0"/>
          <w:bCs w:val="0"/>
          <w:i/>
          <w:noProof/>
          <w:color w:val="auto"/>
          <w:sz w:val="20"/>
          <w:szCs w:val="24"/>
        </w:rPr>
      </w:pPr>
    </w:p>
    <w:p w:rsidR="00524EBF" w:rsidRPr="00524EBF" w:rsidRDefault="00524EBF" w:rsidP="00524EBF">
      <w:pPr>
        <w:pStyle w:val="Caption"/>
        <w:spacing w:after="0"/>
        <w:rPr>
          <w:rFonts w:asciiTheme="minorHAnsi" w:hAnsiTheme="minorHAnsi"/>
          <w:b w:val="0"/>
          <w:bCs w:val="0"/>
          <w:i/>
          <w:noProof/>
          <w:color w:val="auto"/>
          <w:sz w:val="24"/>
          <w:szCs w:val="24"/>
        </w:rPr>
      </w:pPr>
      <w:bookmarkStart w:id="162" w:name="_Toc44404431"/>
      <w:r w:rsidRPr="00524EBF">
        <w:rPr>
          <w:rFonts w:asciiTheme="minorHAnsi" w:hAnsiTheme="minorHAnsi"/>
          <w:b w:val="0"/>
          <w:bCs w:val="0"/>
          <w:i/>
          <w:noProof/>
          <w:color w:val="auto"/>
          <w:sz w:val="24"/>
          <w:szCs w:val="24"/>
        </w:rPr>
        <w:t xml:space="preserve">Tabela </w:t>
      </w:r>
      <w:r w:rsidRPr="00524EBF">
        <w:rPr>
          <w:rFonts w:asciiTheme="minorHAnsi" w:hAnsiTheme="minorHAnsi"/>
          <w:b w:val="0"/>
          <w:bCs w:val="0"/>
          <w:i/>
          <w:noProof/>
          <w:color w:val="auto"/>
          <w:sz w:val="24"/>
          <w:szCs w:val="24"/>
        </w:rPr>
        <w:fldChar w:fldCharType="begin"/>
      </w:r>
      <w:r w:rsidRPr="00524EBF">
        <w:rPr>
          <w:rFonts w:asciiTheme="minorHAnsi" w:hAnsiTheme="minorHAnsi"/>
          <w:b w:val="0"/>
          <w:bCs w:val="0"/>
          <w:i/>
          <w:noProof/>
          <w:color w:val="auto"/>
          <w:sz w:val="24"/>
          <w:szCs w:val="24"/>
        </w:rPr>
        <w:instrText xml:space="preserve"> SEQ Tabela \* ARABIC </w:instrText>
      </w:r>
      <w:r w:rsidRPr="00524EBF">
        <w:rPr>
          <w:rFonts w:asciiTheme="minorHAnsi" w:hAnsiTheme="minorHAnsi"/>
          <w:b w:val="0"/>
          <w:bCs w:val="0"/>
          <w:i/>
          <w:noProof/>
          <w:color w:val="auto"/>
          <w:sz w:val="24"/>
          <w:szCs w:val="24"/>
        </w:rPr>
        <w:fldChar w:fldCharType="separate"/>
      </w:r>
      <w:r w:rsidR="00C342E2">
        <w:rPr>
          <w:rFonts w:asciiTheme="minorHAnsi" w:hAnsiTheme="minorHAnsi"/>
          <w:b w:val="0"/>
          <w:bCs w:val="0"/>
          <w:i/>
          <w:noProof/>
          <w:color w:val="auto"/>
          <w:sz w:val="24"/>
          <w:szCs w:val="24"/>
        </w:rPr>
        <w:t>30</w:t>
      </w:r>
      <w:r w:rsidRPr="00524EBF">
        <w:rPr>
          <w:rFonts w:asciiTheme="minorHAnsi" w:hAnsiTheme="minorHAnsi"/>
          <w:b w:val="0"/>
          <w:bCs w:val="0"/>
          <w:i/>
          <w:noProof/>
          <w:color w:val="auto"/>
          <w:sz w:val="24"/>
          <w:szCs w:val="24"/>
        </w:rPr>
        <w:fldChar w:fldCharType="end"/>
      </w:r>
      <w:r w:rsidRPr="00524EBF">
        <w:rPr>
          <w:rFonts w:asciiTheme="minorHAnsi" w:hAnsiTheme="minorHAnsi"/>
          <w:b w:val="0"/>
          <w:bCs w:val="0"/>
          <w:i/>
          <w:noProof/>
          <w:color w:val="auto"/>
          <w:sz w:val="24"/>
          <w:szCs w:val="24"/>
        </w:rPr>
        <w:t xml:space="preserve"> Bujqësia dhe Zhvillimi Rural</w:t>
      </w:r>
      <w:bookmarkEnd w:id="162"/>
    </w:p>
    <w:p w:rsidR="006308E8" w:rsidRPr="007030D4" w:rsidRDefault="006308E8" w:rsidP="006308E8">
      <w:pPr>
        <w:spacing w:line="276" w:lineRule="auto"/>
        <w:jc w:val="right"/>
        <w:rPr>
          <w:rFonts w:asciiTheme="minorHAnsi" w:hAnsiTheme="minorHAnsi"/>
          <w:bCs/>
          <w:i/>
          <w:sz w:val="22"/>
          <w:lang w:val="sq-AL"/>
        </w:rPr>
      </w:pPr>
      <w:r w:rsidRPr="007030D4">
        <w:rPr>
          <w:rFonts w:asciiTheme="minorHAnsi" w:hAnsiTheme="minorHAnsi"/>
          <w:bCs/>
          <w:i/>
          <w:sz w:val="22"/>
          <w:lang w:val="sq-AL"/>
        </w:rPr>
        <w:t>Në mijë lekë</w:t>
      </w:r>
    </w:p>
    <w:tbl>
      <w:tblPr>
        <w:tblStyle w:val="ListTable3-Accent521"/>
        <w:tblW w:w="0" w:type="auto"/>
        <w:jc w:val="center"/>
        <w:tblBorders>
          <w:insideH w:val="single" w:sz="4" w:space="0" w:color="4BACC6"/>
          <w:insideV w:val="single" w:sz="4" w:space="0" w:color="4BACC6"/>
        </w:tblBorders>
        <w:tblLook w:val="0000" w:firstRow="0" w:lastRow="0" w:firstColumn="0" w:lastColumn="0" w:noHBand="0" w:noVBand="0"/>
      </w:tblPr>
      <w:tblGrid>
        <w:gridCol w:w="436"/>
        <w:gridCol w:w="3846"/>
        <w:gridCol w:w="948"/>
        <w:gridCol w:w="952"/>
        <w:gridCol w:w="880"/>
        <w:gridCol w:w="952"/>
        <w:gridCol w:w="880"/>
        <w:gridCol w:w="952"/>
      </w:tblGrid>
      <w:tr w:rsidR="006308E8" w:rsidRPr="00121650" w:rsidTr="002124D1">
        <w:trPr>
          <w:cnfStyle w:val="000000100000" w:firstRow="0" w:lastRow="0" w:firstColumn="0" w:lastColumn="0" w:oddVBand="0" w:evenVBand="0" w:oddHBand="1" w:evenHBand="0" w:firstRowFirstColumn="0" w:firstRowLastColumn="0" w:lastRowFirstColumn="0" w:lastRowLastColumn="0"/>
          <w:trHeight w:val="202"/>
          <w:jc w:val="center"/>
        </w:trPr>
        <w:tc>
          <w:tcPr>
            <w:cnfStyle w:val="000010000000" w:firstRow="0" w:lastRow="0" w:firstColumn="0" w:lastColumn="0" w:oddVBand="1" w:evenVBand="0" w:oddHBand="0" w:evenHBand="0" w:firstRowFirstColumn="0" w:firstRowLastColumn="0" w:lastRowFirstColumn="0" w:lastRowLastColumn="0"/>
            <w:tcW w:w="0" w:type="auto"/>
            <w:vMerge w:val="restart"/>
            <w:tcBorders>
              <w:top w:val="single" w:sz="4" w:space="0" w:color="4F81BD" w:themeColor="accent1"/>
            </w:tcBorders>
            <w:shd w:val="clear" w:color="auto" w:fill="B6DDE8" w:themeFill="accent5" w:themeFillTint="66"/>
          </w:tcPr>
          <w:p w:rsidR="006308E8" w:rsidRPr="00121650" w:rsidRDefault="006308E8" w:rsidP="00121650">
            <w:pPr>
              <w:spacing w:line="276" w:lineRule="auto"/>
              <w:jc w:val="center"/>
              <w:rPr>
                <w:rFonts w:asciiTheme="minorHAnsi" w:hAnsiTheme="minorHAnsi"/>
                <w:b/>
                <w:bCs/>
                <w:sz w:val="18"/>
                <w:szCs w:val="16"/>
                <w:lang w:val="sq-AL"/>
              </w:rPr>
            </w:pPr>
          </w:p>
          <w:p w:rsidR="006308E8" w:rsidRPr="00121650" w:rsidRDefault="006308E8" w:rsidP="00121650">
            <w:pPr>
              <w:spacing w:line="276" w:lineRule="auto"/>
              <w:jc w:val="center"/>
              <w:rPr>
                <w:rFonts w:asciiTheme="minorHAnsi" w:hAnsiTheme="minorHAnsi"/>
                <w:b/>
                <w:bCs/>
                <w:sz w:val="18"/>
                <w:szCs w:val="16"/>
                <w:lang w:val="sq-AL"/>
              </w:rPr>
            </w:pPr>
            <w:r w:rsidRPr="00121650">
              <w:rPr>
                <w:rFonts w:asciiTheme="minorHAnsi" w:hAnsiTheme="minorHAnsi"/>
                <w:b/>
                <w:bCs/>
                <w:sz w:val="18"/>
                <w:szCs w:val="16"/>
                <w:lang w:val="sq-AL"/>
              </w:rPr>
              <w:t>NR</w:t>
            </w:r>
          </w:p>
        </w:tc>
        <w:tc>
          <w:tcPr>
            <w:tcW w:w="0" w:type="auto"/>
            <w:vMerge w:val="restart"/>
            <w:shd w:val="clear" w:color="auto" w:fill="B6DDE8" w:themeFill="accent5" w:themeFillTint="66"/>
          </w:tcPr>
          <w:p w:rsidR="006308E8" w:rsidRPr="00121650" w:rsidRDefault="006308E8" w:rsidP="00121650">
            <w:pPr>
              <w:spacing w:line="276"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b/>
                <w:bCs/>
                <w:sz w:val="18"/>
                <w:szCs w:val="16"/>
                <w:lang w:val="sq-AL"/>
              </w:rPr>
            </w:pPr>
          </w:p>
          <w:p w:rsidR="006308E8" w:rsidRPr="00121650" w:rsidRDefault="006308E8" w:rsidP="00121650">
            <w:pPr>
              <w:spacing w:line="276"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b/>
                <w:bCs/>
                <w:sz w:val="18"/>
                <w:szCs w:val="16"/>
                <w:lang w:val="sq-AL"/>
              </w:rPr>
            </w:pPr>
            <w:r w:rsidRPr="00121650">
              <w:rPr>
                <w:rFonts w:asciiTheme="minorHAnsi" w:hAnsiTheme="minorHAnsi"/>
                <w:b/>
                <w:bCs/>
                <w:sz w:val="18"/>
                <w:szCs w:val="16"/>
                <w:lang w:val="sq-AL"/>
              </w:rPr>
              <w:t>Emërtimi i Programit</w:t>
            </w:r>
          </w:p>
        </w:tc>
        <w:tc>
          <w:tcPr>
            <w:cnfStyle w:val="000010000000" w:firstRow="0" w:lastRow="0" w:firstColumn="0" w:lastColumn="0" w:oddVBand="1" w:evenVBand="0" w:oddHBand="0" w:evenHBand="0" w:firstRowFirstColumn="0" w:firstRowLastColumn="0" w:lastRowFirstColumn="0" w:lastRowLastColumn="0"/>
            <w:tcW w:w="0" w:type="auto"/>
            <w:gridSpan w:val="2"/>
            <w:shd w:val="clear" w:color="auto" w:fill="B6DDE8" w:themeFill="accent5" w:themeFillTint="66"/>
          </w:tcPr>
          <w:p w:rsidR="006308E8" w:rsidRPr="00121650" w:rsidRDefault="006308E8" w:rsidP="00121650">
            <w:pPr>
              <w:spacing w:line="276" w:lineRule="auto"/>
              <w:jc w:val="center"/>
              <w:rPr>
                <w:rFonts w:asciiTheme="minorHAnsi" w:hAnsiTheme="minorHAnsi"/>
                <w:b/>
                <w:bCs/>
                <w:sz w:val="18"/>
                <w:szCs w:val="16"/>
                <w:lang w:val="sq-AL"/>
              </w:rPr>
            </w:pPr>
            <w:r w:rsidRPr="00121650">
              <w:rPr>
                <w:rFonts w:asciiTheme="minorHAnsi" w:hAnsiTheme="minorHAnsi"/>
                <w:b/>
                <w:bCs/>
                <w:sz w:val="18"/>
                <w:szCs w:val="16"/>
                <w:lang w:val="sq-AL"/>
              </w:rPr>
              <w:t>Plani 2020</w:t>
            </w:r>
          </w:p>
        </w:tc>
        <w:tc>
          <w:tcPr>
            <w:tcW w:w="0" w:type="auto"/>
            <w:gridSpan w:val="2"/>
            <w:shd w:val="clear" w:color="auto" w:fill="B6DDE8" w:themeFill="accent5" w:themeFillTint="66"/>
          </w:tcPr>
          <w:p w:rsidR="006308E8" w:rsidRPr="00121650" w:rsidRDefault="006308E8" w:rsidP="00121650">
            <w:pPr>
              <w:spacing w:line="276" w:lineRule="auto"/>
              <w:jc w:val="center"/>
              <w:cnfStyle w:val="000000100000" w:firstRow="0" w:lastRow="0" w:firstColumn="0" w:lastColumn="0" w:oddVBand="0" w:evenVBand="0" w:oddHBand="1" w:evenHBand="0" w:firstRowFirstColumn="0" w:firstRowLastColumn="0" w:lastRowFirstColumn="0" w:lastRowLastColumn="0"/>
              <w:rPr>
                <w:rFonts w:asciiTheme="minorHAnsi" w:eastAsia="MS Mincho" w:hAnsiTheme="minorHAnsi"/>
                <w:b/>
                <w:sz w:val="18"/>
                <w:szCs w:val="16"/>
                <w:lang w:val="sq-AL"/>
              </w:rPr>
            </w:pPr>
            <w:r w:rsidRPr="00121650">
              <w:rPr>
                <w:rFonts w:asciiTheme="minorHAnsi" w:eastAsia="MS Mincho" w:hAnsiTheme="minorHAnsi"/>
                <w:b/>
                <w:sz w:val="18"/>
                <w:szCs w:val="16"/>
                <w:lang w:val="sq-AL"/>
              </w:rPr>
              <w:t>Fakti 4M 2020</w:t>
            </w:r>
          </w:p>
        </w:tc>
        <w:tc>
          <w:tcPr>
            <w:cnfStyle w:val="000010000000" w:firstRow="0" w:lastRow="0" w:firstColumn="0" w:lastColumn="0" w:oddVBand="1" w:evenVBand="0" w:oddHBand="0" w:evenHBand="0" w:firstRowFirstColumn="0" w:firstRowLastColumn="0" w:lastRowFirstColumn="0" w:lastRowLastColumn="0"/>
            <w:tcW w:w="0" w:type="auto"/>
            <w:gridSpan w:val="2"/>
            <w:shd w:val="clear" w:color="auto" w:fill="B6DDE8" w:themeFill="accent5" w:themeFillTint="66"/>
          </w:tcPr>
          <w:p w:rsidR="006308E8" w:rsidRPr="00121650" w:rsidRDefault="006308E8" w:rsidP="00121650">
            <w:pPr>
              <w:spacing w:line="276" w:lineRule="auto"/>
              <w:jc w:val="center"/>
              <w:rPr>
                <w:rFonts w:asciiTheme="minorHAnsi" w:eastAsia="MS Mincho" w:hAnsiTheme="minorHAnsi"/>
                <w:b/>
                <w:sz w:val="18"/>
                <w:szCs w:val="16"/>
                <w:lang w:val="sq-AL"/>
              </w:rPr>
            </w:pPr>
            <w:r w:rsidRPr="00121650">
              <w:rPr>
                <w:rFonts w:asciiTheme="minorHAnsi" w:eastAsia="MS Mincho" w:hAnsiTheme="minorHAnsi"/>
                <w:b/>
                <w:sz w:val="18"/>
                <w:szCs w:val="16"/>
                <w:lang w:val="sq-AL"/>
              </w:rPr>
              <w:t>% e realizimit</w:t>
            </w:r>
          </w:p>
        </w:tc>
      </w:tr>
      <w:tr w:rsidR="006308E8" w:rsidRPr="00121650" w:rsidTr="002124D1">
        <w:trPr>
          <w:trHeight w:val="188"/>
          <w:jc w:val="center"/>
        </w:trPr>
        <w:tc>
          <w:tcPr>
            <w:cnfStyle w:val="000010000000" w:firstRow="0" w:lastRow="0" w:firstColumn="0" w:lastColumn="0" w:oddVBand="1" w:evenVBand="0" w:oddHBand="0" w:evenHBand="0" w:firstRowFirstColumn="0" w:firstRowLastColumn="0" w:lastRowFirstColumn="0" w:lastRowLastColumn="0"/>
            <w:tcW w:w="0" w:type="auto"/>
            <w:vMerge/>
            <w:shd w:val="clear" w:color="auto" w:fill="B6DDE8" w:themeFill="accent5" w:themeFillTint="66"/>
          </w:tcPr>
          <w:p w:rsidR="006308E8" w:rsidRPr="00121650" w:rsidRDefault="006308E8" w:rsidP="00121650">
            <w:pPr>
              <w:spacing w:line="276" w:lineRule="auto"/>
              <w:jc w:val="both"/>
              <w:rPr>
                <w:rFonts w:asciiTheme="minorHAnsi" w:hAnsiTheme="minorHAnsi"/>
                <w:color w:val="FF0000"/>
                <w:sz w:val="18"/>
                <w:szCs w:val="16"/>
                <w:lang w:val="sq-AL"/>
              </w:rPr>
            </w:pPr>
          </w:p>
        </w:tc>
        <w:tc>
          <w:tcPr>
            <w:tcW w:w="0" w:type="auto"/>
            <w:vMerge/>
            <w:shd w:val="clear" w:color="auto" w:fill="B6DDE8" w:themeFill="accent5" w:themeFillTint="66"/>
          </w:tcPr>
          <w:p w:rsidR="006308E8" w:rsidRPr="00121650" w:rsidRDefault="006308E8" w:rsidP="00121650">
            <w:pPr>
              <w:spacing w:line="276" w:lineRule="auto"/>
              <w:jc w:val="both"/>
              <w:cnfStyle w:val="000000000000" w:firstRow="0" w:lastRow="0" w:firstColumn="0" w:lastColumn="0" w:oddVBand="0" w:evenVBand="0" w:oddHBand="0" w:evenHBand="0" w:firstRowFirstColumn="0" w:firstRowLastColumn="0" w:lastRowFirstColumn="0" w:lastRowLastColumn="0"/>
              <w:rPr>
                <w:rFonts w:asciiTheme="minorHAnsi" w:hAnsiTheme="minorHAnsi"/>
                <w:color w:val="FF0000"/>
                <w:sz w:val="18"/>
                <w:szCs w:val="16"/>
                <w:lang w:val="sq-AL"/>
              </w:rPr>
            </w:pPr>
          </w:p>
        </w:tc>
        <w:tc>
          <w:tcPr>
            <w:cnfStyle w:val="000010000000" w:firstRow="0" w:lastRow="0" w:firstColumn="0" w:lastColumn="0" w:oddVBand="1" w:evenVBand="0" w:oddHBand="0" w:evenHBand="0" w:firstRowFirstColumn="0" w:firstRowLastColumn="0" w:lastRowFirstColumn="0" w:lastRowLastColumn="0"/>
            <w:tcW w:w="0" w:type="auto"/>
            <w:tcBorders>
              <w:bottom w:val="single" w:sz="4" w:space="0" w:color="4F81BD" w:themeColor="accent1"/>
            </w:tcBorders>
            <w:shd w:val="clear" w:color="auto" w:fill="B6DDE8" w:themeFill="accent5" w:themeFillTint="66"/>
          </w:tcPr>
          <w:p w:rsidR="006308E8" w:rsidRPr="00121650" w:rsidRDefault="006308E8" w:rsidP="00121650">
            <w:pPr>
              <w:spacing w:line="276" w:lineRule="auto"/>
              <w:jc w:val="both"/>
              <w:rPr>
                <w:rFonts w:asciiTheme="minorHAnsi" w:hAnsiTheme="minorHAnsi"/>
                <w:b/>
                <w:bCs/>
                <w:sz w:val="18"/>
                <w:szCs w:val="16"/>
                <w:lang w:val="sq-AL"/>
              </w:rPr>
            </w:pPr>
            <w:r w:rsidRPr="00121650">
              <w:rPr>
                <w:rFonts w:asciiTheme="minorHAnsi" w:hAnsiTheme="minorHAnsi"/>
                <w:b/>
                <w:bCs/>
                <w:sz w:val="18"/>
                <w:szCs w:val="16"/>
                <w:lang w:val="sq-AL"/>
              </w:rPr>
              <w:t>Korrente</w:t>
            </w:r>
          </w:p>
        </w:tc>
        <w:tc>
          <w:tcPr>
            <w:tcW w:w="0" w:type="auto"/>
            <w:tcBorders>
              <w:bottom w:val="single" w:sz="4" w:space="0" w:color="4F81BD" w:themeColor="accent1"/>
            </w:tcBorders>
            <w:shd w:val="clear" w:color="auto" w:fill="B6DDE8" w:themeFill="accent5" w:themeFillTint="66"/>
          </w:tcPr>
          <w:p w:rsidR="006308E8" w:rsidRPr="00121650" w:rsidRDefault="006308E8" w:rsidP="00121650">
            <w:pPr>
              <w:spacing w:line="276" w:lineRule="auto"/>
              <w:jc w:val="both"/>
              <w:cnfStyle w:val="000000000000" w:firstRow="0" w:lastRow="0" w:firstColumn="0" w:lastColumn="0" w:oddVBand="0" w:evenVBand="0" w:oddHBand="0" w:evenHBand="0" w:firstRowFirstColumn="0" w:firstRowLastColumn="0" w:lastRowFirstColumn="0" w:lastRowLastColumn="0"/>
              <w:rPr>
                <w:rFonts w:asciiTheme="minorHAnsi" w:hAnsiTheme="minorHAnsi"/>
                <w:b/>
                <w:bCs/>
                <w:sz w:val="18"/>
                <w:szCs w:val="16"/>
                <w:lang w:val="sq-AL"/>
              </w:rPr>
            </w:pPr>
            <w:r w:rsidRPr="00121650">
              <w:rPr>
                <w:rFonts w:asciiTheme="minorHAnsi" w:hAnsiTheme="minorHAnsi"/>
                <w:b/>
                <w:bCs/>
                <w:sz w:val="18"/>
                <w:szCs w:val="16"/>
                <w:lang w:val="sq-AL"/>
              </w:rPr>
              <w:t>Investime</w:t>
            </w:r>
          </w:p>
        </w:tc>
        <w:tc>
          <w:tcPr>
            <w:cnfStyle w:val="000010000000" w:firstRow="0" w:lastRow="0" w:firstColumn="0" w:lastColumn="0" w:oddVBand="1" w:evenVBand="0" w:oddHBand="0" w:evenHBand="0" w:firstRowFirstColumn="0" w:firstRowLastColumn="0" w:lastRowFirstColumn="0" w:lastRowLastColumn="0"/>
            <w:tcW w:w="0" w:type="auto"/>
            <w:tcBorders>
              <w:bottom w:val="single" w:sz="4" w:space="0" w:color="4F81BD" w:themeColor="accent1"/>
            </w:tcBorders>
            <w:shd w:val="clear" w:color="auto" w:fill="B6DDE8" w:themeFill="accent5" w:themeFillTint="66"/>
          </w:tcPr>
          <w:p w:rsidR="006308E8" w:rsidRPr="00121650" w:rsidRDefault="006308E8" w:rsidP="00121650">
            <w:pPr>
              <w:spacing w:line="276" w:lineRule="auto"/>
              <w:jc w:val="both"/>
              <w:rPr>
                <w:rFonts w:asciiTheme="minorHAnsi" w:hAnsiTheme="minorHAnsi"/>
                <w:b/>
                <w:bCs/>
                <w:sz w:val="18"/>
                <w:szCs w:val="16"/>
                <w:lang w:val="sq-AL"/>
              </w:rPr>
            </w:pPr>
            <w:r w:rsidRPr="00121650">
              <w:rPr>
                <w:rFonts w:asciiTheme="minorHAnsi" w:hAnsiTheme="minorHAnsi"/>
                <w:b/>
                <w:bCs/>
                <w:sz w:val="18"/>
                <w:szCs w:val="16"/>
                <w:lang w:val="sq-AL"/>
              </w:rPr>
              <w:t>Korrente</w:t>
            </w:r>
          </w:p>
        </w:tc>
        <w:tc>
          <w:tcPr>
            <w:tcW w:w="0" w:type="auto"/>
            <w:tcBorders>
              <w:bottom w:val="single" w:sz="4" w:space="0" w:color="4F81BD" w:themeColor="accent1"/>
            </w:tcBorders>
            <w:shd w:val="clear" w:color="auto" w:fill="B6DDE8" w:themeFill="accent5" w:themeFillTint="66"/>
          </w:tcPr>
          <w:p w:rsidR="006308E8" w:rsidRPr="00121650" w:rsidRDefault="006308E8" w:rsidP="00121650">
            <w:pPr>
              <w:spacing w:line="276" w:lineRule="auto"/>
              <w:jc w:val="both"/>
              <w:cnfStyle w:val="000000000000" w:firstRow="0" w:lastRow="0" w:firstColumn="0" w:lastColumn="0" w:oddVBand="0" w:evenVBand="0" w:oddHBand="0" w:evenHBand="0" w:firstRowFirstColumn="0" w:firstRowLastColumn="0" w:lastRowFirstColumn="0" w:lastRowLastColumn="0"/>
              <w:rPr>
                <w:rFonts w:asciiTheme="minorHAnsi" w:hAnsiTheme="minorHAnsi"/>
                <w:b/>
                <w:bCs/>
                <w:sz w:val="18"/>
                <w:szCs w:val="16"/>
                <w:lang w:val="sq-AL"/>
              </w:rPr>
            </w:pPr>
            <w:r w:rsidRPr="00121650">
              <w:rPr>
                <w:rFonts w:asciiTheme="minorHAnsi" w:hAnsiTheme="minorHAnsi"/>
                <w:b/>
                <w:bCs/>
                <w:sz w:val="18"/>
                <w:szCs w:val="16"/>
                <w:lang w:val="sq-AL"/>
              </w:rPr>
              <w:t>Investime</w:t>
            </w:r>
          </w:p>
        </w:tc>
        <w:tc>
          <w:tcPr>
            <w:cnfStyle w:val="000010000000" w:firstRow="0" w:lastRow="0" w:firstColumn="0" w:lastColumn="0" w:oddVBand="1" w:evenVBand="0" w:oddHBand="0" w:evenHBand="0" w:firstRowFirstColumn="0" w:firstRowLastColumn="0" w:lastRowFirstColumn="0" w:lastRowLastColumn="0"/>
            <w:tcW w:w="0" w:type="auto"/>
            <w:shd w:val="clear" w:color="auto" w:fill="B6DDE8" w:themeFill="accent5" w:themeFillTint="66"/>
          </w:tcPr>
          <w:p w:rsidR="006308E8" w:rsidRPr="00121650" w:rsidRDefault="006308E8" w:rsidP="00121650">
            <w:pPr>
              <w:spacing w:line="276" w:lineRule="auto"/>
              <w:jc w:val="both"/>
              <w:rPr>
                <w:rFonts w:asciiTheme="minorHAnsi" w:hAnsiTheme="minorHAnsi"/>
                <w:b/>
                <w:bCs/>
                <w:sz w:val="18"/>
                <w:szCs w:val="16"/>
                <w:lang w:val="sq-AL"/>
              </w:rPr>
            </w:pPr>
            <w:r w:rsidRPr="00121650">
              <w:rPr>
                <w:rFonts w:asciiTheme="minorHAnsi" w:hAnsiTheme="minorHAnsi"/>
                <w:b/>
                <w:bCs/>
                <w:sz w:val="18"/>
                <w:szCs w:val="16"/>
                <w:lang w:val="sq-AL"/>
              </w:rPr>
              <w:t>Korrente</w:t>
            </w:r>
          </w:p>
        </w:tc>
        <w:tc>
          <w:tcPr>
            <w:tcW w:w="0" w:type="auto"/>
            <w:tcBorders>
              <w:bottom w:val="single" w:sz="4" w:space="0" w:color="4F81BD" w:themeColor="accent1"/>
            </w:tcBorders>
            <w:shd w:val="clear" w:color="auto" w:fill="B6DDE8" w:themeFill="accent5" w:themeFillTint="66"/>
          </w:tcPr>
          <w:p w:rsidR="006308E8" w:rsidRPr="00121650" w:rsidRDefault="006308E8" w:rsidP="00121650">
            <w:pPr>
              <w:spacing w:line="276" w:lineRule="auto"/>
              <w:jc w:val="both"/>
              <w:cnfStyle w:val="000000000000" w:firstRow="0" w:lastRow="0" w:firstColumn="0" w:lastColumn="0" w:oddVBand="0" w:evenVBand="0" w:oddHBand="0" w:evenHBand="0" w:firstRowFirstColumn="0" w:firstRowLastColumn="0" w:lastRowFirstColumn="0" w:lastRowLastColumn="0"/>
              <w:rPr>
                <w:rFonts w:asciiTheme="minorHAnsi" w:hAnsiTheme="minorHAnsi"/>
                <w:b/>
                <w:bCs/>
                <w:sz w:val="18"/>
                <w:szCs w:val="16"/>
                <w:lang w:val="sq-AL"/>
              </w:rPr>
            </w:pPr>
            <w:r w:rsidRPr="00121650">
              <w:rPr>
                <w:rFonts w:asciiTheme="minorHAnsi" w:hAnsiTheme="minorHAnsi"/>
                <w:b/>
                <w:bCs/>
                <w:sz w:val="18"/>
                <w:szCs w:val="16"/>
                <w:lang w:val="sq-AL"/>
              </w:rPr>
              <w:t>Investime</w:t>
            </w:r>
          </w:p>
        </w:tc>
      </w:tr>
      <w:tr w:rsidR="006308E8" w:rsidRPr="00121650" w:rsidTr="002124D1">
        <w:trPr>
          <w:cnfStyle w:val="000000100000" w:firstRow="0" w:lastRow="0" w:firstColumn="0" w:lastColumn="0" w:oddVBand="0" w:evenVBand="0" w:oddHBand="1" w:evenHBand="0" w:firstRowFirstColumn="0" w:firstRowLastColumn="0" w:lastRowFirstColumn="0" w:lastRowLastColumn="0"/>
          <w:trHeight w:val="246"/>
          <w:jc w:val="center"/>
        </w:trPr>
        <w:tc>
          <w:tcPr>
            <w:cnfStyle w:val="000010000000" w:firstRow="0" w:lastRow="0" w:firstColumn="0" w:lastColumn="0" w:oddVBand="1" w:evenVBand="0" w:oddHBand="0" w:evenHBand="0" w:firstRowFirstColumn="0" w:firstRowLastColumn="0" w:lastRowFirstColumn="0" w:lastRowLastColumn="0"/>
            <w:tcW w:w="0" w:type="auto"/>
          </w:tcPr>
          <w:p w:rsidR="006308E8" w:rsidRPr="00121650" w:rsidRDefault="006308E8" w:rsidP="00121650">
            <w:pPr>
              <w:spacing w:line="276" w:lineRule="auto"/>
              <w:jc w:val="center"/>
              <w:rPr>
                <w:rFonts w:asciiTheme="minorHAnsi" w:hAnsiTheme="minorHAnsi"/>
                <w:sz w:val="18"/>
                <w:szCs w:val="16"/>
                <w:lang w:val="sq-AL"/>
              </w:rPr>
            </w:pPr>
            <w:r w:rsidRPr="00121650">
              <w:rPr>
                <w:rFonts w:asciiTheme="minorHAnsi" w:hAnsiTheme="minorHAnsi"/>
                <w:sz w:val="18"/>
                <w:szCs w:val="16"/>
                <w:lang w:val="sq-AL"/>
              </w:rPr>
              <w:t>1.</w:t>
            </w:r>
          </w:p>
        </w:tc>
        <w:tc>
          <w:tcPr>
            <w:tcW w:w="0" w:type="auto"/>
            <w:tcBorders>
              <w:right w:val="single" w:sz="4" w:space="0" w:color="4F81BD" w:themeColor="accent1"/>
            </w:tcBorders>
          </w:tcPr>
          <w:p w:rsidR="006308E8" w:rsidRPr="00121650" w:rsidRDefault="006308E8" w:rsidP="00121650">
            <w:pPr>
              <w:spacing w:line="276" w:lineRule="auto"/>
              <w:cnfStyle w:val="000000100000" w:firstRow="0" w:lastRow="0" w:firstColumn="0" w:lastColumn="0" w:oddVBand="0" w:evenVBand="0" w:oddHBand="1" w:evenHBand="0" w:firstRowFirstColumn="0" w:firstRowLastColumn="0" w:lastRowFirstColumn="0" w:lastRowLastColumn="0"/>
              <w:rPr>
                <w:rFonts w:asciiTheme="minorHAnsi" w:eastAsia="Cambria" w:hAnsiTheme="minorHAnsi"/>
                <w:sz w:val="18"/>
                <w:szCs w:val="16"/>
                <w:lang w:val="sq-AL"/>
              </w:rPr>
            </w:pPr>
            <w:r w:rsidRPr="00121650">
              <w:rPr>
                <w:rFonts w:asciiTheme="minorHAnsi" w:eastAsia="Cambria" w:hAnsiTheme="minorHAnsi"/>
                <w:sz w:val="18"/>
                <w:szCs w:val="16"/>
                <w:lang w:val="sq-AL"/>
              </w:rPr>
              <w:t>Planifikimi, Menaxhimi dhe Administrimi</w:t>
            </w:r>
          </w:p>
        </w:tc>
        <w:tc>
          <w:tcPr>
            <w:cnfStyle w:val="000010000000" w:firstRow="0" w:lastRow="0" w:firstColumn="0" w:lastColumn="0" w:oddVBand="1" w:evenVBand="0" w:oddHBand="0" w:evenHBand="0" w:firstRowFirstColumn="0" w:firstRowLastColumn="0" w:lastRowFirstColumn="0" w:lastRowLastColumn="0"/>
            <w:tcW w:w="0" w:type="auto"/>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auto"/>
            <w:vAlign w:val="bottom"/>
          </w:tcPr>
          <w:p w:rsidR="006308E8" w:rsidRPr="00121650" w:rsidRDefault="006308E8" w:rsidP="00121650">
            <w:pPr>
              <w:spacing w:line="276" w:lineRule="auto"/>
              <w:jc w:val="center"/>
              <w:rPr>
                <w:rFonts w:asciiTheme="minorHAnsi" w:eastAsia="MS Mincho" w:hAnsiTheme="minorHAnsi"/>
                <w:sz w:val="18"/>
                <w:szCs w:val="16"/>
                <w:lang w:val="sq-AL"/>
              </w:rPr>
            </w:pPr>
            <w:r w:rsidRPr="00121650">
              <w:rPr>
                <w:rFonts w:asciiTheme="minorHAnsi" w:eastAsia="MS Mincho" w:hAnsiTheme="minorHAnsi"/>
                <w:sz w:val="18"/>
                <w:szCs w:val="16"/>
                <w:lang w:val="sq-AL"/>
              </w:rPr>
              <w:t>340,800</w:t>
            </w:r>
          </w:p>
        </w:tc>
        <w:tc>
          <w:tcPr>
            <w:tcW w:w="0" w:type="auto"/>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auto"/>
            <w:vAlign w:val="bottom"/>
          </w:tcPr>
          <w:p w:rsidR="006308E8" w:rsidRPr="00121650" w:rsidRDefault="006308E8" w:rsidP="00121650">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16"/>
                <w:lang w:val="sq-AL"/>
              </w:rPr>
            </w:pPr>
            <w:r w:rsidRPr="00121650">
              <w:rPr>
                <w:rFonts w:asciiTheme="minorHAnsi" w:hAnsiTheme="minorHAnsi"/>
                <w:sz w:val="18"/>
                <w:szCs w:val="16"/>
                <w:lang w:val="sq-AL"/>
              </w:rPr>
              <w:t>25,000</w:t>
            </w:r>
          </w:p>
        </w:tc>
        <w:tc>
          <w:tcPr>
            <w:cnfStyle w:val="000010000000" w:firstRow="0" w:lastRow="0" w:firstColumn="0" w:lastColumn="0" w:oddVBand="1" w:evenVBand="0" w:oddHBand="0" w:evenHBand="0" w:firstRowFirstColumn="0" w:firstRowLastColumn="0" w:lastRowFirstColumn="0" w:lastRowLastColumn="0"/>
            <w:tcW w:w="0" w:type="auto"/>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auto"/>
            <w:vAlign w:val="bottom"/>
          </w:tcPr>
          <w:p w:rsidR="006308E8" w:rsidRPr="00121650" w:rsidRDefault="006308E8" w:rsidP="00121650">
            <w:pPr>
              <w:jc w:val="center"/>
              <w:rPr>
                <w:rFonts w:asciiTheme="minorHAnsi" w:hAnsiTheme="minorHAnsi"/>
                <w:sz w:val="18"/>
                <w:szCs w:val="16"/>
                <w:lang w:val="sq-AL"/>
              </w:rPr>
            </w:pPr>
            <w:r w:rsidRPr="00121650">
              <w:rPr>
                <w:rFonts w:asciiTheme="minorHAnsi" w:hAnsiTheme="minorHAnsi"/>
                <w:sz w:val="18"/>
                <w:szCs w:val="16"/>
                <w:lang w:val="sq-AL"/>
              </w:rPr>
              <w:t>75,502</w:t>
            </w:r>
          </w:p>
        </w:tc>
        <w:tc>
          <w:tcPr>
            <w:tcW w:w="0" w:type="auto"/>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auto"/>
            <w:vAlign w:val="bottom"/>
          </w:tcPr>
          <w:p w:rsidR="006308E8" w:rsidRPr="00121650" w:rsidRDefault="006308E8" w:rsidP="00121650">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16"/>
                <w:lang w:val="sq-AL"/>
              </w:rPr>
            </w:pPr>
          </w:p>
        </w:tc>
        <w:tc>
          <w:tcPr>
            <w:cnfStyle w:val="000010000000" w:firstRow="0" w:lastRow="0" w:firstColumn="0" w:lastColumn="0" w:oddVBand="1" w:evenVBand="0" w:oddHBand="0" w:evenHBand="0" w:firstRowFirstColumn="0" w:firstRowLastColumn="0" w:lastRowFirstColumn="0" w:lastRowLastColumn="0"/>
            <w:tcW w:w="0" w:type="auto"/>
            <w:tcBorders>
              <w:left w:val="single" w:sz="4" w:space="0" w:color="4F81BD" w:themeColor="accent1"/>
              <w:right w:val="single" w:sz="4" w:space="0" w:color="4F81BD" w:themeColor="accent1"/>
            </w:tcBorders>
            <w:shd w:val="clear" w:color="auto" w:fill="auto"/>
            <w:vAlign w:val="bottom"/>
          </w:tcPr>
          <w:p w:rsidR="006308E8" w:rsidRPr="00121650" w:rsidRDefault="006308E8" w:rsidP="00121650">
            <w:pPr>
              <w:spacing w:line="276" w:lineRule="auto"/>
              <w:jc w:val="center"/>
              <w:rPr>
                <w:rFonts w:asciiTheme="minorHAnsi" w:eastAsia="MS Mincho" w:hAnsiTheme="minorHAnsi"/>
                <w:sz w:val="18"/>
                <w:szCs w:val="16"/>
                <w:lang w:val="sq-AL"/>
              </w:rPr>
            </w:pPr>
            <w:r w:rsidRPr="00121650">
              <w:rPr>
                <w:rFonts w:asciiTheme="minorHAnsi" w:eastAsia="MS Mincho" w:hAnsiTheme="minorHAnsi"/>
                <w:sz w:val="18"/>
                <w:szCs w:val="16"/>
                <w:lang w:val="sq-AL"/>
              </w:rPr>
              <w:t>22.2</w:t>
            </w:r>
          </w:p>
        </w:tc>
        <w:tc>
          <w:tcPr>
            <w:tcW w:w="0" w:type="auto"/>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auto"/>
            <w:vAlign w:val="bottom"/>
          </w:tcPr>
          <w:p w:rsidR="006308E8" w:rsidRPr="00121650" w:rsidRDefault="006308E8" w:rsidP="00121650">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16"/>
                <w:lang w:val="sq-AL"/>
              </w:rPr>
            </w:pPr>
            <w:r w:rsidRPr="00121650">
              <w:rPr>
                <w:rFonts w:asciiTheme="minorHAnsi" w:hAnsiTheme="minorHAnsi"/>
                <w:sz w:val="18"/>
                <w:szCs w:val="16"/>
                <w:lang w:val="sq-AL"/>
              </w:rPr>
              <w:t>0.0</w:t>
            </w:r>
          </w:p>
        </w:tc>
      </w:tr>
      <w:tr w:rsidR="006308E8" w:rsidRPr="00121650" w:rsidTr="002124D1">
        <w:trPr>
          <w:trHeight w:val="231"/>
          <w:jc w:val="center"/>
        </w:trPr>
        <w:tc>
          <w:tcPr>
            <w:cnfStyle w:val="000010000000" w:firstRow="0" w:lastRow="0" w:firstColumn="0" w:lastColumn="0" w:oddVBand="1" w:evenVBand="0" w:oddHBand="0" w:evenHBand="0" w:firstRowFirstColumn="0" w:firstRowLastColumn="0" w:lastRowFirstColumn="0" w:lastRowLastColumn="0"/>
            <w:tcW w:w="0" w:type="auto"/>
          </w:tcPr>
          <w:p w:rsidR="006308E8" w:rsidRPr="00121650" w:rsidRDefault="006308E8" w:rsidP="00121650">
            <w:pPr>
              <w:spacing w:line="276" w:lineRule="auto"/>
              <w:jc w:val="center"/>
              <w:rPr>
                <w:rFonts w:asciiTheme="minorHAnsi" w:hAnsiTheme="minorHAnsi"/>
                <w:sz w:val="18"/>
                <w:szCs w:val="16"/>
                <w:lang w:val="sq-AL"/>
              </w:rPr>
            </w:pPr>
            <w:r w:rsidRPr="00121650">
              <w:rPr>
                <w:rFonts w:asciiTheme="minorHAnsi" w:hAnsiTheme="minorHAnsi"/>
                <w:sz w:val="18"/>
                <w:szCs w:val="16"/>
                <w:lang w:val="sq-AL"/>
              </w:rPr>
              <w:t>2.</w:t>
            </w:r>
          </w:p>
        </w:tc>
        <w:tc>
          <w:tcPr>
            <w:tcW w:w="0" w:type="auto"/>
            <w:tcBorders>
              <w:right w:val="single" w:sz="4" w:space="0" w:color="4F81BD" w:themeColor="accent1"/>
            </w:tcBorders>
          </w:tcPr>
          <w:p w:rsidR="006308E8" w:rsidRPr="00121650" w:rsidRDefault="006308E8" w:rsidP="00121650">
            <w:pPr>
              <w:spacing w:line="276" w:lineRule="auto"/>
              <w:cnfStyle w:val="000000000000" w:firstRow="0" w:lastRow="0" w:firstColumn="0" w:lastColumn="0" w:oddVBand="0" w:evenVBand="0" w:oddHBand="0" w:evenHBand="0" w:firstRowFirstColumn="0" w:firstRowLastColumn="0" w:lastRowFirstColumn="0" w:lastRowLastColumn="0"/>
              <w:rPr>
                <w:rFonts w:asciiTheme="minorHAnsi" w:eastAsia="Cambria" w:hAnsiTheme="minorHAnsi"/>
                <w:sz w:val="18"/>
                <w:szCs w:val="16"/>
                <w:lang w:val="sq-AL"/>
              </w:rPr>
            </w:pPr>
            <w:r w:rsidRPr="00121650">
              <w:rPr>
                <w:rFonts w:asciiTheme="minorHAnsi" w:eastAsia="Cambria" w:hAnsiTheme="minorHAnsi"/>
                <w:sz w:val="18"/>
                <w:szCs w:val="16"/>
                <w:lang w:val="sq-AL"/>
              </w:rPr>
              <w:t>Siguria ushqimore dhe mbrojtja e konsumatorit</w:t>
            </w:r>
          </w:p>
        </w:tc>
        <w:tc>
          <w:tcPr>
            <w:cnfStyle w:val="000010000000" w:firstRow="0" w:lastRow="0" w:firstColumn="0" w:lastColumn="0" w:oddVBand="1" w:evenVBand="0" w:oddHBand="0" w:evenHBand="0" w:firstRowFirstColumn="0" w:firstRowLastColumn="0" w:lastRowFirstColumn="0" w:lastRowLastColumn="0"/>
            <w:tcW w:w="0" w:type="auto"/>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auto"/>
            <w:vAlign w:val="bottom"/>
          </w:tcPr>
          <w:p w:rsidR="006308E8" w:rsidRPr="00121650" w:rsidRDefault="006308E8" w:rsidP="00121650">
            <w:pPr>
              <w:spacing w:line="276" w:lineRule="auto"/>
              <w:jc w:val="center"/>
              <w:rPr>
                <w:rFonts w:asciiTheme="minorHAnsi" w:eastAsia="MS Mincho" w:hAnsiTheme="minorHAnsi"/>
                <w:sz w:val="18"/>
                <w:szCs w:val="16"/>
                <w:lang w:val="sq-AL"/>
              </w:rPr>
            </w:pPr>
            <w:r w:rsidRPr="00121650">
              <w:rPr>
                <w:rFonts w:asciiTheme="minorHAnsi" w:eastAsia="MS Mincho" w:hAnsiTheme="minorHAnsi"/>
                <w:sz w:val="18"/>
                <w:szCs w:val="16"/>
                <w:lang w:val="sq-AL"/>
              </w:rPr>
              <w:t>1,199,634</w:t>
            </w:r>
          </w:p>
        </w:tc>
        <w:tc>
          <w:tcPr>
            <w:tcW w:w="0" w:type="auto"/>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auto"/>
            <w:vAlign w:val="bottom"/>
          </w:tcPr>
          <w:p w:rsidR="006308E8" w:rsidRPr="00121650" w:rsidRDefault="006308E8" w:rsidP="00121650">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16"/>
                <w:lang w:val="sq-AL"/>
              </w:rPr>
            </w:pPr>
            <w:r w:rsidRPr="00121650">
              <w:rPr>
                <w:rFonts w:asciiTheme="minorHAnsi" w:hAnsiTheme="minorHAnsi"/>
                <w:sz w:val="18"/>
                <w:szCs w:val="16"/>
                <w:lang w:val="sq-AL"/>
              </w:rPr>
              <w:t>603,122</w:t>
            </w:r>
          </w:p>
        </w:tc>
        <w:tc>
          <w:tcPr>
            <w:cnfStyle w:val="000010000000" w:firstRow="0" w:lastRow="0" w:firstColumn="0" w:lastColumn="0" w:oddVBand="1" w:evenVBand="0" w:oddHBand="0" w:evenHBand="0" w:firstRowFirstColumn="0" w:firstRowLastColumn="0" w:lastRowFirstColumn="0" w:lastRowLastColumn="0"/>
            <w:tcW w:w="0" w:type="auto"/>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auto"/>
            <w:vAlign w:val="bottom"/>
          </w:tcPr>
          <w:p w:rsidR="006308E8" w:rsidRPr="00121650" w:rsidRDefault="006308E8" w:rsidP="00121650">
            <w:pPr>
              <w:jc w:val="center"/>
              <w:rPr>
                <w:rFonts w:asciiTheme="minorHAnsi" w:hAnsiTheme="minorHAnsi"/>
                <w:sz w:val="18"/>
                <w:szCs w:val="16"/>
                <w:lang w:val="sq-AL"/>
              </w:rPr>
            </w:pPr>
            <w:r w:rsidRPr="00121650">
              <w:rPr>
                <w:rFonts w:asciiTheme="minorHAnsi" w:hAnsiTheme="minorHAnsi"/>
                <w:sz w:val="18"/>
                <w:szCs w:val="16"/>
                <w:lang w:val="sq-AL"/>
              </w:rPr>
              <w:t>274,993</w:t>
            </w:r>
          </w:p>
        </w:tc>
        <w:tc>
          <w:tcPr>
            <w:tcW w:w="0" w:type="auto"/>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auto"/>
            <w:vAlign w:val="bottom"/>
          </w:tcPr>
          <w:p w:rsidR="006308E8" w:rsidRPr="00121650" w:rsidRDefault="006308E8" w:rsidP="00121650">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16"/>
                <w:lang w:val="sq-AL"/>
              </w:rPr>
            </w:pPr>
            <w:r w:rsidRPr="00121650">
              <w:rPr>
                <w:rFonts w:asciiTheme="minorHAnsi" w:hAnsiTheme="minorHAnsi"/>
                <w:sz w:val="18"/>
                <w:szCs w:val="16"/>
                <w:lang w:val="sq-AL"/>
              </w:rPr>
              <w:t>74,159</w:t>
            </w:r>
          </w:p>
        </w:tc>
        <w:tc>
          <w:tcPr>
            <w:cnfStyle w:val="000010000000" w:firstRow="0" w:lastRow="0" w:firstColumn="0" w:lastColumn="0" w:oddVBand="1" w:evenVBand="0" w:oddHBand="0" w:evenHBand="0" w:firstRowFirstColumn="0" w:firstRowLastColumn="0" w:lastRowFirstColumn="0" w:lastRowLastColumn="0"/>
            <w:tcW w:w="0" w:type="auto"/>
            <w:tcBorders>
              <w:left w:val="single" w:sz="4" w:space="0" w:color="4F81BD" w:themeColor="accent1"/>
              <w:right w:val="single" w:sz="4" w:space="0" w:color="4F81BD" w:themeColor="accent1"/>
            </w:tcBorders>
            <w:shd w:val="clear" w:color="auto" w:fill="auto"/>
            <w:vAlign w:val="bottom"/>
          </w:tcPr>
          <w:p w:rsidR="006308E8" w:rsidRPr="00121650" w:rsidRDefault="006308E8" w:rsidP="00121650">
            <w:pPr>
              <w:spacing w:line="276" w:lineRule="auto"/>
              <w:jc w:val="center"/>
              <w:rPr>
                <w:rFonts w:asciiTheme="minorHAnsi" w:eastAsia="MS Mincho" w:hAnsiTheme="minorHAnsi"/>
                <w:sz w:val="18"/>
                <w:szCs w:val="16"/>
                <w:lang w:val="sq-AL"/>
              </w:rPr>
            </w:pPr>
            <w:r w:rsidRPr="00121650">
              <w:rPr>
                <w:rFonts w:asciiTheme="minorHAnsi" w:eastAsia="MS Mincho" w:hAnsiTheme="minorHAnsi"/>
                <w:sz w:val="18"/>
                <w:szCs w:val="16"/>
                <w:lang w:val="sq-AL"/>
              </w:rPr>
              <w:t>22.9</w:t>
            </w:r>
          </w:p>
        </w:tc>
        <w:tc>
          <w:tcPr>
            <w:tcW w:w="0" w:type="auto"/>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auto"/>
            <w:vAlign w:val="bottom"/>
          </w:tcPr>
          <w:p w:rsidR="006308E8" w:rsidRPr="00121650" w:rsidRDefault="006308E8" w:rsidP="00121650">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16"/>
                <w:lang w:val="sq-AL"/>
              </w:rPr>
            </w:pPr>
            <w:r w:rsidRPr="00121650">
              <w:rPr>
                <w:rFonts w:asciiTheme="minorHAnsi" w:hAnsiTheme="minorHAnsi"/>
                <w:sz w:val="18"/>
                <w:szCs w:val="16"/>
                <w:lang w:val="sq-AL"/>
              </w:rPr>
              <w:t>12.3</w:t>
            </w:r>
          </w:p>
        </w:tc>
      </w:tr>
      <w:tr w:rsidR="006308E8" w:rsidRPr="00121650" w:rsidTr="002124D1">
        <w:trPr>
          <w:cnfStyle w:val="000000100000" w:firstRow="0" w:lastRow="0" w:firstColumn="0" w:lastColumn="0" w:oddVBand="0" w:evenVBand="0" w:oddHBand="1" w:evenHBand="0" w:firstRowFirstColumn="0" w:firstRowLastColumn="0" w:lastRowFirstColumn="0" w:lastRowLastColumn="0"/>
          <w:trHeight w:val="292"/>
          <w:jc w:val="center"/>
        </w:trPr>
        <w:tc>
          <w:tcPr>
            <w:cnfStyle w:val="000010000000" w:firstRow="0" w:lastRow="0" w:firstColumn="0" w:lastColumn="0" w:oddVBand="1" w:evenVBand="0" w:oddHBand="0" w:evenHBand="0" w:firstRowFirstColumn="0" w:firstRowLastColumn="0" w:lastRowFirstColumn="0" w:lastRowLastColumn="0"/>
            <w:tcW w:w="0" w:type="auto"/>
          </w:tcPr>
          <w:p w:rsidR="006308E8" w:rsidRPr="00121650" w:rsidRDefault="006308E8" w:rsidP="00121650">
            <w:pPr>
              <w:spacing w:line="276" w:lineRule="auto"/>
              <w:jc w:val="center"/>
              <w:rPr>
                <w:rFonts w:asciiTheme="minorHAnsi" w:hAnsiTheme="minorHAnsi"/>
                <w:sz w:val="18"/>
                <w:szCs w:val="16"/>
                <w:lang w:val="sq-AL"/>
              </w:rPr>
            </w:pPr>
            <w:r w:rsidRPr="00121650">
              <w:rPr>
                <w:rFonts w:asciiTheme="minorHAnsi" w:hAnsiTheme="minorHAnsi"/>
                <w:sz w:val="18"/>
                <w:szCs w:val="16"/>
                <w:lang w:val="sq-AL"/>
              </w:rPr>
              <w:t>3.</w:t>
            </w:r>
          </w:p>
        </w:tc>
        <w:tc>
          <w:tcPr>
            <w:tcW w:w="0" w:type="auto"/>
            <w:tcBorders>
              <w:right w:val="single" w:sz="4" w:space="0" w:color="4F81BD" w:themeColor="accent1"/>
            </w:tcBorders>
          </w:tcPr>
          <w:p w:rsidR="006308E8" w:rsidRPr="00121650" w:rsidRDefault="006308E8" w:rsidP="00121650">
            <w:pPr>
              <w:spacing w:line="276" w:lineRule="auto"/>
              <w:cnfStyle w:val="000000100000" w:firstRow="0" w:lastRow="0" w:firstColumn="0" w:lastColumn="0" w:oddVBand="0" w:evenVBand="0" w:oddHBand="1" w:evenHBand="0" w:firstRowFirstColumn="0" w:firstRowLastColumn="0" w:lastRowFirstColumn="0" w:lastRowLastColumn="0"/>
              <w:rPr>
                <w:rFonts w:asciiTheme="minorHAnsi" w:eastAsia="Cambria" w:hAnsiTheme="minorHAnsi"/>
                <w:sz w:val="18"/>
                <w:szCs w:val="16"/>
                <w:lang w:val="sq-AL"/>
              </w:rPr>
            </w:pPr>
            <w:r w:rsidRPr="00121650">
              <w:rPr>
                <w:rFonts w:asciiTheme="minorHAnsi" w:eastAsia="Cambria" w:hAnsiTheme="minorHAnsi"/>
                <w:sz w:val="18"/>
                <w:szCs w:val="16"/>
                <w:lang w:val="sq-AL"/>
              </w:rPr>
              <w:t>Mbështetje për Peshkimin</w:t>
            </w:r>
          </w:p>
        </w:tc>
        <w:tc>
          <w:tcPr>
            <w:cnfStyle w:val="000010000000" w:firstRow="0" w:lastRow="0" w:firstColumn="0" w:lastColumn="0" w:oddVBand="1" w:evenVBand="0" w:oddHBand="0" w:evenHBand="0" w:firstRowFirstColumn="0" w:firstRowLastColumn="0" w:lastRowFirstColumn="0" w:lastRowLastColumn="0"/>
            <w:tcW w:w="0" w:type="auto"/>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auto"/>
            <w:vAlign w:val="bottom"/>
          </w:tcPr>
          <w:p w:rsidR="006308E8" w:rsidRPr="00121650" w:rsidRDefault="006308E8" w:rsidP="00121650">
            <w:pPr>
              <w:spacing w:line="276" w:lineRule="auto"/>
              <w:jc w:val="center"/>
              <w:rPr>
                <w:rFonts w:asciiTheme="minorHAnsi" w:eastAsia="MS Mincho" w:hAnsiTheme="minorHAnsi"/>
                <w:sz w:val="18"/>
                <w:szCs w:val="16"/>
                <w:lang w:val="sq-AL"/>
              </w:rPr>
            </w:pPr>
            <w:r w:rsidRPr="00121650">
              <w:rPr>
                <w:rFonts w:asciiTheme="minorHAnsi" w:eastAsia="MS Mincho" w:hAnsiTheme="minorHAnsi"/>
                <w:sz w:val="18"/>
                <w:szCs w:val="16"/>
                <w:lang w:val="sq-AL"/>
              </w:rPr>
              <w:t>110,000</w:t>
            </w:r>
          </w:p>
        </w:tc>
        <w:tc>
          <w:tcPr>
            <w:tcW w:w="0" w:type="auto"/>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auto"/>
            <w:vAlign w:val="bottom"/>
          </w:tcPr>
          <w:p w:rsidR="006308E8" w:rsidRPr="00121650" w:rsidRDefault="006308E8" w:rsidP="00121650">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16"/>
                <w:lang w:val="sq-AL"/>
              </w:rPr>
            </w:pPr>
            <w:r w:rsidRPr="00121650">
              <w:rPr>
                <w:rFonts w:asciiTheme="minorHAnsi" w:hAnsiTheme="minorHAnsi"/>
                <w:sz w:val="18"/>
                <w:szCs w:val="16"/>
                <w:lang w:val="sq-AL"/>
              </w:rPr>
              <w:t>629,935</w:t>
            </w:r>
          </w:p>
        </w:tc>
        <w:tc>
          <w:tcPr>
            <w:cnfStyle w:val="000010000000" w:firstRow="0" w:lastRow="0" w:firstColumn="0" w:lastColumn="0" w:oddVBand="1" w:evenVBand="0" w:oddHBand="0" w:evenHBand="0" w:firstRowFirstColumn="0" w:firstRowLastColumn="0" w:lastRowFirstColumn="0" w:lastRowLastColumn="0"/>
            <w:tcW w:w="0" w:type="auto"/>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auto"/>
            <w:vAlign w:val="bottom"/>
          </w:tcPr>
          <w:p w:rsidR="006308E8" w:rsidRPr="00121650" w:rsidRDefault="006308E8" w:rsidP="00121650">
            <w:pPr>
              <w:jc w:val="center"/>
              <w:rPr>
                <w:rFonts w:asciiTheme="minorHAnsi" w:hAnsiTheme="minorHAnsi"/>
                <w:sz w:val="18"/>
                <w:szCs w:val="16"/>
                <w:lang w:val="sq-AL"/>
              </w:rPr>
            </w:pPr>
            <w:r w:rsidRPr="00121650">
              <w:rPr>
                <w:rFonts w:asciiTheme="minorHAnsi" w:hAnsiTheme="minorHAnsi"/>
                <w:sz w:val="18"/>
                <w:szCs w:val="16"/>
                <w:lang w:val="sq-AL"/>
              </w:rPr>
              <w:t>28,101</w:t>
            </w:r>
          </w:p>
        </w:tc>
        <w:tc>
          <w:tcPr>
            <w:tcW w:w="0" w:type="auto"/>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auto"/>
            <w:vAlign w:val="bottom"/>
          </w:tcPr>
          <w:p w:rsidR="006308E8" w:rsidRPr="00121650" w:rsidRDefault="006308E8" w:rsidP="00121650">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16"/>
                <w:lang w:val="sq-AL"/>
              </w:rPr>
            </w:pPr>
          </w:p>
        </w:tc>
        <w:tc>
          <w:tcPr>
            <w:cnfStyle w:val="000010000000" w:firstRow="0" w:lastRow="0" w:firstColumn="0" w:lastColumn="0" w:oddVBand="1" w:evenVBand="0" w:oddHBand="0" w:evenHBand="0" w:firstRowFirstColumn="0" w:firstRowLastColumn="0" w:lastRowFirstColumn="0" w:lastRowLastColumn="0"/>
            <w:tcW w:w="0" w:type="auto"/>
            <w:tcBorders>
              <w:left w:val="single" w:sz="4" w:space="0" w:color="4F81BD" w:themeColor="accent1"/>
              <w:right w:val="single" w:sz="4" w:space="0" w:color="4F81BD" w:themeColor="accent1"/>
            </w:tcBorders>
            <w:shd w:val="clear" w:color="auto" w:fill="auto"/>
            <w:vAlign w:val="bottom"/>
          </w:tcPr>
          <w:p w:rsidR="006308E8" w:rsidRPr="00121650" w:rsidRDefault="006308E8" w:rsidP="00121650">
            <w:pPr>
              <w:spacing w:line="276" w:lineRule="auto"/>
              <w:jc w:val="center"/>
              <w:rPr>
                <w:rFonts w:asciiTheme="minorHAnsi" w:eastAsia="MS Mincho" w:hAnsiTheme="minorHAnsi"/>
                <w:sz w:val="18"/>
                <w:szCs w:val="16"/>
                <w:lang w:val="sq-AL"/>
              </w:rPr>
            </w:pPr>
            <w:r w:rsidRPr="00121650">
              <w:rPr>
                <w:rFonts w:asciiTheme="minorHAnsi" w:eastAsia="MS Mincho" w:hAnsiTheme="minorHAnsi"/>
                <w:sz w:val="18"/>
                <w:szCs w:val="16"/>
                <w:lang w:val="sq-AL"/>
              </w:rPr>
              <w:t>25.5</w:t>
            </w:r>
          </w:p>
        </w:tc>
        <w:tc>
          <w:tcPr>
            <w:tcW w:w="0" w:type="auto"/>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auto"/>
            <w:vAlign w:val="bottom"/>
          </w:tcPr>
          <w:p w:rsidR="006308E8" w:rsidRPr="00121650" w:rsidRDefault="006308E8" w:rsidP="00121650">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16"/>
                <w:lang w:val="sq-AL"/>
              </w:rPr>
            </w:pPr>
            <w:r w:rsidRPr="00121650">
              <w:rPr>
                <w:rFonts w:asciiTheme="minorHAnsi" w:hAnsiTheme="minorHAnsi"/>
                <w:sz w:val="18"/>
                <w:szCs w:val="16"/>
                <w:lang w:val="sq-AL"/>
              </w:rPr>
              <w:t>0.0</w:t>
            </w:r>
          </w:p>
        </w:tc>
      </w:tr>
      <w:tr w:rsidR="006308E8" w:rsidRPr="00121650" w:rsidTr="002124D1">
        <w:trPr>
          <w:trHeight w:val="353"/>
          <w:jc w:val="center"/>
        </w:trPr>
        <w:tc>
          <w:tcPr>
            <w:cnfStyle w:val="000010000000" w:firstRow="0" w:lastRow="0" w:firstColumn="0" w:lastColumn="0" w:oddVBand="1" w:evenVBand="0" w:oddHBand="0" w:evenHBand="0" w:firstRowFirstColumn="0" w:firstRowLastColumn="0" w:lastRowFirstColumn="0" w:lastRowLastColumn="0"/>
            <w:tcW w:w="0" w:type="auto"/>
          </w:tcPr>
          <w:p w:rsidR="006308E8" w:rsidRPr="00121650" w:rsidRDefault="006308E8" w:rsidP="00121650">
            <w:pPr>
              <w:spacing w:line="276" w:lineRule="auto"/>
              <w:jc w:val="center"/>
              <w:rPr>
                <w:rFonts w:asciiTheme="minorHAnsi" w:hAnsiTheme="minorHAnsi"/>
                <w:sz w:val="18"/>
                <w:szCs w:val="16"/>
                <w:lang w:val="sq-AL"/>
              </w:rPr>
            </w:pPr>
            <w:r w:rsidRPr="00121650">
              <w:rPr>
                <w:rFonts w:asciiTheme="minorHAnsi" w:hAnsiTheme="minorHAnsi"/>
                <w:sz w:val="18"/>
                <w:szCs w:val="16"/>
                <w:lang w:val="sq-AL"/>
              </w:rPr>
              <w:t>4.</w:t>
            </w:r>
          </w:p>
        </w:tc>
        <w:tc>
          <w:tcPr>
            <w:tcW w:w="0" w:type="auto"/>
            <w:tcBorders>
              <w:right w:val="single" w:sz="4" w:space="0" w:color="4F81BD" w:themeColor="accent1"/>
            </w:tcBorders>
          </w:tcPr>
          <w:p w:rsidR="006308E8" w:rsidRPr="00121650" w:rsidRDefault="006308E8" w:rsidP="00121650">
            <w:pPr>
              <w:spacing w:line="276" w:lineRule="auto"/>
              <w:cnfStyle w:val="000000000000" w:firstRow="0" w:lastRow="0" w:firstColumn="0" w:lastColumn="0" w:oddVBand="0" w:evenVBand="0" w:oddHBand="0" w:evenHBand="0" w:firstRowFirstColumn="0" w:firstRowLastColumn="0" w:lastRowFirstColumn="0" w:lastRowLastColumn="0"/>
              <w:rPr>
                <w:rFonts w:asciiTheme="minorHAnsi" w:eastAsia="Cambria" w:hAnsiTheme="minorHAnsi"/>
                <w:sz w:val="18"/>
                <w:szCs w:val="16"/>
                <w:lang w:val="sq-AL"/>
              </w:rPr>
            </w:pPr>
            <w:r w:rsidRPr="00121650">
              <w:rPr>
                <w:rFonts w:asciiTheme="minorHAnsi" w:eastAsia="Cambria" w:hAnsiTheme="minorHAnsi"/>
                <w:sz w:val="18"/>
                <w:szCs w:val="16"/>
                <w:lang w:val="sq-AL"/>
              </w:rPr>
              <w:t>Menaxhimi i infrastrukturës se kullimit dhe ujitjes</w:t>
            </w:r>
          </w:p>
        </w:tc>
        <w:tc>
          <w:tcPr>
            <w:cnfStyle w:val="000010000000" w:firstRow="0" w:lastRow="0" w:firstColumn="0" w:lastColumn="0" w:oddVBand="1" w:evenVBand="0" w:oddHBand="0" w:evenHBand="0" w:firstRowFirstColumn="0" w:firstRowLastColumn="0" w:lastRowFirstColumn="0" w:lastRowLastColumn="0"/>
            <w:tcW w:w="0" w:type="auto"/>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auto"/>
            <w:vAlign w:val="bottom"/>
          </w:tcPr>
          <w:p w:rsidR="006308E8" w:rsidRPr="00121650" w:rsidRDefault="006308E8" w:rsidP="00121650">
            <w:pPr>
              <w:spacing w:line="276" w:lineRule="auto"/>
              <w:jc w:val="center"/>
              <w:rPr>
                <w:rFonts w:asciiTheme="minorHAnsi" w:eastAsia="MS Mincho" w:hAnsiTheme="minorHAnsi"/>
                <w:sz w:val="18"/>
                <w:szCs w:val="16"/>
                <w:lang w:val="sq-AL"/>
              </w:rPr>
            </w:pPr>
            <w:r w:rsidRPr="00121650">
              <w:rPr>
                <w:rFonts w:asciiTheme="minorHAnsi" w:eastAsia="MS Mincho" w:hAnsiTheme="minorHAnsi"/>
                <w:sz w:val="18"/>
                <w:szCs w:val="16"/>
                <w:lang w:val="sq-AL"/>
              </w:rPr>
              <w:t>649,889</w:t>
            </w:r>
          </w:p>
        </w:tc>
        <w:tc>
          <w:tcPr>
            <w:tcW w:w="0" w:type="auto"/>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000000" w:fill="FFFFFF"/>
            <w:vAlign w:val="bottom"/>
          </w:tcPr>
          <w:p w:rsidR="006308E8" w:rsidRPr="00121650" w:rsidRDefault="006308E8" w:rsidP="00121650">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16"/>
                <w:lang w:val="sq-AL"/>
              </w:rPr>
            </w:pPr>
            <w:r w:rsidRPr="00121650">
              <w:rPr>
                <w:rFonts w:asciiTheme="minorHAnsi" w:hAnsiTheme="minorHAnsi"/>
                <w:sz w:val="18"/>
                <w:szCs w:val="16"/>
                <w:lang w:val="sq-AL"/>
              </w:rPr>
              <w:t>2,820,800</w:t>
            </w:r>
          </w:p>
        </w:tc>
        <w:tc>
          <w:tcPr>
            <w:cnfStyle w:val="000010000000" w:firstRow="0" w:lastRow="0" w:firstColumn="0" w:lastColumn="0" w:oddVBand="1" w:evenVBand="0" w:oddHBand="0" w:evenHBand="0" w:firstRowFirstColumn="0" w:firstRowLastColumn="0" w:lastRowFirstColumn="0" w:lastRowLastColumn="0"/>
            <w:tcW w:w="0" w:type="auto"/>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auto"/>
            <w:vAlign w:val="bottom"/>
          </w:tcPr>
          <w:p w:rsidR="006308E8" w:rsidRPr="00121650" w:rsidRDefault="006308E8" w:rsidP="00121650">
            <w:pPr>
              <w:jc w:val="center"/>
              <w:rPr>
                <w:rFonts w:asciiTheme="minorHAnsi" w:hAnsiTheme="minorHAnsi"/>
                <w:sz w:val="18"/>
                <w:szCs w:val="16"/>
                <w:lang w:val="sq-AL"/>
              </w:rPr>
            </w:pPr>
            <w:r w:rsidRPr="00121650">
              <w:rPr>
                <w:rFonts w:asciiTheme="minorHAnsi" w:hAnsiTheme="minorHAnsi"/>
                <w:sz w:val="18"/>
                <w:szCs w:val="16"/>
                <w:lang w:val="sq-AL"/>
              </w:rPr>
              <w:t>194,571</w:t>
            </w:r>
          </w:p>
        </w:tc>
        <w:tc>
          <w:tcPr>
            <w:tcW w:w="0" w:type="auto"/>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auto"/>
            <w:vAlign w:val="bottom"/>
          </w:tcPr>
          <w:p w:rsidR="006308E8" w:rsidRPr="00121650" w:rsidRDefault="006308E8" w:rsidP="00121650">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16"/>
                <w:lang w:val="sq-AL"/>
              </w:rPr>
            </w:pPr>
            <w:r w:rsidRPr="00121650">
              <w:rPr>
                <w:rFonts w:asciiTheme="minorHAnsi" w:hAnsiTheme="minorHAnsi"/>
                <w:sz w:val="18"/>
                <w:szCs w:val="16"/>
                <w:lang w:val="sq-AL"/>
              </w:rPr>
              <w:t>75,250</w:t>
            </w:r>
          </w:p>
        </w:tc>
        <w:tc>
          <w:tcPr>
            <w:cnfStyle w:val="000010000000" w:firstRow="0" w:lastRow="0" w:firstColumn="0" w:lastColumn="0" w:oddVBand="1" w:evenVBand="0" w:oddHBand="0" w:evenHBand="0" w:firstRowFirstColumn="0" w:firstRowLastColumn="0" w:lastRowFirstColumn="0" w:lastRowLastColumn="0"/>
            <w:tcW w:w="0" w:type="auto"/>
            <w:tcBorders>
              <w:left w:val="single" w:sz="4" w:space="0" w:color="4F81BD" w:themeColor="accent1"/>
              <w:right w:val="single" w:sz="4" w:space="0" w:color="4F81BD" w:themeColor="accent1"/>
            </w:tcBorders>
            <w:shd w:val="clear" w:color="auto" w:fill="auto"/>
            <w:vAlign w:val="bottom"/>
          </w:tcPr>
          <w:p w:rsidR="006308E8" w:rsidRPr="00121650" w:rsidRDefault="006308E8" w:rsidP="00121650">
            <w:pPr>
              <w:spacing w:line="276" w:lineRule="auto"/>
              <w:jc w:val="center"/>
              <w:rPr>
                <w:rFonts w:asciiTheme="minorHAnsi" w:eastAsia="MS Mincho" w:hAnsiTheme="minorHAnsi"/>
                <w:sz w:val="18"/>
                <w:szCs w:val="16"/>
                <w:lang w:val="sq-AL"/>
              </w:rPr>
            </w:pPr>
            <w:r w:rsidRPr="00121650">
              <w:rPr>
                <w:rFonts w:asciiTheme="minorHAnsi" w:eastAsia="MS Mincho" w:hAnsiTheme="minorHAnsi"/>
                <w:sz w:val="18"/>
                <w:szCs w:val="16"/>
                <w:lang w:val="sq-AL"/>
              </w:rPr>
              <w:t>29.9</w:t>
            </w:r>
          </w:p>
        </w:tc>
        <w:tc>
          <w:tcPr>
            <w:tcW w:w="0" w:type="auto"/>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auto"/>
            <w:vAlign w:val="bottom"/>
          </w:tcPr>
          <w:p w:rsidR="006308E8" w:rsidRPr="00121650" w:rsidRDefault="006308E8" w:rsidP="00121650">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16"/>
                <w:lang w:val="sq-AL"/>
              </w:rPr>
            </w:pPr>
            <w:r w:rsidRPr="00121650">
              <w:rPr>
                <w:rFonts w:asciiTheme="minorHAnsi" w:hAnsiTheme="minorHAnsi"/>
                <w:sz w:val="18"/>
                <w:szCs w:val="16"/>
                <w:lang w:val="sq-AL"/>
              </w:rPr>
              <w:t>2.7</w:t>
            </w:r>
          </w:p>
        </w:tc>
      </w:tr>
      <w:tr w:rsidR="006308E8" w:rsidRPr="00121650" w:rsidTr="002124D1">
        <w:trPr>
          <w:cnfStyle w:val="000000100000" w:firstRow="0" w:lastRow="0" w:firstColumn="0" w:lastColumn="0" w:oddVBand="0" w:evenVBand="0" w:oddHBand="1" w:evenHBand="0" w:firstRowFirstColumn="0" w:firstRowLastColumn="0" w:lastRowFirstColumn="0" w:lastRowLastColumn="0"/>
          <w:trHeight w:val="285"/>
          <w:jc w:val="center"/>
        </w:trPr>
        <w:tc>
          <w:tcPr>
            <w:cnfStyle w:val="000010000000" w:firstRow="0" w:lastRow="0" w:firstColumn="0" w:lastColumn="0" w:oddVBand="1" w:evenVBand="0" w:oddHBand="0" w:evenHBand="0" w:firstRowFirstColumn="0" w:firstRowLastColumn="0" w:lastRowFirstColumn="0" w:lastRowLastColumn="0"/>
            <w:tcW w:w="0" w:type="auto"/>
          </w:tcPr>
          <w:p w:rsidR="006308E8" w:rsidRPr="00121650" w:rsidRDefault="006308E8" w:rsidP="00121650">
            <w:pPr>
              <w:spacing w:line="276" w:lineRule="auto"/>
              <w:jc w:val="center"/>
              <w:rPr>
                <w:rFonts w:asciiTheme="minorHAnsi" w:hAnsiTheme="minorHAnsi"/>
                <w:sz w:val="18"/>
                <w:szCs w:val="16"/>
                <w:lang w:val="sq-AL"/>
              </w:rPr>
            </w:pPr>
            <w:r w:rsidRPr="00121650">
              <w:rPr>
                <w:rFonts w:asciiTheme="minorHAnsi" w:hAnsiTheme="minorHAnsi"/>
                <w:sz w:val="18"/>
                <w:szCs w:val="16"/>
                <w:lang w:val="sq-AL"/>
              </w:rPr>
              <w:t>5.</w:t>
            </w:r>
          </w:p>
        </w:tc>
        <w:tc>
          <w:tcPr>
            <w:tcW w:w="0" w:type="auto"/>
            <w:tcBorders>
              <w:bottom w:val="single" w:sz="4" w:space="0" w:color="4F81BD" w:themeColor="accent1"/>
              <w:right w:val="single" w:sz="4" w:space="0" w:color="4F81BD" w:themeColor="accent1"/>
            </w:tcBorders>
          </w:tcPr>
          <w:p w:rsidR="006308E8" w:rsidRPr="00121650" w:rsidRDefault="006308E8" w:rsidP="00121650">
            <w:pPr>
              <w:spacing w:line="276" w:lineRule="auto"/>
              <w:cnfStyle w:val="000000100000" w:firstRow="0" w:lastRow="0" w:firstColumn="0" w:lastColumn="0" w:oddVBand="0" w:evenVBand="0" w:oddHBand="1" w:evenHBand="0" w:firstRowFirstColumn="0" w:firstRowLastColumn="0" w:lastRowFirstColumn="0" w:lastRowLastColumn="0"/>
              <w:rPr>
                <w:rFonts w:asciiTheme="minorHAnsi" w:eastAsia="Cambria" w:hAnsiTheme="minorHAnsi"/>
                <w:sz w:val="18"/>
                <w:szCs w:val="16"/>
                <w:lang w:val="sq-AL"/>
              </w:rPr>
            </w:pPr>
            <w:r w:rsidRPr="00121650">
              <w:rPr>
                <w:rFonts w:asciiTheme="minorHAnsi" w:eastAsia="Cambria" w:hAnsiTheme="minorHAnsi"/>
                <w:sz w:val="18"/>
                <w:szCs w:val="16"/>
                <w:lang w:val="sq-AL"/>
              </w:rPr>
              <w:t>Zhvillimi Rural duke mbësht. Prodh. Bujq, Blek, Agroind dhe Market.</w:t>
            </w:r>
          </w:p>
        </w:tc>
        <w:tc>
          <w:tcPr>
            <w:cnfStyle w:val="000010000000" w:firstRow="0" w:lastRow="0" w:firstColumn="0" w:lastColumn="0" w:oddVBand="1" w:evenVBand="0" w:oddHBand="0" w:evenHBand="0" w:firstRowFirstColumn="0" w:firstRowLastColumn="0" w:lastRowFirstColumn="0" w:lastRowLastColumn="0"/>
            <w:tcW w:w="0" w:type="auto"/>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auto"/>
            <w:vAlign w:val="bottom"/>
          </w:tcPr>
          <w:p w:rsidR="006308E8" w:rsidRPr="00121650" w:rsidRDefault="006308E8" w:rsidP="00121650">
            <w:pPr>
              <w:spacing w:line="276" w:lineRule="auto"/>
              <w:jc w:val="center"/>
              <w:rPr>
                <w:rFonts w:asciiTheme="minorHAnsi" w:eastAsia="MS Mincho" w:hAnsiTheme="minorHAnsi"/>
                <w:sz w:val="18"/>
                <w:szCs w:val="16"/>
                <w:lang w:val="sq-AL"/>
              </w:rPr>
            </w:pPr>
            <w:r w:rsidRPr="00121650">
              <w:rPr>
                <w:rFonts w:asciiTheme="minorHAnsi" w:eastAsia="MS Mincho" w:hAnsiTheme="minorHAnsi"/>
                <w:sz w:val="18"/>
                <w:szCs w:val="16"/>
                <w:lang w:val="sq-AL"/>
              </w:rPr>
              <w:t>1,120,500</w:t>
            </w:r>
          </w:p>
        </w:tc>
        <w:tc>
          <w:tcPr>
            <w:tcW w:w="0" w:type="auto"/>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000000" w:fill="FFFFFF"/>
            <w:vAlign w:val="bottom"/>
          </w:tcPr>
          <w:p w:rsidR="006308E8" w:rsidRPr="00121650" w:rsidRDefault="006308E8" w:rsidP="00121650">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16"/>
                <w:lang w:val="sq-AL"/>
              </w:rPr>
            </w:pPr>
            <w:r w:rsidRPr="00121650">
              <w:rPr>
                <w:rFonts w:asciiTheme="minorHAnsi" w:hAnsiTheme="minorHAnsi"/>
                <w:sz w:val="18"/>
                <w:szCs w:val="16"/>
                <w:lang w:val="sq-AL"/>
              </w:rPr>
              <w:t>2,540,443</w:t>
            </w:r>
          </w:p>
        </w:tc>
        <w:tc>
          <w:tcPr>
            <w:cnfStyle w:val="000010000000" w:firstRow="0" w:lastRow="0" w:firstColumn="0" w:lastColumn="0" w:oddVBand="1" w:evenVBand="0" w:oddHBand="0" w:evenHBand="0" w:firstRowFirstColumn="0" w:firstRowLastColumn="0" w:lastRowFirstColumn="0" w:lastRowLastColumn="0"/>
            <w:tcW w:w="0" w:type="auto"/>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auto"/>
            <w:vAlign w:val="bottom"/>
          </w:tcPr>
          <w:p w:rsidR="006308E8" w:rsidRPr="00121650" w:rsidRDefault="006308E8" w:rsidP="00121650">
            <w:pPr>
              <w:jc w:val="center"/>
              <w:rPr>
                <w:rFonts w:asciiTheme="minorHAnsi" w:hAnsiTheme="minorHAnsi"/>
                <w:sz w:val="18"/>
                <w:szCs w:val="16"/>
                <w:lang w:val="sq-AL"/>
              </w:rPr>
            </w:pPr>
            <w:r w:rsidRPr="00121650">
              <w:rPr>
                <w:rFonts w:asciiTheme="minorHAnsi" w:hAnsiTheme="minorHAnsi"/>
                <w:sz w:val="18"/>
                <w:szCs w:val="16"/>
                <w:lang w:val="sq-AL"/>
              </w:rPr>
              <w:t>80,769</w:t>
            </w:r>
          </w:p>
        </w:tc>
        <w:tc>
          <w:tcPr>
            <w:tcW w:w="0" w:type="auto"/>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000000" w:fill="FFFFFF"/>
            <w:vAlign w:val="bottom"/>
          </w:tcPr>
          <w:p w:rsidR="006308E8" w:rsidRPr="00121650" w:rsidRDefault="006308E8" w:rsidP="00121650">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16"/>
                <w:lang w:val="sq-AL"/>
              </w:rPr>
            </w:pPr>
            <w:r w:rsidRPr="00121650">
              <w:rPr>
                <w:rFonts w:asciiTheme="minorHAnsi" w:hAnsiTheme="minorHAnsi"/>
                <w:sz w:val="18"/>
                <w:szCs w:val="16"/>
                <w:lang w:val="sq-AL"/>
              </w:rPr>
              <w:t>162,925</w:t>
            </w:r>
          </w:p>
        </w:tc>
        <w:tc>
          <w:tcPr>
            <w:cnfStyle w:val="000010000000" w:firstRow="0" w:lastRow="0" w:firstColumn="0" w:lastColumn="0" w:oddVBand="1" w:evenVBand="0" w:oddHBand="0" w:evenHBand="0" w:firstRowFirstColumn="0" w:firstRowLastColumn="0" w:lastRowFirstColumn="0" w:lastRowLastColumn="0"/>
            <w:tcW w:w="0" w:type="auto"/>
            <w:tcBorders>
              <w:left w:val="single" w:sz="4" w:space="0" w:color="4F81BD" w:themeColor="accent1"/>
              <w:right w:val="single" w:sz="4" w:space="0" w:color="4F81BD" w:themeColor="accent1"/>
            </w:tcBorders>
            <w:shd w:val="clear" w:color="auto" w:fill="auto"/>
            <w:vAlign w:val="bottom"/>
          </w:tcPr>
          <w:p w:rsidR="006308E8" w:rsidRPr="00121650" w:rsidRDefault="006308E8" w:rsidP="00121650">
            <w:pPr>
              <w:spacing w:line="276" w:lineRule="auto"/>
              <w:jc w:val="center"/>
              <w:rPr>
                <w:rFonts w:asciiTheme="minorHAnsi" w:eastAsia="MS Mincho" w:hAnsiTheme="minorHAnsi"/>
                <w:sz w:val="18"/>
                <w:szCs w:val="16"/>
                <w:lang w:val="sq-AL"/>
              </w:rPr>
            </w:pPr>
            <w:r w:rsidRPr="00121650">
              <w:rPr>
                <w:rFonts w:asciiTheme="minorHAnsi" w:eastAsia="MS Mincho" w:hAnsiTheme="minorHAnsi"/>
                <w:sz w:val="18"/>
                <w:szCs w:val="16"/>
                <w:lang w:val="sq-AL"/>
              </w:rPr>
              <w:t>7.2</w:t>
            </w:r>
          </w:p>
        </w:tc>
        <w:tc>
          <w:tcPr>
            <w:tcW w:w="0" w:type="auto"/>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auto"/>
            <w:vAlign w:val="bottom"/>
          </w:tcPr>
          <w:p w:rsidR="006308E8" w:rsidRPr="00121650" w:rsidRDefault="006308E8" w:rsidP="00121650">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16"/>
                <w:lang w:val="sq-AL"/>
              </w:rPr>
            </w:pPr>
            <w:r w:rsidRPr="00121650">
              <w:rPr>
                <w:rFonts w:asciiTheme="minorHAnsi" w:hAnsiTheme="minorHAnsi"/>
                <w:sz w:val="18"/>
                <w:szCs w:val="16"/>
                <w:lang w:val="sq-AL"/>
              </w:rPr>
              <w:t>6.4</w:t>
            </w:r>
          </w:p>
        </w:tc>
      </w:tr>
      <w:tr w:rsidR="006308E8" w:rsidRPr="00121650" w:rsidTr="002124D1">
        <w:trPr>
          <w:trHeight w:val="231"/>
          <w:jc w:val="center"/>
        </w:trPr>
        <w:tc>
          <w:tcPr>
            <w:cnfStyle w:val="000010000000" w:firstRow="0" w:lastRow="0" w:firstColumn="0" w:lastColumn="0" w:oddVBand="1" w:evenVBand="0" w:oddHBand="0" w:evenHBand="0" w:firstRowFirstColumn="0" w:firstRowLastColumn="0" w:lastRowFirstColumn="0" w:lastRowLastColumn="0"/>
            <w:tcW w:w="0" w:type="auto"/>
          </w:tcPr>
          <w:p w:rsidR="006308E8" w:rsidRPr="00121650" w:rsidRDefault="006308E8" w:rsidP="00121650">
            <w:pPr>
              <w:spacing w:line="276" w:lineRule="auto"/>
              <w:jc w:val="center"/>
              <w:rPr>
                <w:rFonts w:asciiTheme="minorHAnsi" w:hAnsiTheme="minorHAnsi"/>
                <w:sz w:val="18"/>
                <w:szCs w:val="16"/>
                <w:lang w:val="sq-AL"/>
              </w:rPr>
            </w:pPr>
            <w:r w:rsidRPr="00121650">
              <w:rPr>
                <w:rFonts w:asciiTheme="minorHAnsi" w:hAnsiTheme="minorHAnsi"/>
                <w:sz w:val="18"/>
                <w:szCs w:val="16"/>
                <w:lang w:val="sq-AL"/>
              </w:rPr>
              <w:t>6.</w:t>
            </w:r>
          </w:p>
        </w:tc>
        <w:tc>
          <w:tcPr>
            <w:tcW w:w="0" w:type="auto"/>
            <w:tcBorders>
              <w:top w:val="single" w:sz="4" w:space="0" w:color="4F81BD" w:themeColor="accent1"/>
              <w:right w:val="single" w:sz="4" w:space="0" w:color="4F81BD" w:themeColor="accent1"/>
            </w:tcBorders>
          </w:tcPr>
          <w:p w:rsidR="006308E8" w:rsidRPr="00121650" w:rsidRDefault="006308E8" w:rsidP="00121650">
            <w:pPr>
              <w:spacing w:line="276" w:lineRule="auto"/>
              <w:cnfStyle w:val="000000000000" w:firstRow="0" w:lastRow="0" w:firstColumn="0" w:lastColumn="0" w:oddVBand="0" w:evenVBand="0" w:oddHBand="0" w:evenHBand="0" w:firstRowFirstColumn="0" w:firstRowLastColumn="0" w:lastRowFirstColumn="0" w:lastRowLastColumn="0"/>
              <w:rPr>
                <w:rFonts w:asciiTheme="minorHAnsi" w:eastAsia="Cambria" w:hAnsiTheme="minorHAnsi"/>
                <w:sz w:val="18"/>
                <w:szCs w:val="16"/>
                <w:lang w:val="sq-AL"/>
              </w:rPr>
            </w:pPr>
            <w:r w:rsidRPr="00121650">
              <w:rPr>
                <w:rFonts w:asciiTheme="minorHAnsi" w:eastAsia="Cambria" w:hAnsiTheme="minorHAnsi"/>
                <w:sz w:val="18"/>
                <w:szCs w:val="16"/>
                <w:lang w:val="sq-AL"/>
              </w:rPr>
              <w:t>Këshillimi dhe Informacioni Bujqësor</w:t>
            </w:r>
          </w:p>
        </w:tc>
        <w:tc>
          <w:tcPr>
            <w:cnfStyle w:val="000010000000" w:firstRow="0" w:lastRow="0" w:firstColumn="0" w:lastColumn="0" w:oddVBand="1" w:evenVBand="0" w:oddHBand="0" w:evenHBand="0" w:firstRowFirstColumn="0" w:firstRowLastColumn="0" w:lastRowFirstColumn="0" w:lastRowLastColumn="0"/>
            <w:tcW w:w="0" w:type="auto"/>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auto"/>
            <w:vAlign w:val="bottom"/>
          </w:tcPr>
          <w:p w:rsidR="006308E8" w:rsidRPr="00121650" w:rsidRDefault="006308E8" w:rsidP="00121650">
            <w:pPr>
              <w:spacing w:line="276" w:lineRule="auto"/>
              <w:jc w:val="center"/>
              <w:rPr>
                <w:rFonts w:asciiTheme="minorHAnsi" w:eastAsia="MS Mincho" w:hAnsiTheme="minorHAnsi"/>
                <w:sz w:val="18"/>
                <w:szCs w:val="16"/>
                <w:lang w:val="sq-AL"/>
              </w:rPr>
            </w:pPr>
            <w:r w:rsidRPr="00121650">
              <w:rPr>
                <w:rFonts w:asciiTheme="minorHAnsi" w:eastAsia="MS Mincho" w:hAnsiTheme="minorHAnsi"/>
                <w:sz w:val="18"/>
                <w:szCs w:val="16"/>
                <w:lang w:val="sq-AL"/>
              </w:rPr>
              <w:t>481,477</w:t>
            </w:r>
          </w:p>
        </w:tc>
        <w:tc>
          <w:tcPr>
            <w:tcW w:w="0" w:type="auto"/>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000000" w:fill="FFFFFF"/>
            <w:vAlign w:val="bottom"/>
          </w:tcPr>
          <w:p w:rsidR="006308E8" w:rsidRPr="00121650" w:rsidRDefault="006308E8" w:rsidP="00121650">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16"/>
                <w:lang w:val="sq-AL"/>
              </w:rPr>
            </w:pPr>
            <w:r w:rsidRPr="00121650">
              <w:rPr>
                <w:rFonts w:asciiTheme="minorHAnsi" w:hAnsiTheme="minorHAnsi"/>
                <w:sz w:val="18"/>
                <w:szCs w:val="16"/>
                <w:lang w:val="sq-AL"/>
              </w:rPr>
              <w:t>16,000</w:t>
            </w:r>
          </w:p>
        </w:tc>
        <w:tc>
          <w:tcPr>
            <w:cnfStyle w:val="000010000000" w:firstRow="0" w:lastRow="0" w:firstColumn="0" w:lastColumn="0" w:oddVBand="1" w:evenVBand="0" w:oddHBand="0" w:evenHBand="0" w:firstRowFirstColumn="0" w:firstRowLastColumn="0" w:lastRowFirstColumn="0" w:lastRowLastColumn="0"/>
            <w:tcW w:w="0" w:type="auto"/>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auto"/>
            <w:vAlign w:val="bottom"/>
          </w:tcPr>
          <w:p w:rsidR="006308E8" w:rsidRPr="00121650" w:rsidRDefault="006308E8" w:rsidP="00121650">
            <w:pPr>
              <w:jc w:val="center"/>
              <w:rPr>
                <w:rFonts w:asciiTheme="minorHAnsi" w:hAnsiTheme="minorHAnsi"/>
                <w:sz w:val="18"/>
                <w:szCs w:val="16"/>
                <w:lang w:val="sq-AL"/>
              </w:rPr>
            </w:pPr>
            <w:r w:rsidRPr="00121650">
              <w:rPr>
                <w:rFonts w:asciiTheme="minorHAnsi" w:hAnsiTheme="minorHAnsi"/>
                <w:sz w:val="18"/>
                <w:szCs w:val="16"/>
                <w:lang w:val="sq-AL"/>
              </w:rPr>
              <w:t>125,850</w:t>
            </w:r>
          </w:p>
        </w:tc>
        <w:tc>
          <w:tcPr>
            <w:tcW w:w="0" w:type="auto"/>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000000" w:fill="FFFFFF"/>
            <w:vAlign w:val="bottom"/>
          </w:tcPr>
          <w:p w:rsidR="006308E8" w:rsidRPr="00121650" w:rsidRDefault="006308E8" w:rsidP="00121650">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16"/>
                <w:lang w:val="sq-AL"/>
              </w:rPr>
            </w:pPr>
            <w:r w:rsidRPr="00121650">
              <w:rPr>
                <w:rFonts w:asciiTheme="minorHAnsi" w:hAnsiTheme="minorHAnsi"/>
                <w:sz w:val="18"/>
                <w:szCs w:val="16"/>
                <w:lang w:val="sq-AL"/>
              </w:rPr>
              <w:t>-</w:t>
            </w:r>
          </w:p>
        </w:tc>
        <w:tc>
          <w:tcPr>
            <w:cnfStyle w:val="000010000000" w:firstRow="0" w:lastRow="0" w:firstColumn="0" w:lastColumn="0" w:oddVBand="1" w:evenVBand="0" w:oddHBand="0" w:evenHBand="0" w:firstRowFirstColumn="0" w:firstRowLastColumn="0" w:lastRowFirstColumn="0" w:lastRowLastColumn="0"/>
            <w:tcW w:w="0" w:type="auto"/>
            <w:tcBorders>
              <w:left w:val="single" w:sz="4" w:space="0" w:color="4F81BD" w:themeColor="accent1"/>
              <w:bottom w:val="single" w:sz="4" w:space="0" w:color="4F81BD" w:themeColor="accent1"/>
              <w:right w:val="single" w:sz="4" w:space="0" w:color="4F81BD" w:themeColor="accent1"/>
            </w:tcBorders>
            <w:shd w:val="clear" w:color="auto" w:fill="auto"/>
            <w:vAlign w:val="bottom"/>
          </w:tcPr>
          <w:p w:rsidR="006308E8" w:rsidRPr="00121650" w:rsidRDefault="006308E8" w:rsidP="00121650">
            <w:pPr>
              <w:spacing w:line="276" w:lineRule="auto"/>
              <w:jc w:val="center"/>
              <w:rPr>
                <w:rFonts w:asciiTheme="minorHAnsi" w:eastAsia="MS Mincho" w:hAnsiTheme="minorHAnsi"/>
                <w:sz w:val="18"/>
                <w:szCs w:val="16"/>
                <w:lang w:val="sq-AL"/>
              </w:rPr>
            </w:pPr>
            <w:r w:rsidRPr="00121650">
              <w:rPr>
                <w:rFonts w:asciiTheme="minorHAnsi" w:eastAsia="MS Mincho" w:hAnsiTheme="minorHAnsi"/>
                <w:sz w:val="18"/>
                <w:szCs w:val="16"/>
                <w:lang w:val="sq-AL"/>
              </w:rPr>
              <w:t>26.1</w:t>
            </w:r>
          </w:p>
        </w:tc>
        <w:tc>
          <w:tcPr>
            <w:tcW w:w="0" w:type="auto"/>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auto"/>
            <w:vAlign w:val="bottom"/>
          </w:tcPr>
          <w:p w:rsidR="006308E8" w:rsidRPr="00121650" w:rsidRDefault="006308E8" w:rsidP="00121650">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16"/>
                <w:lang w:val="sq-AL"/>
              </w:rPr>
            </w:pPr>
            <w:r w:rsidRPr="00121650">
              <w:rPr>
                <w:rFonts w:asciiTheme="minorHAnsi" w:hAnsiTheme="minorHAnsi"/>
                <w:sz w:val="18"/>
                <w:szCs w:val="16"/>
                <w:lang w:val="sq-AL"/>
              </w:rPr>
              <w:t>-</w:t>
            </w:r>
          </w:p>
        </w:tc>
      </w:tr>
      <w:tr w:rsidR="006308E8" w:rsidRPr="00121650" w:rsidTr="002124D1">
        <w:trPr>
          <w:cnfStyle w:val="000000100000" w:firstRow="0" w:lastRow="0" w:firstColumn="0" w:lastColumn="0" w:oddVBand="0" w:evenVBand="0" w:oddHBand="1" w:evenHBand="0" w:firstRowFirstColumn="0" w:firstRowLastColumn="0" w:lastRowFirstColumn="0" w:lastRowLastColumn="0"/>
          <w:trHeight w:val="261"/>
          <w:jc w:val="center"/>
        </w:trPr>
        <w:tc>
          <w:tcPr>
            <w:cnfStyle w:val="000010000000" w:firstRow="0" w:lastRow="0" w:firstColumn="0" w:lastColumn="0" w:oddVBand="1" w:evenVBand="0" w:oddHBand="0" w:evenHBand="0" w:firstRowFirstColumn="0" w:firstRowLastColumn="0" w:lastRowFirstColumn="0" w:lastRowLastColumn="0"/>
            <w:tcW w:w="0" w:type="auto"/>
          </w:tcPr>
          <w:p w:rsidR="006308E8" w:rsidRPr="00121650" w:rsidRDefault="006308E8" w:rsidP="00121650">
            <w:pPr>
              <w:spacing w:line="276" w:lineRule="auto"/>
              <w:jc w:val="center"/>
              <w:rPr>
                <w:rFonts w:asciiTheme="minorHAnsi" w:hAnsiTheme="minorHAnsi"/>
                <w:sz w:val="18"/>
                <w:szCs w:val="16"/>
                <w:lang w:val="sq-AL"/>
              </w:rPr>
            </w:pPr>
            <w:r w:rsidRPr="00121650">
              <w:rPr>
                <w:rFonts w:asciiTheme="minorHAnsi" w:hAnsiTheme="minorHAnsi"/>
                <w:sz w:val="18"/>
                <w:szCs w:val="16"/>
                <w:lang w:val="sq-AL"/>
              </w:rPr>
              <w:t>7.</w:t>
            </w:r>
          </w:p>
        </w:tc>
        <w:tc>
          <w:tcPr>
            <w:tcW w:w="0" w:type="auto"/>
            <w:tcBorders>
              <w:right w:val="single" w:sz="4" w:space="0" w:color="4F81BD" w:themeColor="accent1"/>
            </w:tcBorders>
          </w:tcPr>
          <w:p w:rsidR="006308E8" w:rsidRPr="00121650" w:rsidRDefault="006308E8" w:rsidP="00121650">
            <w:pPr>
              <w:spacing w:line="276" w:lineRule="auto"/>
              <w:cnfStyle w:val="000000100000" w:firstRow="0" w:lastRow="0" w:firstColumn="0" w:lastColumn="0" w:oddVBand="0" w:evenVBand="0" w:oddHBand="1" w:evenHBand="0" w:firstRowFirstColumn="0" w:firstRowLastColumn="0" w:lastRowFirstColumn="0" w:lastRowLastColumn="0"/>
              <w:rPr>
                <w:rFonts w:asciiTheme="minorHAnsi" w:eastAsia="Cambria" w:hAnsiTheme="minorHAnsi"/>
                <w:sz w:val="18"/>
                <w:szCs w:val="16"/>
                <w:lang w:val="sq-AL"/>
              </w:rPr>
            </w:pPr>
            <w:r w:rsidRPr="00121650">
              <w:rPr>
                <w:rFonts w:asciiTheme="minorHAnsi" w:eastAsia="Cambria" w:hAnsiTheme="minorHAnsi"/>
                <w:sz w:val="18"/>
                <w:szCs w:val="16"/>
                <w:lang w:val="sq-AL"/>
              </w:rPr>
              <w:t>Menaxhimi qëndrueshëm i tokës bujqësore</w:t>
            </w:r>
          </w:p>
        </w:tc>
        <w:tc>
          <w:tcPr>
            <w:cnfStyle w:val="000010000000" w:firstRow="0" w:lastRow="0" w:firstColumn="0" w:lastColumn="0" w:oddVBand="1" w:evenVBand="0" w:oddHBand="0" w:evenHBand="0" w:firstRowFirstColumn="0" w:firstRowLastColumn="0" w:lastRowFirstColumn="0" w:lastRowLastColumn="0"/>
            <w:tcW w:w="0" w:type="auto"/>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auto"/>
            <w:vAlign w:val="bottom"/>
          </w:tcPr>
          <w:p w:rsidR="006308E8" w:rsidRPr="00121650" w:rsidRDefault="006308E8" w:rsidP="00121650">
            <w:pPr>
              <w:spacing w:line="276" w:lineRule="auto"/>
              <w:jc w:val="center"/>
              <w:rPr>
                <w:rFonts w:asciiTheme="minorHAnsi" w:eastAsia="MS Mincho" w:hAnsiTheme="minorHAnsi"/>
                <w:sz w:val="18"/>
                <w:szCs w:val="16"/>
                <w:lang w:val="sq-AL"/>
              </w:rPr>
            </w:pPr>
            <w:r w:rsidRPr="00121650">
              <w:rPr>
                <w:rFonts w:asciiTheme="minorHAnsi" w:eastAsia="MS Mincho" w:hAnsiTheme="minorHAnsi"/>
                <w:sz w:val="18"/>
                <w:szCs w:val="16"/>
                <w:lang w:val="sq-AL"/>
              </w:rPr>
              <w:t>22,000</w:t>
            </w:r>
          </w:p>
        </w:tc>
        <w:tc>
          <w:tcPr>
            <w:tcW w:w="0" w:type="auto"/>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000000" w:fill="FFFFFF"/>
            <w:vAlign w:val="bottom"/>
          </w:tcPr>
          <w:p w:rsidR="006308E8" w:rsidRPr="00121650" w:rsidRDefault="006308E8" w:rsidP="00121650">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16"/>
                <w:lang w:val="sq-AL"/>
              </w:rPr>
            </w:pPr>
            <w:r w:rsidRPr="00121650">
              <w:rPr>
                <w:rFonts w:asciiTheme="minorHAnsi" w:hAnsiTheme="minorHAnsi"/>
                <w:sz w:val="18"/>
                <w:szCs w:val="16"/>
                <w:lang w:val="sq-AL"/>
              </w:rPr>
              <w:t>0</w:t>
            </w:r>
          </w:p>
        </w:tc>
        <w:tc>
          <w:tcPr>
            <w:cnfStyle w:val="000010000000" w:firstRow="0" w:lastRow="0" w:firstColumn="0" w:lastColumn="0" w:oddVBand="1" w:evenVBand="0" w:oddHBand="0" w:evenHBand="0" w:firstRowFirstColumn="0" w:firstRowLastColumn="0" w:lastRowFirstColumn="0" w:lastRowLastColumn="0"/>
            <w:tcW w:w="0" w:type="auto"/>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auto"/>
            <w:vAlign w:val="bottom"/>
          </w:tcPr>
          <w:p w:rsidR="006308E8" w:rsidRPr="00121650" w:rsidRDefault="006308E8" w:rsidP="00121650">
            <w:pPr>
              <w:jc w:val="center"/>
              <w:rPr>
                <w:rFonts w:asciiTheme="minorHAnsi" w:hAnsiTheme="minorHAnsi"/>
                <w:sz w:val="18"/>
                <w:szCs w:val="16"/>
                <w:lang w:val="sq-AL"/>
              </w:rPr>
            </w:pPr>
            <w:r w:rsidRPr="00121650">
              <w:rPr>
                <w:rFonts w:asciiTheme="minorHAnsi" w:hAnsiTheme="minorHAnsi"/>
                <w:sz w:val="18"/>
                <w:szCs w:val="16"/>
                <w:lang w:val="sq-AL"/>
              </w:rPr>
              <w:t>25</w:t>
            </w:r>
          </w:p>
        </w:tc>
        <w:tc>
          <w:tcPr>
            <w:tcW w:w="0" w:type="auto"/>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000000" w:fill="FFFFFF"/>
            <w:vAlign w:val="bottom"/>
          </w:tcPr>
          <w:p w:rsidR="006308E8" w:rsidRPr="00121650" w:rsidRDefault="006308E8" w:rsidP="00121650">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16"/>
                <w:lang w:val="sq-AL"/>
              </w:rPr>
            </w:pPr>
          </w:p>
        </w:tc>
        <w:tc>
          <w:tcPr>
            <w:cnfStyle w:val="000010000000" w:firstRow="0" w:lastRow="0" w:firstColumn="0" w:lastColumn="0" w:oddVBand="1" w:evenVBand="0" w:oddHBand="0" w:evenHBand="0" w:firstRowFirstColumn="0" w:firstRowLastColumn="0" w:lastRowFirstColumn="0" w:lastRowLastColumn="0"/>
            <w:tcW w:w="0" w:type="auto"/>
            <w:tcBorders>
              <w:top w:val="single" w:sz="4" w:space="0" w:color="4F81BD" w:themeColor="accent1"/>
              <w:left w:val="single" w:sz="4" w:space="0" w:color="4F81BD" w:themeColor="accent1"/>
              <w:right w:val="single" w:sz="4" w:space="0" w:color="4F81BD" w:themeColor="accent1"/>
            </w:tcBorders>
            <w:shd w:val="clear" w:color="auto" w:fill="auto"/>
            <w:vAlign w:val="bottom"/>
          </w:tcPr>
          <w:p w:rsidR="006308E8" w:rsidRPr="00121650" w:rsidRDefault="006308E8" w:rsidP="00121650">
            <w:pPr>
              <w:spacing w:line="276" w:lineRule="auto"/>
              <w:jc w:val="center"/>
              <w:rPr>
                <w:rFonts w:asciiTheme="minorHAnsi" w:eastAsia="MS Mincho" w:hAnsiTheme="minorHAnsi"/>
                <w:sz w:val="18"/>
                <w:szCs w:val="16"/>
                <w:lang w:val="sq-AL"/>
              </w:rPr>
            </w:pPr>
            <w:r w:rsidRPr="00121650">
              <w:rPr>
                <w:rFonts w:asciiTheme="minorHAnsi" w:eastAsia="MS Mincho" w:hAnsiTheme="minorHAnsi"/>
                <w:sz w:val="18"/>
                <w:szCs w:val="16"/>
                <w:lang w:val="sq-AL"/>
              </w:rPr>
              <w:t>0.1</w:t>
            </w:r>
          </w:p>
        </w:tc>
        <w:tc>
          <w:tcPr>
            <w:tcW w:w="0" w:type="auto"/>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auto"/>
            <w:vAlign w:val="bottom"/>
          </w:tcPr>
          <w:p w:rsidR="006308E8" w:rsidRPr="00121650" w:rsidRDefault="006308E8" w:rsidP="00121650">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16"/>
                <w:lang w:val="sq-AL"/>
              </w:rPr>
            </w:pPr>
            <w:r w:rsidRPr="00121650">
              <w:rPr>
                <w:rFonts w:asciiTheme="minorHAnsi" w:hAnsiTheme="minorHAnsi"/>
                <w:sz w:val="18"/>
                <w:szCs w:val="16"/>
                <w:lang w:val="sq-AL"/>
              </w:rPr>
              <w:t>-</w:t>
            </w:r>
          </w:p>
        </w:tc>
      </w:tr>
      <w:tr w:rsidR="006308E8" w:rsidRPr="00121650" w:rsidTr="002124D1">
        <w:trPr>
          <w:trHeight w:val="215"/>
          <w:jc w:val="center"/>
        </w:trPr>
        <w:tc>
          <w:tcPr>
            <w:cnfStyle w:val="000010000000" w:firstRow="0" w:lastRow="0" w:firstColumn="0" w:lastColumn="0" w:oddVBand="1" w:evenVBand="0" w:oddHBand="0" w:evenHBand="0" w:firstRowFirstColumn="0" w:firstRowLastColumn="0" w:lastRowFirstColumn="0" w:lastRowLastColumn="0"/>
            <w:tcW w:w="0" w:type="auto"/>
          </w:tcPr>
          <w:p w:rsidR="006308E8" w:rsidRPr="00121650" w:rsidRDefault="006308E8" w:rsidP="00121650">
            <w:pPr>
              <w:spacing w:line="276" w:lineRule="auto"/>
              <w:jc w:val="center"/>
              <w:rPr>
                <w:rFonts w:asciiTheme="minorHAnsi" w:hAnsiTheme="minorHAnsi"/>
                <w:b/>
                <w:sz w:val="18"/>
                <w:lang w:val="sq-AL"/>
              </w:rPr>
            </w:pPr>
          </w:p>
        </w:tc>
        <w:tc>
          <w:tcPr>
            <w:tcW w:w="0" w:type="auto"/>
          </w:tcPr>
          <w:p w:rsidR="006308E8" w:rsidRPr="00121650" w:rsidRDefault="006308E8" w:rsidP="00121650">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b/>
                <w:sz w:val="18"/>
                <w:szCs w:val="16"/>
                <w:lang w:val="sq-AL"/>
              </w:rPr>
            </w:pPr>
            <w:r w:rsidRPr="00121650">
              <w:rPr>
                <w:rFonts w:asciiTheme="minorHAnsi" w:hAnsiTheme="minorHAnsi"/>
                <w:b/>
                <w:sz w:val="18"/>
                <w:szCs w:val="16"/>
                <w:lang w:val="sq-AL"/>
              </w:rPr>
              <w:t>TOTAL</w:t>
            </w:r>
          </w:p>
        </w:tc>
        <w:tc>
          <w:tcPr>
            <w:cnfStyle w:val="000010000000" w:firstRow="0" w:lastRow="0" w:firstColumn="0" w:lastColumn="0" w:oddVBand="1" w:evenVBand="0" w:oddHBand="0" w:evenHBand="0" w:firstRowFirstColumn="0" w:firstRowLastColumn="0" w:lastRowFirstColumn="0" w:lastRowLastColumn="0"/>
            <w:tcW w:w="0" w:type="auto"/>
            <w:tcBorders>
              <w:top w:val="single" w:sz="4" w:space="0" w:color="4F81BD" w:themeColor="accent1"/>
              <w:right w:val="single" w:sz="4" w:space="0" w:color="4F81BD" w:themeColor="accent1"/>
            </w:tcBorders>
          </w:tcPr>
          <w:p w:rsidR="006308E8" w:rsidRPr="00121650" w:rsidRDefault="006308E8" w:rsidP="00121650">
            <w:pPr>
              <w:jc w:val="right"/>
              <w:rPr>
                <w:rFonts w:asciiTheme="minorHAnsi" w:hAnsiTheme="minorHAnsi"/>
                <w:b/>
                <w:bCs/>
                <w:sz w:val="18"/>
                <w:szCs w:val="16"/>
                <w:lang w:val="sq-AL"/>
              </w:rPr>
            </w:pPr>
            <w:r w:rsidRPr="00121650">
              <w:rPr>
                <w:rFonts w:asciiTheme="minorHAnsi" w:hAnsiTheme="minorHAnsi"/>
                <w:b/>
                <w:bCs/>
                <w:sz w:val="18"/>
                <w:szCs w:val="16"/>
                <w:lang w:val="sq-AL"/>
              </w:rPr>
              <w:t>3,924,300</w:t>
            </w:r>
          </w:p>
        </w:tc>
        <w:tc>
          <w:tcPr>
            <w:tcW w:w="0" w:type="auto"/>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auto"/>
            <w:vAlign w:val="bottom"/>
          </w:tcPr>
          <w:p w:rsidR="006308E8" w:rsidRPr="00121650" w:rsidRDefault="006308E8" w:rsidP="00121650">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b/>
                <w:bCs/>
                <w:sz w:val="18"/>
                <w:szCs w:val="16"/>
                <w:lang w:val="sq-AL"/>
              </w:rPr>
            </w:pPr>
            <w:r w:rsidRPr="00121650">
              <w:rPr>
                <w:rFonts w:asciiTheme="minorHAnsi" w:hAnsiTheme="minorHAnsi"/>
                <w:b/>
                <w:bCs/>
                <w:sz w:val="18"/>
                <w:szCs w:val="16"/>
                <w:lang w:val="sq-AL"/>
              </w:rPr>
              <w:t>6,635,300</w:t>
            </w:r>
          </w:p>
        </w:tc>
        <w:tc>
          <w:tcPr>
            <w:cnfStyle w:val="000010000000" w:firstRow="0" w:lastRow="0" w:firstColumn="0" w:lastColumn="0" w:oddVBand="1" w:evenVBand="0" w:oddHBand="0" w:evenHBand="0" w:firstRowFirstColumn="0" w:firstRowLastColumn="0" w:lastRowFirstColumn="0" w:lastRowLastColumn="0"/>
            <w:tcW w:w="0" w:type="auto"/>
            <w:tcBorders>
              <w:top w:val="single" w:sz="4" w:space="0" w:color="4F81BD" w:themeColor="accent1"/>
              <w:left w:val="single" w:sz="4" w:space="0" w:color="4F81BD" w:themeColor="accent1"/>
              <w:right w:val="single" w:sz="4" w:space="0" w:color="4F81BD" w:themeColor="accent1"/>
            </w:tcBorders>
            <w:shd w:val="clear" w:color="auto" w:fill="auto"/>
            <w:vAlign w:val="bottom"/>
          </w:tcPr>
          <w:p w:rsidR="006308E8" w:rsidRPr="00121650" w:rsidRDefault="006308E8" w:rsidP="00121650">
            <w:pPr>
              <w:jc w:val="right"/>
              <w:rPr>
                <w:rFonts w:asciiTheme="minorHAnsi" w:eastAsia="MS Mincho" w:hAnsiTheme="minorHAnsi"/>
                <w:b/>
                <w:sz w:val="18"/>
                <w:szCs w:val="16"/>
                <w:lang w:val="sq-AL"/>
              </w:rPr>
            </w:pPr>
            <w:r w:rsidRPr="00121650">
              <w:rPr>
                <w:rFonts w:asciiTheme="minorHAnsi" w:eastAsia="MS Mincho" w:hAnsiTheme="minorHAnsi"/>
                <w:b/>
                <w:sz w:val="18"/>
                <w:szCs w:val="16"/>
                <w:lang w:val="sq-AL"/>
              </w:rPr>
              <w:t>779,810</w:t>
            </w:r>
          </w:p>
        </w:tc>
        <w:tc>
          <w:tcPr>
            <w:tcW w:w="0" w:type="auto"/>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auto"/>
            <w:vAlign w:val="bottom"/>
          </w:tcPr>
          <w:p w:rsidR="006308E8" w:rsidRPr="00121650" w:rsidRDefault="006308E8" w:rsidP="00121650">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b/>
                <w:bCs/>
                <w:sz w:val="18"/>
                <w:szCs w:val="16"/>
                <w:lang w:val="sq-AL"/>
              </w:rPr>
            </w:pPr>
            <w:r w:rsidRPr="00121650">
              <w:rPr>
                <w:rFonts w:asciiTheme="minorHAnsi" w:hAnsiTheme="minorHAnsi"/>
                <w:b/>
                <w:bCs/>
                <w:sz w:val="18"/>
                <w:szCs w:val="16"/>
                <w:lang w:val="sq-AL"/>
              </w:rPr>
              <w:t>312,334</w:t>
            </w:r>
          </w:p>
        </w:tc>
        <w:tc>
          <w:tcPr>
            <w:cnfStyle w:val="000010000000" w:firstRow="0" w:lastRow="0" w:firstColumn="0" w:lastColumn="0" w:oddVBand="1" w:evenVBand="0" w:oddHBand="0" w:evenHBand="0" w:firstRowFirstColumn="0" w:firstRowLastColumn="0" w:lastRowFirstColumn="0" w:lastRowLastColumn="0"/>
            <w:tcW w:w="0" w:type="auto"/>
            <w:tcBorders>
              <w:left w:val="single" w:sz="4" w:space="0" w:color="4F81BD" w:themeColor="accent1"/>
              <w:right w:val="single" w:sz="4" w:space="0" w:color="4F81BD" w:themeColor="accent1"/>
            </w:tcBorders>
            <w:shd w:val="clear" w:color="auto" w:fill="auto"/>
            <w:vAlign w:val="bottom"/>
          </w:tcPr>
          <w:p w:rsidR="006308E8" w:rsidRPr="00121650" w:rsidRDefault="006308E8" w:rsidP="00121650">
            <w:pPr>
              <w:jc w:val="right"/>
              <w:rPr>
                <w:rFonts w:asciiTheme="minorHAnsi" w:eastAsia="MS Mincho" w:hAnsiTheme="minorHAnsi"/>
                <w:b/>
                <w:sz w:val="18"/>
                <w:szCs w:val="16"/>
                <w:lang w:val="sq-AL"/>
              </w:rPr>
            </w:pPr>
            <w:r w:rsidRPr="00121650">
              <w:rPr>
                <w:rFonts w:asciiTheme="minorHAnsi" w:eastAsia="MS Mincho" w:hAnsiTheme="minorHAnsi"/>
                <w:b/>
                <w:sz w:val="18"/>
                <w:szCs w:val="16"/>
                <w:lang w:val="sq-AL"/>
              </w:rPr>
              <w:t>19.9</w:t>
            </w:r>
          </w:p>
        </w:tc>
        <w:tc>
          <w:tcPr>
            <w:tcW w:w="0" w:type="auto"/>
            <w:tcBorders>
              <w:top w:val="single" w:sz="4" w:space="0" w:color="4F81BD" w:themeColor="accent1"/>
              <w:left w:val="single" w:sz="4" w:space="0" w:color="4F81BD" w:themeColor="accent1"/>
              <w:bottom w:val="single" w:sz="4" w:space="0" w:color="auto"/>
              <w:right w:val="single" w:sz="4" w:space="0" w:color="4F81BD" w:themeColor="accent1"/>
            </w:tcBorders>
            <w:shd w:val="clear" w:color="auto" w:fill="auto"/>
            <w:vAlign w:val="bottom"/>
          </w:tcPr>
          <w:p w:rsidR="006308E8" w:rsidRPr="00121650" w:rsidRDefault="006308E8" w:rsidP="00121650">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b/>
                <w:bCs/>
                <w:sz w:val="18"/>
                <w:szCs w:val="16"/>
                <w:lang w:val="sq-AL"/>
              </w:rPr>
            </w:pPr>
            <w:r w:rsidRPr="00121650">
              <w:rPr>
                <w:rFonts w:asciiTheme="minorHAnsi" w:hAnsiTheme="minorHAnsi"/>
                <w:b/>
                <w:bCs/>
                <w:sz w:val="18"/>
                <w:szCs w:val="16"/>
                <w:lang w:val="sq-AL"/>
              </w:rPr>
              <w:t>4.7</w:t>
            </w:r>
          </w:p>
        </w:tc>
      </w:tr>
    </w:tbl>
    <w:p w:rsidR="006308E8" w:rsidRPr="00BB7F2F" w:rsidRDefault="006308E8" w:rsidP="006308E8">
      <w:pPr>
        <w:spacing w:line="276" w:lineRule="auto"/>
        <w:jc w:val="both"/>
        <w:rPr>
          <w:rFonts w:asciiTheme="minorHAnsi" w:hAnsiTheme="minorHAnsi"/>
          <w:color w:val="FF0000"/>
          <w:lang w:val="sq-AL"/>
        </w:rPr>
      </w:pPr>
    </w:p>
    <w:p w:rsidR="006308E8" w:rsidRPr="00BB7F2F" w:rsidRDefault="006308E8" w:rsidP="006308E8">
      <w:pPr>
        <w:spacing w:line="276" w:lineRule="auto"/>
        <w:jc w:val="both"/>
        <w:rPr>
          <w:rFonts w:asciiTheme="minorHAnsi" w:eastAsia="MS Mincho" w:hAnsiTheme="minorHAnsi"/>
          <w:lang w:val="sq-AL"/>
        </w:rPr>
      </w:pPr>
      <w:r w:rsidRPr="00BB7F2F">
        <w:rPr>
          <w:rFonts w:asciiTheme="minorHAnsi" w:eastAsia="MS Mincho" w:hAnsiTheme="minorHAnsi"/>
          <w:lang w:val="sq-AL"/>
        </w:rPr>
        <w:t xml:space="preserve">Në programin e </w:t>
      </w:r>
      <w:r w:rsidRPr="00BB7F2F">
        <w:rPr>
          <w:rFonts w:asciiTheme="minorHAnsi" w:eastAsia="MS Mincho" w:hAnsiTheme="minorHAnsi"/>
          <w:b/>
          <w:u w:val="single"/>
          <w:lang w:val="sq-AL"/>
        </w:rPr>
        <w:t>“Zhvillimit rural duke mbështetur prodhimin Bujqësor, Blegt</w:t>
      </w:r>
      <w:r w:rsidR="002124D1">
        <w:rPr>
          <w:rFonts w:asciiTheme="minorHAnsi" w:eastAsia="MS Mincho" w:hAnsiTheme="minorHAnsi"/>
          <w:b/>
          <w:u w:val="single"/>
          <w:lang w:val="sq-AL"/>
        </w:rPr>
        <w:t>oral, Agroindustrial dhe Marketingun</w:t>
      </w:r>
      <w:r w:rsidRPr="00BB7F2F">
        <w:rPr>
          <w:rFonts w:asciiTheme="minorHAnsi" w:eastAsia="MS Mincho" w:hAnsiTheme="minorHAnsi"/>
          <w:b/>
          <w:u w:val="single"/>
          <w:lang w:val="sq-AL"/>
        </w:rPr>
        <w:t>”</w:t>
      </w:r>
      <w:r w:rsidRPr="00BB7F2F">
        <w:rPr>
          <w:rFonts w:asciiTheme="minorHAnsi" w:eastAsia="MS Mincho" w:hAnsiTheme="minorHAnsi"/>
          <w:u w:val="single"/>
          <w:lang w:val="sq-AL"/>
        </w:rPr>
        <w:t>,</w:t>
      </w:r>
      <w:r w:rsidRPr="00BB7F2F">
        <w:rPr>
          <w:rFonts w:asciiTheme="minorHAnsi" w:eastAsia="MS Mincho" w:hAnsiTheme="minorHAnsi"/>
          <w:lang w:val="sq-AL"/>
        </w:rPr>
        <w:t xml:space="preserve"> janë realizuar produkte me një kosto </w:t>
      </w:r>
      <w:r w:rsidRPr="00C06A39">
        <w:rPr>
          <w:rFonts w:asciiTheme="minorHAnsi" w:eastAsia="MS Mincho" w:hAnsiTheme="minorHAnsi"/>
          <w:lang w:val="sq-AL"/>
        </w:rPr>
        <w:t xml:space="preserve">faktike prej </w:t>
      </w:r>
      <w:r w:rsidR="00284F57" w:rsidRPr="00C06A39">
        <w:rPr>
          <w:rFonts w:asciiTheme="minorHAnsi" w:eastAsia="MS Mincho" w:hAnsiTheme="minorHAnsi"/>
          <w:lang w:val="sq-AL"/>
        </w:rPr>
        <w:t>243.7 milionë lekë</w:t>
      </w:r>
      <w:r w:rsidRPr="00C06A39">
        <w:rPr>
          <w:rFonts w:asciiTheme="minorHAnsi" w:eastAsia="MS Mincho" w:hAnsiTheme="minorHAnsi"/>
          <w:lang w:val="sq-AL"/>
        </w:rPr>
        <w:t>, të</w:t>
      </w:r>
      <w:r w:rsidRPr="00BB7F2F">
        <w:rPr>
          <w:rFonts w:asciiTheme="minorHAnsi" w:eastAsia="MS Mincho" w:hAnsiTheme="minorHAnsi"/>
          <w:lang w:val="sq-AL"/>
        </w:rPr>
        <w:t xml:space="preserve"> tilla si:</w:t>
      </w:r>
    </w:p>
    <w:p w:rsidR="006308E8" w:rsidRDefault="006308E8" w:rsidP="00503465">
      <w:pPr>
        <w:numPr>
          <w:ilvl w:val="0"/>
          <w:numId w:val="40"/>
        </w:numPr>
        <w:spacing w:before="240" w:line="276" w:lineRule="auto"/>
        <w:contextualSpacing/>
        <w:jc w:val="both"/>
        <w:rPr>
          <w:rFonts w:asciiTheme="minorHAnsi" w:eastAsia="MS Mincho" w:hAnsiTheme="minorHAnsi"/>
          <w:lang w:val="sq-AL"/>
        </w:rPr>
      </w:pPr>
      <w:r w:rsidRPr="00BB7F2F">
        <w:rPr>
          <w:rFonts w:asciiTheme="minorHAnsi" w:eastAsia="MS Mincho" w:hAnsiTheme="minorHAnsi"/>
          <w:lang w:val="sq-AL"/>
        </w:rPr>
        <w:t>Hartimi i bazës ligjore për masat mbështetëse të Programit të Bujqësisë dhe Zhvillimit Rural për 4 mujorin e parë të vitit 2020 ,</w:t>
      </w:r>
      <w:r w:rsidRPr="00BB7F2F">
        <w:rPr>
          <w:rFonts w:asciiTheme="minorHAnsi" w:hAnsiTheme="minorHAnsi"/>
          <w:lang w:val="sq-AL"/>
        </w:rPr>
        <w:t xml:space="preserve"> </w:t>
      </w:r>
      <w:r w:rsidRPr="00BB7F2F">
        <w:rPr>
          <w:rFonts w:asciiTheme="minorHAnsi" w:eastAsia="MS Mincho" w:hAnsiTheme="minorHAnsi"/>
          <w:lang w:val="sq-AL"/>
        </w:rPr>
        <w:t>VKM nr.100 datë 5.2.2020 “Për përcaktimin e kritereve bazë, të sektorëve që do të mbështeten dhe të masës së përfitimit nga fondi i programit për bujqësinë dhe zhvillimin rural, për vitin 2020” si dhe udhëzimi me bashkë firmosje midis MBZHR dhe MFE me Nr.3, datë 24.2.2020 “Për kriteret procedurat dhe mënyrën e administrimit te fondit te programit për bujqësinë dhe zhvillimin rural.” si dhe ndryshimet përkatëse në to;</w:t>
      </w:r>
    </w:p>
    <w:p w:rsidR="00AF49E0" w:rsidRDefault="00AF49E0" w:rsidP="00AF49E0">
      <w:pPr>
        <w:spacing w:before="240" w:line="276" w:lineRule="auto"/>
        <w:contextualSpacing/>
        <w:jc w:val="both"/>
        <w:rPr>
          <w:rFonts w:asciiTheme="minorHAnsi" w:eastAsia="MS Mincho" w:hAnsiTheme="minorHAnsi"/>
          <w:lang w:val="sq-AL"/>
        </w:rPr>
      </w:pPr>
    </w:p>
    <w:p w:rsidR="00AF49E0" w:rsidRPr="00BB7F2F" w:rsidRDefault="00AF49E0" w:rsidP="00AF49E0">
      <w:pPr>
        <w:spacing w:before="240" w:line="276" w:lineRule="auto"/>
        <w:contextualSpacing/>
        <w:jc w:val="both"/>
        <w:rPr>
          <w:rFonts w:asciiTheme="minorHAnsi" w:eastAsia="MS Mincho" w:hAnsiTheme="minorHAnsi"/>
          <w:lang w:val="sq-AL"/>
        </w:rPr>
      </w:pPr>
    </w:p>
    <w:p w:rsidR="006308E8" w:rsidRPr="00BB7F2F" w:rsidRDefault="006308E8" w:rsidP="00503465">
      <w:pPr>
        <w:numPr>
          <w:ilvl w:val="0"/>
          <w:numId w:val="40"/>
        </w:numPr>
        <w:spacing w:before="240" w:line="276" w:lineRule="auto"/>
        <w:contextualSpacing/>
        <w:jc w:val="both"/>
        <w:rPr>
          <w:rFonts w:asciiTheme="minorHAnsi" w:eastAsia="MS Mincho" w:hAnsiTheme="minorHAnsi"/>
          <w:lang w:val="sq-AL"/>
        </w:rPr>
      </w:pPr>
      <w:r w:rsidRPr="00BB7F2F">
        <w:rPr>
          <w:rFonts w:asciiTheme="minorHAnsi" w:eastAsia="MS Mincho" w:hAnsiTheme="minorHAnsi"/>
          <w:lang w:val="sq-AL"/>
        </w:rPr>
        <w:lastRenderedPageBreak/>
        <w:t xml:space="preserve">Hapja e fushatës promovuese për aplikimet në masat kombëtare; </w:t>
      </w:r>
    </w:p>
    <w:p w:rsidR="006308E8" w:rsidRPr="00BB7F2F" w:rsidRDefault="006308E8" w:rsidP="00503465">
      <w:pPr>
        <w:numPr>
          <w:ilvl w:val="0"/>
          <w:numId w:val="40"/>
        </w:numPr>
        <w:spacing w:before="240" w:line="276" w:lineRule="auto"/>
        <w:contextualSpacing/>
        <w:jc w:val="both"/>
        <w:rPr>
          <w:rFonts w:asciiTheme="minorHAnsi" w:eastAsia="MS Mincho" w:hAnsiTheme="minorHAnsi"/>
          <w:lang w:val="sq-AL"/>
        </w:rPr>
      </w:pPr>
      <w:r w:rsidRPr="00BB7F2F">
        <w:rPr>
          <w:rFonts w:asciiTheme="minorHAnsi" w:eastAsia="MS Mincho" w:hAnsiTheme="minorHAnsi"/>
          <w:lang w:val="sq-AL"/>
        </w:rPr>
        <w:t xml:space="preserve">Vazhdimi i procedurave të vlerësimit dhe kontrollit të aplikimeve në kuadër të thirrjes së dytë të programit IPARD; </w:t>
      </w:r>
    </w:p>
    <w:p w:rsidR="006308E8" w:rsidRPr="00BB7F2F" w:rsidRDefault="006308E8" w:rsidP="00503465">
      <w:pPr>
        <w:numPr>
          <w:ilvl w:val="0"/>
          <w:numId w:val="40"/>
        </w:numPr>
        <w:spacing w:before="240" w:line="276" w:lineRule="auto"/>
        <w:contextualSpacing/>
        <w:jc w:val="both"/>
        <w:rPr>
          <w:rFonts w:asciiTheme="minorHAnsi" w:eastAsia="MS Mincho" w:hAnsiTheme="minorHAnsi"/>
          <w:lang w:val="sq-AL"/>
        </w:rPr>
      </w:pPr>
      <w:r w:rsidRPr="00BB7F2F">
        <w:rPr>
          <w:rFonts w:asciiTheme="minorHAnsi" w:eastAsia="MS Mincho" w:hAnsiTheme="minorHAnsi"/>
          <w:lang w:val="sq-AL"/>
        </w:rPr>
        <w:t xml:space="preserve">Hartimi urdhrit të Ministrit për listën e produkteve STG, si dhe udhëzimi për formën e regjistrit, detyrim i Ligjit për “Skemat e Cilësisë së produkteve bujqësore dhe ushqimore”; </w:t>
      </w:r>
    </w:p>
    <w:p w:rsidR="006308E8" w:rsidRPr="00BB7F2F" w:rsidRDefault="006308E8" w:rsidP="00503465">
      <w:pPr>
        <w:numPr>
          <w:ilvl w:val="0"/>
          <w:numId w:val="40"/>
        </w:numPr>
        <w:spacing w:before="240" w:line="276" w:lineRule="auto"/>
        <w:contextualSpacing/>
        <w:jc w:val="both"/>
        <w:rPr>
          <w:rFonts w:asciiTheme="minorHAnsi" w:eastAsia="MS Mincho" w:hAnsiTheme="minorHAnsi"/>
          <w:lang w:val="sq-AL"/>
        </w:rPr>
      </w:pPr>
      <w:r w:rsidRPr="00BB7F2F">
        <w:rPr>
          <w:rFonts w:asciiTheme="minorHAnsi" w:eastAsia="MS Mincho" w:hAnsiTheme="minorHAnsi"/>
          <w:lang w:val="sq-AL"/>
        </w:rPr>
        <w:t>Certifikimi dhe testimi i rreth 736 777 fara dhe fidanë;</w:t>
      </w:r>
    </w:p>
    <w:p w:rsidR="006308E8" w:rsidRPr="00BB7F2F" w:rsidRDefault="006308E8" w:rsidP="00503465">
      <w:pPr>
        <w:numPr>
          <w:ilvl w:val="0"/>
          <w:numId w:val="40"/>
        </w:numPr>
        <w:spacing w:before="240" w:line="276" w:lineRule="auto"/>
        <w:contextualSpacing/>
        <w:jc w:val="both"/>
        <w:rPr>
          <w:rFonts w:asciiTheme="minorHAnsi" w:eastAsia="MS Mincho" w:hAnsiTheme="minorHAnsi"/>
          <w:lang w:val="sq-AL"/>
        </w:rPr>
      </w:pPr>
      <w:r w:rsidRPr="00BB7F2F">
        <w:rPr>
          <w:rFonts w:asciiTheme="minorHAnsi" w:eastAsia="MS Mincho" w:hAnsiTheme="minorHAnsi"/>
          <w:lang w:val="sq-AL"/>
        </w:rPr>
        <w:t>Degustimi i rreth 10 mostrave të cigareve;</w:t>
      </w:r>
    </w:p>
    <w:p w:rsidR="006308E8" w:rsidRPr="00BB7F2F" w:rsidRDefault="006308E8" w:rsidP="00503465">
      <w:pPr>
        <w:numPr>
          <w:ilvl w:val="0"/>
          <w:numId w:val="40"/>
        </w:numPr>
        <w:spacing w:before="240" w:line="276" w:lineRule="auto"/>
        <w:contextualSpacing/>
        <w:jc w:val="both"/>
        <w:rPr>
          <w:rFonts w:asciiTheme="minorHAnsi" w:eastAsia="MS Mincho" w:hAnsiTheme="minorHAnsi"/>
          <w:lang w:val="sq-AL"/>
        </w:rPr>
      </w:pPr>
      <w:r w:rsidRPr="00BB7F2F">
        <w:rPr>
          <w:rFonts w:asciiTheme="minorHAnsi" w:eastAsia="MS Mincho" w:hAnsiTheme="minorHAnsi"/>
          <w:lang w:val="sq-AL"/>
        </w:rPr>
        <w:t>Fillimi i procedurave për rikonstruksionin e zyrave të AZHBR, blerjen e pajisjeve;</w:t>
      </w:r>
    </w:p>
    <w:p w:rsidR="006308E8" w:rsidRPr="00BB7F2F" w:rsidRDefault="006308E8" w:rsidP="00503465">
      <w:pPr>
        <w:numPr>
          <w:ilvl w:val="0"/>
          <w:numId w:val="40"/>
        </w:numPr>
        <w:spacing w:before="240" w:line="276" w:lineRule="auto"/>
        <w:contextualSpacing/>
        <w:jc w:val="both"/>
        <w:rPr>
          <w:rFonts w:asciiTheme="minorHAnsi" w:eastAsia="MS Mincho" w:hAnsiTheme="minorHAnsi"/>
          <w:lang w:val="sq-AL"/>
        </w:rPr>
      </w:pPr>
      <w:r w:rsidRPr="00BB7F2F">
        <w:rPr>
          <w:rFonts w:asciiTheme="minorHAnsi" w:eastAsia="MS Mincho" w:hAnsiTheme="minorHAnsi"/>
          <w:lang w:val="sq-AL"/>
        </w:rPr>
        <w:t xml:space="preserve">Fillimi i procesit të identifikimit dhe verifikimit në vend të sipërfaqeve me vresht dhe ullishte; </w:t>
      </w:r>
    </w:p>
    <w:p w:rsidR="006308E8" w:rsidRPr="00BB7F2F" w:rsidRDefault="006308E8" w:rsidP="00503465">
      <w:pPr>
        <w:numPr>
          <w:ilvl w:val="0"/>
          <w:numId w:val="40"/>
        </w:numPr>
        <w:spacing w:before="240" w:line="276" w:lineRule="auto"/>
        <w:contextualSpacing/>
        <w:jc w:val="both"/>
        <w:rPr>
          <w:rFonts w:asciiTheme="minorHAnsi" w:eastAsia="MS Mincho" w:hAnsiTheme="minorHAnsi"/>
          <w:lang w:val="sq-AL"/>
        </w:rPr>
      </w:pPr>
      <w:r w:rsidRPr="00BB7F2F">
        <w:rPr>
          <w:rFonts w:asciiTheme="minorHAnsi" w:eastAsia="MS Mincho" w:hAnsiTheme="minorHAnsi"/>
          <w:lang w:val="sq-AL"/>
        </w:rPr>
        <w:t>Fillimi i procesit të disbursimit të fondeve nga Projekti Mjedisor.</w:t>
      </w:r>
    </w:p>
    <w:p w:rsidR="006308E8" w:rsidRPr="00BB7F2F" w:rsidRDefault="006308E8" w:rsidP="006308E8">
      <w:pPr>
        <w:spacing w:before="240" w:line="276" w:lineRule="auto"/>
        <w:jc w:val="both"/>
        <w:rPr>
          <w:rFonts w:asciiTheme="minorHAnsi" w:eastAsia="MS Mincho" w:hAnsiTheme="minorHAnsi"/>
          <w:lang w:val="sq-AL"/>
        </w:rPr>
      </w:pPr>
      <w:r w:rsidRPr="00BB7F2F">
        <w:rPr>
          <w:rFonts w:asciiTheme="minorHAnsi" w:eastAsia="MS Mincho" w:hAnsiTheme="minorHAnsi"/>
          <w:lang w:val="sq-AL"/>
        </w:rPr>
        <w:t xml:space="preserve">Në programin </w:t>
      </w:r>
      <w:r w:rsidRPr="00BB7F2F">
        <w:rPr>
          <w:rFonts w:asciiTheme="minorHAnsi" w:eastAsia="MS Mincho" w:hAnsiTheme="minorHAnsi"/>
          <w:b/>
          <w:u w:val="single"/>
          <w:lang w:val="sq-AL"/>
        </w:rPr>
        <w:t>“Siguria ushqimore dhe mbrojtja e konsumatorit”</w:t>
      </w:r>
      <w:r w:rsidRPr="00BB7F2F">
        <w:rPr>
          <w:rFonts w:asciiTheme="minorHAnsi" w:eastAsia="MS Mincho" w:hAnsiTheme="minorHAnsi"/>
          <w:u w:val="single"/>
          <w:lang w:val="sq-AL"/>
        </w:rPr>
        <w:t>,</w:t>
      </w:r>
      <w:r w:rsidRPr="00BB7F2F">
        <w:rPr>
          <w:rFonts w:asciiTheme="minorHAnsi" w:eastAsia="MS Mincho" w:hAnsiTheme="minorHAnsi"/>
          <w:lang w:val="sq-AL"/>
        </w:rPr>
        <w:t xml:space="preserve"> janë realizuar për 4 mujorin e parë produkte me një kosto </w:t>
      </w:r>
      <w:r w:rsidRPr="00C06A39">
        <w:rPr>
          <w:rFonts w:asciiTheme="minorHAnsi" w:eastAsia="MS Mincho" w:hAnsiTheme="minorHAnsi"/>
          <w:lang w:val="sq-AL"/>
        </w:rPr>
        <w:t xml:space="preserve">faktike prej </w:t>
      </w:r>
      <w:r w:rsidR="00284F57" w:rsidRPr="00C06A39">
        <w:rPr>
          <w:rFonts w:asciiTheme="minorHAnsi" w:eastAsia="MS Mincho" w:hAnsiTheme="minorHAnsi"/>
          <w:lang w:val="sq-AL"/>
        </w:rPr>
        <w:t xml:space="preserve">349.2 milionë lekë, </w:t>
      </w:r>
      <w:r w:rsidRPr="00C06A39">
        <w:rPr>
          <w:rFonts w:asciiTheme="minorHAnsi" w:eastAsia="MS Mincho" w:hAnsiTheme="minorHAnsi"/>
          <w:lang w:val="sq-AL"/>
        </w:rPr>
        <w:t>ku ndër to përmendim</w:t>
      </w:r>
      <w:r w:rsidRPr="00BB7F2F">
        <w:rPr>
          <w:rFonts w:asciiTheme="minorHAnsi" w:eastAsia="MS Mincho" w:hAnsiTheme="minorHAnsi"/>
          <w:lang w:val="sq-AL"/>
        </w:rPr>
        <w:t xml:space="preserve">: </w:t>
      </w:r>
    </w:p>
    <w:p w:rsidR="006308E8" w:rsidRPr="00BB7F2F" w:rsidRDefault="006308E8" w:rsidP="00503465">
      <w:pPr>
        <w:numPr>
          <w:ilvl w:val="0"/>
          <w:numId w:val="41"/>
        </w:numPr>
        <w:spacing w:before="240" w:line="276" w:lineRule="auto"/>
        <w:contextualSpacing/>
        <w:jc w:val="both"/>
        <w:rPr>
          <w:rFonts w:asciiTheme="minorHAnsi" w:eastAsia="MS Mincho" w:hAnsiTheme="minorHAnsi"/>
          <w:lang w:val="sq-AL"/>
        </w:rPr>
      </w:pPr>
      <w:r w:rsidRPr="00BB7F2F">
        <w:rPr>
          <w:rFonts w:asciiTheme="minorHAnsi" w:eastAsia="MS Mincho" w:hAnsiTheme="minorHAnsi"/>
          <w:lang w:val="sq-AL"/>
        </w:rPr>
        <w:t>Blerja e vaksina dhe kryerja e vaksinimit për 90 000 krerë për sëmundjen e plasjes nga 930 000 të planifikuara për vitin 2020;</w:t>
      </w:r>
    </w:p>
    <w:p w:rsidR="006308E8" w:rsidRPr="00BB7F2F" w:rsidRDefault="006308E8" w:rsidP="00503465">
      <w:pPr>
        <w:numPr>
          <w:ilvl w:val="0"/>
          <w:numId w:val="41"/>
        </w:numPr>
        <w:spacing w:before="240" w:line="276" w:lineRule="auto"/>
        <w:contextualSpacing/>
        <w:jc w:val="both"/>
        <w:rPr>
          <w:rFonts w:asciiTheme="minorHAnsi" w:eastAsia="MS Mincho" w:hAnsiTheme="minorHAnsi"/>
          <w:lang w:val="sq-AL"/>
        </w:rPr>
      </w:pPr>
      <w:r w:rsidRPr="00BB7F2F">
        <w:rPr>
          <w:rFonts w:asciiTheme="minorHAnsi" w:eastAsia="MS Mincho" w:hAnsiTheme="minorHAnsi"/>
          <w:lang w:val="sq-AL"/>
        </w:rPr>
        <w:t>Kryerja e 43 800 kontrolleve për kafshë të shëndetshme nga 173 000 të planifikuara, për vitin 2020, akoma nuk ka filluar procesi i gjurmimit të kafshëve;</w:t>
      </w:r>
    </w:p>
    <w:p w:rsidR="006308E8" w:rsidRPr="00BB7F2F" w:rsidRDefault="006308E8" w:rsidP="00503465">
      <w:pPr>
        <w:numPr>
          <w:ilvl w:val="0"/>
          <w:numId w:val="41"/>
        </w:numPr>
        <w:spacing w:before="240" w:line="276" w:lineRule="auto"/>
        <w:contextualSpacing/>
        <w:jc w:val="both"/>
        <w:rPr>
          <w:rFonts w:asciiTheme="minorHAnsi" w:eastAsia="MS Mincho" w:hAnsiTheme="minorHAnsi"/>
          <w:lang w:val="sq-AL"/>
        </w:rPr>
      </w:pPr>
      <w:r w:rsidRPr="00BB7F2F">
        <w:rPr>
          <w:rFonts w:asciiTheme="minorHAnsi" w:eastAsia="MS Mincho" w:hAnsiTheme="minorHAnsi"/>
          <w:lang w:val="sq-AL"/>
        </w:rPr>
        <w:t>Janë realizuar 9 000 analiza në kuadër të monitorimit të mbetjeve në kafshët e gjalla dhe molusqet bivale nga 55 250 të planifikuara për vitin 2020;</w:t>
      </w:r>
    </w:p>
    <w:p w:rsidR="006308E8" w:rsidRPr="00BB7F2F" w:rsidRDefault="006308E8" w:rsidP="00503465">
      <w:pPr>
        <w:numPr>
          <w:ilvl w:val="0"/>
          <w:numId w:val="41"/>
        </w:numPr>
        <w:spacing w:before="240" w:line="276" w:lineRule="auto"/>
        <w:contextualSpacing/>
        <w:jc w:val="both"/>
        <w:rPr>
          <w:rFonts w:asciiTheme="minorHAnsi" w:eastAsia="MS Mincho" w:hAnsiTheme="minorHAnsi"/>
          <w:lang w:val="sq-AL"/>
        </w:rPr>
      </w:pPr>
      <w:r w:rsidRPr="00BB7F2F">
        <w:rPr>
          <w:rFonts w:asciiTheme="minorHAnsi" w:eastAsia="MS Mincho" w:hAnsiTheme="minorHAnsi"/>
          <w:lang w:val="sq-AL"/>
        </w:rPr>
        <w:t>Janë dëmshpërblyer fermerë për 10 krerë të ngordhur nga 470 të planifikuar;</w:t>
      </w:r>
    </w:p>
    <w:p w:rsidR="006308E8" w:rsidRPr="00BB7F2F" w:rsidRDefault="006308E8" w:rsidP="00503465">
      <w:pPr>
        <w:numPr>
          <w:ilvl w:val="0"/>
          <w:numId w:val="41"/>
        </w:numPr>
        <w:spacing w:before="240" w:line="276" w:lineRule="auto"/>
        <w:contextualSpacing/>
        <w:jc w:val="both"/>
        <w:rPr>
          <w:rFonts w:asciiTheme="minorHAnsi" w:eastAsia="MS Mincho" w:hAnsiTheme="minorHAnsi"/>
          <w:lang w:val="sq-AL"/>
        </w:rPr>
      </w:pPr>
      <w:r w:rsidRPr="00BB7F2F">
        <w:rPr>
          <w:rFonts w:asciiTheme="minorHAnsi" w:eastAsia="MS Mincho" w:hAnsiTheme="minorHAnsi"/>
          <w:lang w:val="sq-AL"/>
        </w:rPr>
        <w:t>Janë kryer 30 125 inspektime në fushën e sigurisë ushqimore nga 96 000 të planifikuar.</w:t>
      </w:r>
    </w:p>
    <w:p w:rsidR="006308E8" w:rsidRPr="00BB7F2F" w:rsidRDefault="006308E8" w:rsidP="006308E8">
      <w:pPr>
        <w:spacing w:before="240" w:line="276" w:lineRule="auto"/>
        <w:jc w:val="both"/>
        <w:rPr>
          <w:rFonts w:asciiTheme="minorHAnsi" w:hAnsiTheme="minorHAnsi"/>
          <w:lang w:val="sq-AL"/>
        </w:rPr>
      </w:pPr>
      <w:r w:rsidRPr="00BB7F2F">
        <w:rPr>
          <w:rFonts w:asciiTheme="minorHAnsi" w:hAnsiTheme="minorHAnsi"/>
          <w:lang w:val="sq-AL"/>
        </w:rPr>
        <w:t>Në programin “</w:t>
      </w:r>
      <w:r w:rsidRPr="00BB7F2F">
        <w:rPr>
          <w:rFonts w:asciiTheme="minorHAnsi" w:hAnsiTheme="minorHAnsi"/>
          <w:b/>
          <w:lang w:val="sq-AL"/>
        </w:rPr>
        <w:t>Infrastruktura e ujitjes dhe kullimit</w:t>
      </w:r>
      <w:r w:rsidRPr="00BB7F2F">
        <w:rPr>
          <w:rFonts w:asciiTheme="minorHAnsi" w:hAnsiTheme="minorHAnsi"/>
          <w:lang w:val="sq-AL"/>
        </w:rPr>
        <w:t xml:space="preserve">”, janë parashikuar disa produkte dhe janë realizuar një pjesë e tyre me një kosto </w:t>
      </w:r>
      <w:r w:rsidRPr="00C06A39">
        <w:rPr>
          <w:rFonts w:asciiTheme="minorHAnsi" w:hAnsiTheme="minorHAnsi"/>
          <w:lang w:val="sq-AL"/>
        </w:rPr>
        <w:t xml:space="preserve">totale prej </w:t>
      </w:r>
      <w:r w:rsidR="00284F57" w:rsidRPr="00C06A39">
        <w:rPr>
          <w:rFonts w:asciiTheme="minorHAnsi" w:hAnsiTheme="minorHAnsi"/>
          <w:lang w:val="sq-AL"/>
        </w:rPr>
        <w:t>296.8 milionë lekë</w:t>
      </w:r>
      <w:r w:rsidRPr="00C06A39">
        <w:rPr>
          <w:rFonts w:asciiTheme="minorHAnsi" w:hAnsiTheme="minorHAnsi"/>
          <w:lang w:val="sq-AL"/>
        </w:rPr>
        <w:t>, ndër</w:t>
      </w:r>
      <w:r w:rsidRPr="00BB7F2F">
        <w:rPr>
          <w:rFonts w:asciiTheme="minorHAnsi" w:hAnsiTheme="minorHAnsi"/>
          <w:lang w:val="sq-AL"/>
        </w:rPr>
        <w:t xml:space="preserve"> to përmendim:</w:t>
      </w:r>
    </w:p>
    <w:p w:rsidR="006308E8" w:rsidRPr="00BB7F2F" w:rsidRDefault="006308E8" w:rsidP="00503465">
      <w:pPr>
        <w:numPr>
          <w:ilvl w:val="0"/>
          <w:numId w:val="42"/>
        </w:numPr>
        <w:shd w:val="clear" w:color="auto" w:fill="FFFFFF"/>
        <w:spacing w:line="276" w:lineRule="auto"/>
        <w:contextualSpacing/>
        <w:jc w:val="both"/>
        <w:rPr>
          <w:rFonts w:asciiTheme="minorHAnsi" w:hAnsiTheme="minorHAnsi"/>
          <w:bCs/>
          <w:lang w:val="sq-AL" w:eastAsia="en-GB"/>
        </w:rPr>
      </w:pPr>
      <w:r w:rsidRPr="00BB7F2F">
        <w:rPr>
          <w:rFonts w:asciiTheme="minorHAnsi" w:hAnsiTheme="minorHAnsi"/>
          <w:bCs/>
          <w:lang w:val="sq-AL" w:eastAsia="en-GB"/>
        </w:rPr>
        <w:t>Sipërfaqe kulluese me rrjetin kryesor të pastruar janë punuar rreth 8000 hektar;</w:t>
      </w:r>
    </w:p>
    <w:p w:rsidR="006308E8" w:rsidRPr="00BB7F2F" w:rsidRDefault="006308E8" w:rsidP="00503465">
      <w:pPr>
        <w:numPr>
          <w:ilvl w:val="0"/>
          <w:numId w:val="42"/>
        </w:numPr>
        <w:shd w:val="clear" w:color="auto" w:fill="FFFFFF"/>
        <w:spacing w:line="276" w:lineRule="auto"/>
        <w:contextualSpacing/>
        <w:jc w:val="both"/>
        <w:rPr>
          <w:rFonts w:asciiTheme="minorHAnsi" w:hAnsiTheme="minorHAnsi"/>
          <w:bCs/>
          <w:lang w:val="sq-AL" w:eastAsia="en-GB"/>
        </w:rPr>
      </w:pPr>
      <w:r w:rsidRPr="00BB7F2F">
        <w:rPr>
          <w:rFonts w:asciiTheme="minorHAnsi" w:hAnsiTheme="minorHAnsi"/>
          <w:bCs/>
          <w:lang w:val="sq-AL" w:eastAsia="en-GB"/>
        </w:rPr>
        <w:t>Rreth 12 000 hektar sipërfaqe ujitëse me rrjet kryesor ujitës të mirëmbajtur;</w:t>
      </w:r>
    </w:p>
    <w:p w:rsidR="006308E8" w:rsidRPr="00BB7F2F" w:rsidRDefault="006308E8" w:rsidP="00503465">
      <w:pPr>
        <w:numPr>
          <w:ilvl w:val="0"/>
          <w:numId w:val="42"/>
        </w:numPr>
        <w:shd w:val="clear" w:color="auto" w:fill="FFFFFF"/>
        <w:spacing w:line="276" w:lineRule="auto"/>
        <w:contextualSpacing/>
        <w:jc w:val="both"/>
        <w:rPr>
          <w:rFonts w:asciiTheme="minorHAnsi" w:hAnsiTheme="minorHAnsi"/>
          <w:bCs/>
          <w:lang w:val="sq-AL" w:eastAsia="en-GB"/>
        </w:rPr>
      </w:pPr>
      <w:r w:rsidRPr="00BB7F2F">
        <w:rPr>
          <w:rFonts w:asciiTheme="minorHAnsi" w:hAnsiTheme="minorHAnsi"/>
          <w:bCs/>
          <w:lang w:val="sq-AL" w:eastAsia="en-GB"/>
        </w:rPr>
        <w:t xml:space="preserve">Mirëmbajtje për funksionimin normal të 27 hidroforëve për kullimin e rreth 70 000 hektarëve; </w:t>
      </w:r>
    </w:p>
    <w:p w:rsidR="002124D1" w:rsidRPr="007030D4" w:rsidRDefault="006308E8" w:rsidP="007030D4">
      <w:pPr>
        <w:numPr>
          <w:ilvl w:val="0"/>
          <w:numId w:val="42"/>
        </w:numPr>
        <w:shd w:val="clear" w:color="auto" w:fill="FFFFFF"/>
        <w:spacing w:line="276" w:lineRule="auto"/>
        <w:contextualSpacing/>
        <w:jc w:val="both"/>
        <w:rPr>
          <w:rFonts w:asciiTheme="minorHAnsi" w:hAnsiTheme="minorHAnsi"/>
          <w:bCs/>
          <w:lang w:val="sq-AL" w:eastAsia="en-GB"/>
        </w:rPr>
      </w:pPr>
      <w:r w:rsidRPr="00BB7F2F">
        <w:rPr>
          <w:rFonts w:asciiTheme="minorHAnsi" w:hAnsiTheme="minorHAnsi"/>
          <w:bCs/>
          <w:lang w:val="sq-AL" w:eastAsia="en-GB"/>
        </w:rPr>
        <w:t>Në lidhje me projektin e Menaxhimit te Burimeve Ujore dhe Ujitjes, të financuar nga Banka Botërore, nga 6 skema ujitëse, vazhdojnë punimet në 5 skemat ujitëse (Tregtan 3 dhe 2, Sllanicë, Leminot, Dega e Lushnjës, Dega e Çukasit) dhe pritet të fillojnë punimet në skemën ujitëse me rezervuarin e Janjarit.</w:t>
      </w:r>
    </w:p>
    <w:p w:rsidR="002124D1" w:rsidRDefault="002124D1" w:rsidP="006308E8">
      <w:pPr>
        <w:shd w:val="clear" w:color="auto" w:fill="FFFFFF"/>
        <w:spacing w:line="276" w:lineRule="auto"/>
        <w:ind w:left="720"/>
        <w:jc w:val="both"/>
        <w:rPr>
          <w:rFonts w:asciiTheme="minorHAnsi" w:hAnsiTheme="minorHAnsi"/>
          <w:bCs/>
          <w:lang w:val="sq-AL" w:eastAsia="en-GB"/>
        </w:rPr>
      </w:pPr>
    </w:p>
    <w:p w:rsidR="00AF49E0" w:rsidRPr="00BB7F2F" w:rsidRDefault="00AF49E0" w:rsidP="006308E8">
      <w:pPr>
        <w:shd w:val="clear" w:color="auto" w:fill="FFFFFF"/>
        <w:spacing w:line="276" w:lineRule="auto"/>
        <w:ind w:left="720"/>
        <w:jc w:val="both"/>
        <w:rPr>
          <w:rFonts w:asciiTheme="minorHAnsi" w:hAnsiTheme="minorHAnsi"/>
          <w:bCs/>
          <w:lang w:val="sq-AL" w:eastAsia="en-GB"/>
        </w:rPr>
      </w:pPr>
    </w:p>
    <w:p w:rsidR="006308E8" w:rsidRPr="00BB7F2F" w:rsidRDefault="006308E8" w:rsidP="006308E8">
      <w:pPr>
        <w:spacing w:before="120" w:after="120" w:line="276" w:lineRule="auto"/>
        <w:jc w:val="both"/>
        <w:rPr>
          <w:rFonts w:asciiTheme="minorHAnsi" w:hAnsiTheme="minorHAnsi"/>
          <w:b/>
          <w:noProof/>
          <w:lang w:val="sq-AL"/>
        </w:rPr>
      </w:pPr>
      <w:bookmarkStart w:id="163" w:name="_Toc10033297"/>
      <w:bookmarkStart w:id="164" w:name="_Toc10721433"/>
      <w:bookmarkStart w:id="165" w:name="_Toc11134228"/>
      <w:r w:rsidRPr="00BB7F2F">
        <w:rPr>
          <w:rFonts w:asciiTheme="minorHAnsi" w:hAnsiTheme="minorHAnsi"/>
          <w:b/>
          <w:noProof/>
          <w:lang w:val="sq-AL"/>
        </w:rPr>
        <w:t>INFRASTRUKTURA DHE ENERGJIA</w:t>
      </w:r>
      <w:bookmarkEnd w:id="163"/>
      <w:bookmarkEnd w:id="164"/>
      <w:bookmarkEnd w:id="165"/>
    </w:p>
    <w:p w:rsidR="006308E8" w:rsidRDefault="006308E8" w:rsidP="006308E8">
      <w:pPr>
        <w:spacing w:line="276" w:lineRule="auto"/>
        <w:jc w:val="both"/>
        <w:rPr>
          <w:rFonts w:asciiTheme="minorHAnsi" w:hAnsiTheme="minorHAnsi"/>
          <w:lang w:val="sq-AL"/>
        </w:rPr>
      </w:pPr>
      <w:r w:rsidRPr="00BB7F2F">
        <w:rPr>
          <w:rFonts w:asciiTheme="minorHAnsi" w:hAnsiTheme="minorHAnsi"/>
          <w:lang w:val="sq-AL"/>
        </w:rPr>
        <w:t>Performanca e treguesve buxhetorë për 10 programet e Ministrisë së Infrastrukturës dhe Energjisë, paraqitet si më poshtë:</w:t>
      </w:r>
    </w:p>
    <w:p w:rsidR="00342E35" w:rsidRDefault="00342E35" w:rsidP="006308E8">
      <w:pPr>
        <w:spacing w:line="276" w:lineRule="auto"/>
        <w:jc w:val="both"/>
        <w:rPr>
          <w:rFonts w:asciiTheme="minorHAnsi" w:hAnsiTheme="minorHAnsi"/>
          <w:lang w:val="sq-AL"/>
        </w:rPr>
      </w:pPr>
    </w:p>
    <w:p w:rsidR="00342E35" w:rsidRDefault="00342E35" w:rsidP="006308E8">
      <w:pPr>
        <w:spacing w:line="276" w:lineRule="auto"/>
        <w:jc w:val="both"/>
        <w:rPr>
          <w:rFonts w:asciiTheme="minorHAnsi" w:hAnsiTheme="minorHAnsi"/>
          <w:lang w:val="sq-AL"/>
        </w:rPr>
      </w:pPr>
    </w:p>
    <w:p w:rsidR="00342E35" w:rsidRDefault="00342E35" w:rsidP="006308E8">
      <w:pPr>
        <w:spacing w:line="276" w:lineRule="auto"/>
        <w:jc w:val="both"/>
        <w:rPr>
          <w:rFonts w:asciiTheme="minorHAnsi" w:hAnsiTheme="minorHAnsi"/>
          <w:lang w:val="sq-AL"/>
        </w:rPr>
      </w:pPr>
    </w:p>
    <w:p w:rsidR="00342E35" w:rsidRDefault="00342E35" w:rsidP="006308E8">
      <w:pPr>
        <w:spacing w:line="276" w:lineRule="auto"/>
        <w:jc w:val="both"/>
        <w:rPr>
          <w:rFonts w:asciiTheme="minorHAnsi" w:hAnsiTheme="minorHAnsi"/>
          <w:lang w:val="sq-AL"/>
        </w:rPr>
      </w:pPr>
    </w:p>
    <w:p w:rsidR="00524EBF" w:rsidRPr="00524EBF" w:rsidRDefault="00524EBF" w:rsidP="00524EBF">
      <w:pPr>
        <w:pStyle w:val="Caption"/>
        <w:spacing w:after="0"/>
        <w:rPr>
          <w:rFonts w:asciiTheme="minorHAnsi" w:hAnsiTheme="minorHAnsi"/>
          <w:b w:val="0"/>
          <w:bCs w:val="0"/>
          <w:i/>
          <w:noProof/>
          <w:color w:val="auto"/>
          <w:sz w:val="24"/>
          <w:szCs w:val="24"/>
        </w:rPr>
      </w:pPr>
      <w:bookmarkStart w:id="166" w:name="_Toc44404432"/>
      <w:r w:rsidRPr="00524EBF">
        <w:rPr>
          <w:rFonts w:asciiTheme="minorHAnsi" w:hAnsiTheme="minorHAnsi"/>
          <w:b w:val="0"/>
          <w:bCs w:val="0"/>
          <w:i/>
          <w:noProof/>
          <w:color w:val="auto"/>
          <w:sz w:val="24"/>
          <w:szCs w:val="24"/>
        </w:rPr>
        <w:lastRenderedPageBreak/>
        <w:t xml:space="preserve">Tabela </w:t>
      </w:r>
      <w:r w:rsidRPr="00524EBF">
        <w:rPr>
          <w:rFonts w:asciiTheme="minorHAnsi" w:hAnsiTheme="minorHAnsi"/>
          <w:b w:val="0"/>
          <w:bCs w:val="0"/>
          <w:i/>
          <w:noProof/>
          <w:color w:val="auto"/>
          <w:sz w:val="24"/>
          <w:szCs w:val="24"/>
        </w:rPr>
        <w:fldChar w:fldCharType="begin"/>
      </w:r>
      <w:r w:rsidRPr="00524EBF">
        <w:rPr>
          <w:rFonts w:asciiTheme="minorHAnsi" w:hAnsiTheme="minorHAnsi"/>
          <w:b w:val="0"/>
          <w:bCs w:val="0"/>
          <w:i/>
          <w:noProof/>
          <w:color w:val="auto"/>
          <w:sz w:val="24"/>
          <w:szCs w:val="24"/>
        </w:rPr>
        <w:instrText xml:space="preserve"> SEQ Tabela \* ARABIC </w:instrText>
      </w:r>
      <w:r w:rsidRPr="00524EBF">
        <w:rPr>
          <w:rFonts w:asciiTheme="minorHAnsi" w:hAnsiTheme="minorHAnsi"/>
          <w:b w:val="0"/>
          <w:bCs w:val="0"/>
          <w:i/>
          <w:noProof/>
          <w:color w:val="auto"/>
          <w:sz w:val="24"/>
          <w:szCs w:val="24"/>
        </w:rPr>
        <w:fldChar w:fldCharType="separate"/>
      </w:r>
      <w:r w:rsidR="00C342E2">
        <w:rPr>
          <w:rFonts w:asciiTheme="minorHAnsi" w:hAnsiTheme="minorHAnsi"/>
          <w:b w:val="0"/>
          <w:bCs w:val="0"/>
          <w:i/>
          <w:noProof/>
          <w:color w:val="auto"/>
          <w:sz w:val="24"/>
          <w:szCs w:val="24"/>
        </w:rPr>
        <w:t>31</w:t>
      </w:r>
      <w:r w:rsidRPr="00524EBF">
        <w:rPr>
          <w:rFonts w:asciiTheme="minorHAnsi" w:hAnsiTheme="minorHAnsi"/>
          <w:b w:val="0"/>
          <w:bCs w:val="0"/>
          <w:i/>
          <w:noProof/>
          <w:color w:val="auto"/>
          <w:sz w:val="24"/>
          <w:szCs w:val="24"/>
        </w:rPr>
        <w:fldChar w:fldCharType="end"/>
      </w:r>
      <w:r w:rsidRPr="00524EBF">
        <w:rPr>
          <w:rFonts w:asciiTheme="minorHAnsi" w:hAnsiTheme="minorHAnsi"/>
          <w:b w:val="0"/>
          <w:bCs w:val="0"/>
          <w:i/>
          <w:noProof/>
          <w:color w:val="auto"/>
          <w:sz w:val="24"/>
          <w:szCs w:val="24"/>
        </w:rPr>
        <w:t>: Infrastruktura dhe Energjia</w:t>
      </w:r>
      <w:bookmarkEnd w:id="166"/>
    </w:p>
    <w:p w:rsidR="006308E8" w:rsidRPr="002124D1" w:rsidRDefault="007030D4" w:rsidP="002124D1">
      <w:pPr>
        <w:spacing w:line="276" w:lineRule="auto"/>
        <w:ind w:left="5760" w:firstLine="720"/>
        <w:jc w:val="center"/>
        <w:rPr>
          <w:rFonts w:asciiTheme="minorHAnsi" w:hAnsiTheme="minorHAnsi"/>
          <w:bCs/>
          <w:i/>
          <w:iCs/>
          <w:sz w:val="22"/>
          <w:lang w:val="sq-AL"/>
        </w:rPr>
      </w:pPr>
      <w:r>
        <w:rPr>
          <w:rFonts w:asciiTheme="minorHAnsi" w:hAnsiTheme="minorHAnsi"/>
          <w:bCs/>
          <w:i/>
          <w:iCs/>
          <w:sz w:val="22"/>
          <w:lang w:val="sq-AL"/>
        </w:rPr>
        <w:t>Në m</w:t>
      </w:r>
      <w:r w:rsidR="006308E8" w:rsidRPr="002124D1">
        <w:rPr>
          <w:rFonts w:asciiTheme="minorHAnsi" w:hAnsiTheme="minorHAnsi"/>
          <w:bCs/>
          <w:i/>
          <w:iCs/>
          <w:sz w:val="22"/>
          <w:lang w:val="sq-AL"/>
        </w:rPr>
        <w:t>ijë lekë</w:t>
      </w:r>
    </w:p>
    <w:tbl>
      <w:tblPr>
        <w:tblStyle w:val="TableGridLight11"/>
        <w:tblW w:w="0" w:type="auto"/>
        <w:jc w:val="center"/>
        <w:tblBorders>
          <w:top w:val="single" w:sz="4" w:space="0" w:color="548DD4" w:themeColor="text2" w:themeTint="99"/>
          <w:left w:val="single" w:sz="4" w:space="0" w:color="548DD4" w:themeColor="text2" w:themeTint="99"/>
          <w:bottom w:val="single" w:sz="4" w:space="0" w:color="548DD4" w:themeColor="text2" w:themeTint="99"/>
          <w:right w:val="single" w:sz="4" w:space="0" w:color="548DD4" w:themeColor="text2" w:themeTint="99"/>
          <w:insideH w:val="single" w:sz="4" w:space="0" w:color="548DD4" w:themeColor="text2" w:themeTint="99"/>
          <w:insideV w:val="single" w:sz="4" w:space="0" w:color="548DD4" w:themeColor="text2" w:themeTint="99"/>
        </w:tblBorders>
        <w:tblLook w:val="01E0" w:firstRow="1" w:lastRow="1" w:firstColumn="1" w:lastColumn="1" w:noHBand="0" w:noVBand="0"/>
      </w:tblPr>
      <w:tblGrid>
        <w:gridCol w:w="444"/>
        <w:gridCol w:w="2654"/>
        <w:gridCol w:w="960"/>
        <w:gridCol w:w="1036"/>
        <w:gridCol w:w="880"/>
        <w:gridCol w:w="952"/>
        <w:gridCol w:w="888"/>
        <w:gridCol w:w="961"/>
      </w:tblGrid>
      <w:tr w:rsidR="006308E8" w:rsidRPr="002124D1" w:rsidTr="002124D1">
        <w:trPr>
          <w:trHeight w:val="393"/>
          <w:jc w:val="center"/>
        </w:trPr>
        <w:tc>
          <w:tcPr>
            <w:tcW w:w="0" w:type="auto"/>
            <w:vMerge w:val="restart"/>
            <w:shd w:val="clear" w:color="auto" w:fill="4BACC6" w:themeFill="accent5"/>
          </w:tcPr>
          <w:p w:rsidR="006308E8" w:rsidRPr="002124D1" w:rsidRDefault="006308E8" w:rsidP="002124D1">
            <w:pPr>
              <w:jc w:val="center"/>
              <w:rPr>
                <w:rFonts w:asciiTheme="minorHAnsi" w:hAnsiTheme="minorHAnsi"/>
                <w:b/>
                <w:color w:val="FFFFFF" w:themeColor="background1"/>
                <w:sz w:val="18"/>
                <w:lang w:val="sq-AL"/>
              </w:rPr>
            </w:pPr>
          </w:p>
          <w:p w:rsidR="006308E8" w:rsidRPr="002124D1" w:rsidRDefault="006308E8" w:rsidP="002124D1">
            <w:pPr>
              <w:jc w:val="center"/>
              <w:rPr>
                <w:rFonts w:asciiTheme="minorHAnsi" w:hAnsiTheme="minorHAnsi"/>
                <w:b/>
                <w:color w:val="FFFFFF" w:themeColor="background1"/>
                <w:sz w:val="18"/>
                <w:lang w:val="sq-AL"/>
              </w:rPr>
            </w:pPr>
            <w:r w:rsidRPr="002124D1">
              <w:rPr>
                <w:rFonts w:asciiTheme="minorHAnsi" w:hAnsiTheme="minorHAnsi"/>
                <w:b/>
                <w:color w:val="FFFFFF" w:themeColor="background1"/>
                <w:sz w:val="18"/>
                <w:lang w:val="sq-AL"/>
              </w:rPr>
              <w:t>NR</w:t>
            </w:r>
          </w:p>
        </w:tc>
        <w:tc>
          <w:tcPr>
            <w:tcW w:w="0" w:type="auto"/>
            <w:vMerge w:val="restart"/>
            <w:shd w:val="clear" w:color="auto" w:fill="4BACC6" w:themeFill="accent5"/>
          </w:tcPr>
          <w:p w:rsidR="006308E8" w:rsidRPr="002124D1" w:rsidRDefault="006308E8" w:rsidP="002124D1">
            <w:pPr>
              <w:jc w:val="center"/>
              <w:rPr>
                <w:rFonts w:asciiTheme="minorHAnsi" w:hAnsiTheme="minorHAnsi"/>
                <w:b/>
                <w:color w:val="FFFFFF" w:themeColor="background1"/>
                <w:sz w:val="18"/>
                <w:lang w:val="sq-AL"/>
              </w:rPr>
            </w:pPr>
          </w:p>
          <w:p w:rsidR="006308E8" w:rsidRPr="002124D1" w:rsidRDefault="006308E8" w:rsidP="002124D1">
            <w:pPr>
              <w:jc w:val="center"/>
              <w:rPr>
                <w:rFonts w:asciiTheme="minorHAnsi" w:hAnsiTheme="minorHAnsi"/>
                <w:b/>
                <w:color w:val="FFFFFF" w:themeColor="background1"/>
                <w:sz w:val="18"/>
                <w:lang w:val="sq-AL"/>
              </w:rPr>
            </w:pPr>
            <w:r w:rsidRPr="002124D1">
              <w:rPr>
                <w:rFonts w:asciiTheme="minorHAnsi" w:hAnsiTheme="minorHAnsi"/>
                <w:b/>
                <w:color w:val="FFFFFF" w:themeColor="background1"/>
                <w:sz w:val="18"/>
                <w:lang w:val="sq-AL"/>
              </w:rPr>
              <w:t>Emërtimi i Programit</w:t>
            </w:r>
          </w:p>
        </w:tc>
        <w:tc>
          <w:tcPr>
            <w:tcW w:w="0" w:type="auto"/>
            <w:gridSpan w:val="2"/>
            <w:tcBorders>
              <w:bottom w:val="nil"/>
            </w:tcBorders>
            <w:shd w:val="clear" w:color="auto" w:fill="4BACC6" w:themeFill="accent5"/>
          </w:tcPr>
          <w:p w:rsidR="006308E8" w:rsidRPr="002124D1" w:rsidRDefault="006308E8" w:rsidP="002124D1">
            <w:pPr>
              <w:ind w:left="80"/>
              <w:jc w:val="center"/>
              <w:rPr>
                <w:rFonts w:asciiTheme="minorHAnsi" w:hAnsiTheme="minorHAnsi"/>
                <w:b/>
                <w:color w:val="FFFFFF" w:themeColor="background1"/>
                <w:sz w:val="18"/>
                <w:lang w:val="sq-AL"/>
              </w:rPr>
            </w:pPr>
            <w:r w:rsidRPr="002124D1">
              <w:rPr>
                <w:rFonts w:asciiTheme="minorHAnsi" w:hAnsiTheme="minorHAnsi"/>
                <w:b/>
                <w:color w:val="FFFFFF" w:themeColor="background1"/>
                <w:sz w:val="18"/>
                <w:lang w:val="sq-AL"/>
              </w:rPr>
              <w:t>Plani 2020</w:t>
            </w:r>
          </w:p>
        </w:tc>
        <w:tc>
          <w:tcPr>
            <w:tcW w:w="0" w:type="auto"/>
            <w:gridSpan w:val="2"/>
            <w:shd w:val="clear" w:color="auto" w:fill="4BACC6" w:themeFill="accent5"/>
          </w:tcPr>
          <w:p w:rsidR="006308E8" w:rsidRPr="002124D1" w:rsidRDefault="006308E8" w:rsidP="002124D1">
            <w:pPr>
              <w:jc w:val="center"/>
              <w:rPr>
                <w:rFonts w:asciiTheme="minorHAnsi" w:hAnsiTheme="minorHAnsi"/>
                <w:b/>
                <w:color w:val="FFFFFF" w:themeColor="background1"/>
                <w:sz w:val="18"/>
                <w:lang w:val="sq-AL"/>
              </w:rPr>
            </w:pPr>
            <w:r w:rsidRPr="002124D1">
              <w:rPr>
                <w:rFonts w:asciiTheme="minorHAnsi" w:hAnsiTheme="minorHAnsi"/>
                <w:b/>
                <w:color w:val="FFFFFF" w:themeColor="background1"/>
                <w:sz w:val="18"/>
                <w:lang w:val="sq-AL"/>
              </w:rPr>
              <w:t>Fakti 4-mujori 2020</w:t>
            </w:r>
          </w:p>
        </w:tc>
        <w:tc>
          <w:tcPr>
            <w:tcW w:w="0" w:type="auto"/>
            <w:gridSpan w:val="2"/>
            <w:shd w:val="clear" w:color="auto" w:fill="4BACC6" w:themeFill="accent5"/>
          </w:tcPr>
          <w:p w:rsidR="006308E8" w:rsidRPr="002124D1" w:rsidRDefault="006308E8" w:rsidP="002124D1">
            <w:pPr>
              <w:jc w:val="center"/>
              <w:rPr>
                <w:rFonts w:asciiTheme="minorHAnsi" w:hAnsiTheme="minorHAnsi"/>
                <w:b/>
                <w:color w:val="FFFFFF" w:themeColor="background1"/>
                <w:sz w:val="18"/>
                <w:lang w:val="sq-AL"/>
              </w:rPr>
            </w:pPr>
            <w:r w:rsidRPr="002124D1">
              <w:rPr>
                <w:rFonts w:asciiTheme="minorHAnsi" w:hAnsiTheme="minorHAnsi"/>
                <w:b/>
                <w:bCs/>
                <w:color w:val="FFFFFF" w:themeColor="background1"/>
                <w:sz w:val="18"/>
                <w:lang w:val="sq-AL"/>
              </w:rPr>
              <w:t>Përqindja  e realizimit</w:t>
            </w:r>
          </w:p>
        </w:tc>
      </w:tr>
      <w:tr w:rsidR="006308E8" w:rsidRPr="002124D1" w:rsidTr="002124D1">
        <w:trPr>
          <w:trHeight w:val="313"/>
          <w:jc w:val="center"/>
        </w:trPr>
        <w:tc>
          <w:tcPr>
            <w:tcW w:w="0" w:type="auto"/>
            <w:vMerge/>
            <w:shd w:val="clear" w:color="auto" w:fill="4BACC6" w:themeFill="accent5"/>
          </w:tcPr>
          <w:p w:rsidR="006308E8" w:rsidRPr="002124D1" w:rsidRDefault="006308E8" w:rsidP="002124D1">
            <w:pPr>
              <w:jc w:val="center"/>
              <w:rPr>
                <w:rFonts w:asciiTheme="minorHAnsi" w:hAnsiTheme="minorHAnsi"/>
                <w:b/>
                <w:color w:val="FFFFFF" w:themeColor="background1"/>
                <w:sz w:val="18"/>
                <w:lang w:val="sq-AL"/>
              </w:rPr>
            </w:pPr>
          </w:p>
        </w:tc>
        <w:tc>
          <w:tcPr>
            <w:tcW w:w="0" w:type="auto"/>
            <w:vMerge/>
            <w:shd w:val="clear" w:color="auto" w:fill="4BACC6" w:themeFill="accent5"/>
          </w:tcPr>
          <w:p w:rsidR="006308E8" w:rsidRPr="002124D1" w:rsidRDefault="006308E8" w:rsidP="002124D1">
            <w:pPr>
              <w:jc w:val="center"/>
              <w:rPr>
                <w:rFonts w:asciiTheme="minorHAnsi" w:hAnsiTheme="minorHAnsi"/>
                <w:b/>
                <w:color w:val="FFFFFF" w:themeColor="background1"/>
                <w:sz w:val="18"/>
                <w:lang w:val="sq-AL"/>
              </w:rPr>
            </w:pPr>
          </w:p>
        </w:tc>
        <w:tc>
          <w:tcPr>
            <w:tcW w:w="0" w:type="auto"/>
            <w:shd w:val="clear" w:color="auto" w:fill="4BACC6" w:themeFill="accent5"/>
          </w:tcPr>
          <w:p w:rsidR="006308E8" w:rsidRPr="002124D1" w:rsidRDefault="006308E8" w:rsidP="002124D1">
            <w:pPr>
              <w:ind w:left="80"/>
              <w:jc w:val="center"/>
              <w:rPr>
                <w:rFonts w:asciiTheme="minorHAnsi" w:hAnsiTheme="minorHAnsi"/>
                <w:b/>
                <w:color w:val="FFFFFF" w:themeColor="background1"/>
                <w:sz w:val="18"/>
                <w:lang w:val="sq-AL"/>
              </w:rPr>
            </w:pPr>
            <w:r w:rsidRPr="002124D1">
              <w:rPr>
                <w:rFonts w:asciiTheme="minorHAnsi" w:hAnsiTheme="minorHAnsi"/>
                <w:b/>
                <w:color w:val="FFFFFF" w:themeColor="background1"/>
                <w:sz w:val="18"/>
                <w:lang w:val="sq-AL"/>
              </w:rPr>
              <w:t>Korrente</w:t>
            </w:r>
          </w:p>
        </w:tc>
        <w:tc>
          <w:tcPr>
            <w:tcW w:w="0" w:type="auto"/>
            <w:shd w:val="clear" w:color="auto" w:fill="4BACC6" w:themeFill="accent5"/>
          </w:tcPr>
          <w:p w:rsidR="006308E8" w:rsidRPr="002124D1" w:rsidRDefault="006308E8" w:rsidP="002124D1">
            <w:pPr>
              <w:ind w:left="80"/>
              <w:jc w:val="center"/>
              <w:rPr>
                <w:rFonts w:asciiTheme="minorHAnsi" w:hAnsiTheme="minorHAnsi"/>
                <w:b/>
                <w:color w:val="FFFFFF" w:themeColor="background1"/>
                <w:sz w:val="18"/>
                <w:lang w:val="sq-AL"/>
              </w:rPr>
            </w:pPr>
            <w:r w:rsidRPr="002124D1">
              <w:rPr>
                <w:rFonts w:asciiTheme="minorHAnsi" w:hAnsiTheme="minorHAnsi"/>
                <w:b/>
                <w:color w:val="FFFFFF" w:themeColor="background1"/>
                <w:sz w:val="18"/>
                <w:lang w:val="sq-AL"/>
              </w:rPr>
              <w:t>Investime</w:t>
            </w:r>
          </w:p>
        </w:tc>
        <w:tc>
          <w:tcPr>
            <w:tcW w:w="0" w:type="auto"/>
            <w:shd w:val="clear" w:color="auto" w:fill="4BACC6" w:themeFill="accent5"/>
          </w:tcPr>
          <w:p w:rsidR="006308E8" w:rsidRPr="002124D1" w:rsidRDefault="006308E8" w:rsidP="002124D1">
            <w:pPr>
              <w:jc w:val="center"/>
              <w:rPr>
                <w:rFonts w:asciiTheme="minorHAnsi" w:hAnsiTheme="minorHAnsi"/>
                <w:b/>
                <w:color w:val="FFFFFF" w:themeColor="background1"/>
                <w:sz w:val="18"/>
                <w:lang w:val="sq-AL"/>
              </w:rPr>
            </w:pPr>
            <w:r w:rsidRPr="002124D1">
              <w:rPr>
                <w:rFonts w:asciiTheme="minorHAnsi" w:hAnsiTheme="minorHAnsi"/>
                <w:b/>
                <w:color w:val="FFFFFF" w:themeColor="background1"/>
                <w:sz w:val="18"/>
                <w:lang w:val="sq-AL"/>
              </w:rPr>
              <w:t>Korrente</w:t>
            </w:r>
          </w:p>
        </w:tc>
        <w:tc>
          <w:tcPr>
            <w:tcW w:w="0" w:type="auto"/>
            <w:shd w:val="clear" w:color="auto" w:fill="4BACC6" w:themeFill="accent5"/>
          </w:tcPr>
          <w:p w:rsidR="006308E8" w:rsidRPr="002124D1" w:rsidRDefault="006308E8" w:rsidP="002124D1">
            <w:pPr>
              <w:jc w:val="center"/>
              <w:rPr>
                <w:rFonts w:asciiTheme="minorHAnsi" w:hAnsiTheme="minorHAnsi"/>
                <w:b/>
                <w:color w:val="FFFFFF" w:themeColor="background1"/>
                <w:sz w:val="18"/>
                <w:lang w:val="sq-AL"/>
              </w:rPr>
            </w:pPr>
            <w:r w:rsidRPr="002124D1">
              <w:rPr>
                <w:rFonts w:asciiTheme="minorHAnsi" w:hAnsiTheme="minorHAnsi"/>
                <w:b/>
                <w:color w:val="FFFFFF" w:themeColor="background1"/>
                <w:sz w:val="18"/>
                <w:lang w:val="sq-AL"/>
              </w:rPr>
              <w:t>Investime</w:t>
            </w:r>
          </w:p>
        </w:tc>
        <w:tc>
          <w:tcPr>
            <w:tcW w:w="0" w:type="auto"/>
            <w:shd w:val="clear" w:color="auto" w:fill="4BACC6" w:themeFill="accent5"/>
          </w:tcPr>
          <w:p w:rsidR="006308E8" w:rsidRPr="002124D1" w:rsidRDefault="006308E8" w:rsidP="002124D1">
            <w:pPr>
              <w:jc w:val="center"/>
              <w:rPr>
                <w:rFonts w:asciiTheme="minorHAnsi" w:hAnsiTheme="minorHAnsi"/>
                <w:b/>
                <w:color w:val="FFFFFF" w:themeColor="background1"/>
                <w:sz w:val="18"/>
                <w:lang w:val="sq-AL"/>
              </w:rPr>
            </w:pPr>
            <w:r w:rsidRPr="002124D1">
              <w:rPr>
                <w:rFonts w:asciiTheme="minorHAnsi" w:hAnsiTheme="minorHAnsi"/>
                <w:b/>
                <w:color w:val="FFFFFF" w:themeColor="background1"/>
                <w:sz w:val="18"/>
                <w:lang w:val="sq-AL"/>
              </w:rPr>
              <w:t>Korrente</w:t>
            </w:r>
          </w:p>
        </w:tc>
        <w:tc>
          <w:tcPr>
            <w:tcW w:w="0" w:type="auto"/>
            <w:shd w:val="clear" w:color="auto" w:fill="4BACC6" w:themeFill="accent5"/>
          </w:tcPr>
          <w:p w:rsidR="006308E8" w:rsidRPr="002124D1" w:rsidRDefault="006308E8" w:rsidP="002124D1">
            <w:pPr>
              <w:jc w:val="center"/>
              <w:rPr>
                <w:rFonts w:asciiTheme="minorHAnsi" w:hAnsiTheme="minorHAnsi"/>
                <w:b/>
                <w:color w:val="FFFFFF" w:themeColor="background1"/>
                <w:sz w:val="18"/>
                <w:lang w:val="sq-AL"/>
              </w:rPr>
            </w:pPr>
            <w:r w:rsidRPr="002124D1">
              <w:rPr>
                <w:rFonts w:asciiTheme="minorHAnsi" w:hAnsiTheme="minorHAnsi"/>
                <w:b/>
                <w:color w:val="FFFFFF" w:themeColor="background1"/>
                <w:sz w:val="18"/>
                <w:lang w:val="sq-AL"/>
              </w:rPr>
              <w:t>Investime</w:t>
            </w:r>
          </w:p>
        </w:tc>
      </w:tr>
      <w:tr w:rsidR="006308E8" w:rsidRPr="002124D1" w:rsidTr="002124D1">
        <w:trPr>
          <w:trHeight w:val="346"/>
          <w:jc w:val="center"/>
        </w:trPr>
        <w:tc>
          <w:tcPr>
            <w:tcW w:w="0" w:type="auto"/>
          </w:tcPr>
          <w:p w:rsidR="006308E8" w:rsidRPr="002124D1" w:rsidRDefault="006308E8" w:rsidP="002124D1">
            <w:pPr>
              <w:jc w:val="center"/>
              <w:rPr>
                <w:rFonts w:asciiTheme="minorHAnsi" w:hAnsiTheme="minorHAnsi"/>
                <w:sz w:val="18"/>
                <w:szCs w:val="16"/>
                <w:lang w:val="sq-AL"/>
              </w:rPr>
            </w:pPr>
            <w:r w:rsidRPr="002124D1">
              <w:rPr>
                <w:rFonts w:asciiTheme="minorHAnsi" w:hAnsiTheme="minorHAnsi"/>
                <w:sz w:val="18"/>
                <w:szCs w:val="16"/>
                <w:lang w:val="sq-AL"/>
              </w:rPr>
              <w:t>1.</w:t>
            </w:r>
          </w:p>
        </w:tc>
        <w:tc>
          <w:tcPr>
            <w:tcW w:w="0" w:type="auto"/>
          </w:tcPr>
          <w:p w:rsidR="006308E8" w:rsidRPr="002124D1" w:rsidRDefault="006308E8" w:rsidP="002124D1">
            <w:pPr>
              <w:rPr>
                <w:rFonts w:asciiTheme="minorHAnsi" w:hAnsiTheme="minorHAnsi"/>
                <w:sz w:val="18"/>
                <w:szCs w:val="16"/>
                <w:lang w:val="sq-AL"/>
              </w:rPr>
            </w:pPr>
            <w:r w:rsidRPr="002124D1">
              <w:rPr>
                <w:rFonts w:asciiTheme="minorHAnsi" w:hAnsiTheme="minorHAnsi"/>
                <w:sz w:val="18"/>
                <w:szCs w:val="16"/>
                <w:lang w:val="sq-AL"/>
              </w:rPr>
              <w:t>Transporti Rrugor</w:t>
            </w:r>
          </w:p>
        </w:tc>
        <w:tc>
          <w:tcPr>
            <w:tcW w:w="0" w:type="auto"/>
          </w:tcPr>
          <w:p w:rsidR="006308E8" w:rsidRPr="002124D1" w:rsidRDefault="006308E8" w:rsidP="002124D1">
            <w:pPr>
              <w:jc w:val="right"/>
              <w:rPr>
                <w:rFonts w:asciiTheme="minorHAnsi" w:hAnsiTheme="minorHAnsi"/>
                <w:sz w:val="18"/>
                <w:szCs w:val="16"/>
                <w:lang w:val="sq-AL"/>
              </w:rPr>
            </w:pPr>
            <w:r w:rsidRPr="002124D1">
              <w:rPr>
                <w:rFonts w:asciiTheme="minorHAnsi" w:hAnsiTheme="minorHAnsi"/>
                <w:sz w:val="18"/>
                <w:szCs w:val="16"/>
                <w:lang w:val="sq-AL"/>
              </w:rPr>
              <w:t>1,502,291</w:t>
            </w:r>
          </w:p>
        </w:tc>
        <w:tc>
          <w:tcPr>
            <w:tcW w:w="0" w:type="auto"/>
          </w:tcPr>
          <w:p w:rsidR="006308E8" w:rsidRPr="002124D1" w:rsidRDefault="006308E8" w:rsidP="002124D1">
            <w:pPr>
              <w:jc w:val="right"/>
              <w:rPr>
                <w:rFonts w:asciiTheme="minorHAnsi" w:hAnsiTheme="minorHAnsi"/>
                <w:sz w:val="18"/>
                <w:szCs w:val="16"/>
                <w:lang w:val="sq-AL"/>
              </w:rPr>
            </w:pPr>
            <w:r w:rsidRPr="002124D1">
              <w:rPr>
                <w:rFonts w:asciiTheme="minorHAnsi" w:hAnsiTheme="minorHAnsi"/>
                <w:sz w:val="18"/>
                <w:szCs w:val="16"/>
                <w:lang w:val="sq-AL"/>
              </w:rPr>
              <w:t>13,299,800</w:t>
            </w:r>
          </w:p>
        </w:tc>
        <w:tc>
          <w:tcPr>
            <w:tcW w:w="0" w:type="auto"/>
          </w:tcPr>
          <w:p w:rsidR="006308E8" w:rsidRPr="002124D1" w:rsidRDefault="006308E8" w:rsidP="002124D1">
            <w:pPr>
              <w:jc w:val="right"/>
              <w:rPr>
                <w:rFonts w:asciiTheme="minorHAnsi" w:hAnsiTheme="minorHAnsi"/>
                <w:sz w:val="18"/>
                <w:szCs w:val="16"/>
                <w:lang w:val="sq-AL"/>
              </w:rPr>
            </w:pPr>
            <w:r w:rsidRPr="002124D1">
              <w:rPr>
                <w:rFonts w:asciiTheme="minorHAnsi" w:hAnsiTheme="minorHAnsi"/>
                <w:sz w:val="18"/>
                <w:szCs w:val="16"/>
                <w:lang w:val="sq-AL"/>
              </w:rPr>
              <w:t>435,395</w:t>
            </w:r>
          </w:p>
        </w:tc>
        <w:tc>
          <w:tcPr>
            <w:tcW w:w="0" w:type="auto"/>
          </w:tcPr>
          <w:p w:rsidR="006308E8" w:rsidRPr="002124D1" w:rsidRDefault="006308E8" w:rsidP="002124D1">
            <w:pPr>
              <w:jc w:val="right"/>
              <w:rPr>
                <w:rFonts w:asciiTheme="minorHAnsi" w:hAnsiTheme="minorHAnsi"/>
                <w:sz w:val="18"/>
                <w:szCs w:val="16"/>
                <w:lang w:val="sq-AL"/>
              </w:rPr>
            </w:pPr>
            <w:r w:rsidRPr="002124D1">
              <w:rPr>
                <w:rFonts w:asciiTheme="minorHAnsi" w:hAnsiTheme="minorHAnsi"/>
                <w:sz w:val="18"/>
                <w:szCs w:val="16"/>
                <w:lang w:val="sq-AL"/>
              </w:rPr>
              <w:t>6,059,763</w:t>
            </w:r>
          </w:p>
        </w:tc>
        <w:tc>
          <w:tcPr>
            <w:tcW w:w="0" w:type="auto"/>
          </w:tcPr>
          <w:p w:rsidR="006308E8" w:rsidRPr="002124D1" w:rsidRDefault="006308E8" w:rsidP="002124D1">
            <w:pPr>
              <w:jc w:val="center"/>
              <w:rPr>
                <w:rFonts w:asciiTheme="minorHAnsi" w:hAnsiTheme="minorHAnsi"/>
                <w:sz w:val="18"/>
                <w:szCs w:val="16"/>
                <w:lang w:val="sq-AL"/>
              </w:rPr>
            </w:pPr>
            <w:r w:rsidRPr="002124D1">
              <w:rPr>
                <w:rFonts w:asciiTheme="minorHAnsi" w:hAnsiTheme="minorHAnsi"/>
                <w:sz w:val="18"/>
                <w:szCs w:val="16"/>
                <w:lang w:val="sq-AL"/>
              </w:rPr>
              <w:t>29%</w:t>
            </w:r>
          </w:p>
        </w:tc>
        <w:tc>
          <w:tcPr>
            <w:tcW w:w="0" w:type="auto"/>
          </w:tcPr>
          <w:p w:rsidR="006308E8" w:rsidRPr="002124D1" w:rsidRDefault="006308E8" w:rsidP="002124D1">
            <w:pPr>
              <w:jc w:val="center"/>
              <w:rPr>
                <w:rFonts w:asciiTheme="minorHAnsi" w:hAnsiTheme="minorHAnsi"/>
                <w:sz w:val="18"/>
                <w:szCs w:val="16"/>
                <w:lang w:val="sq-AL"/>
              </w:rPr>
            </w:pPr>
            <w:r w:rsidRPr="002124D1">
              <w:rPr>
                <w:rFonts w:asciiTheme="minorHAnsi" w:hAnsiTheme="minorHAnsi"/>
                <w:sz w:val="18"/>
                <w:szCs w:val="16"/>
                <w:lang w:val="sq-AL"/>
              </w:rPr>
              <w:t>46%</w:t>
            </w:r>
          </w:p>
        </w:tc>
      </w:tr>
      <w:tr w:rsidR="006308E8" w:rsidRPr="002124D1" w:rsidTr="002124D1">
        <w:trPr>
          <w:trHeight w:val="256"/>
          <w:jc w:val="center"/>
        </w:trPr>
        <w:tc>
          <w:tcPr>
            <w:tcW w:w="0" w:type="auto"/>
          </w:tcPr>
          <w:p w:rsidR="006308E8" w:rsidRPr="002124D1" w:rsidRDefault="006308E8" w:rsidP="002124D1">
            <w:pPr>
              <w:jc w:val="center"/>
              <w:rPr>
                <w:rFonts w:asciiTheme="minorHAnsi" w:hAnsiTheme="minorHAnsi"/>
                <w:sz w:val="18"/>
                <w:szCs w:val="16"/>
                <w:lang w:val="sq-AL"/>
              </w:rPr>
            </w:pPr>
          </w:p>
        </w:tc>
        <w:tc>
          <w:tcPr>
            <w:tcW w:w="0" w:type="auto"/>
          </w:tcPr>
          <w:p w:rsidR="006308E8" w:rsidRPr="002124D1" w:rsidRDefault="006308E8" w:rsidP="002124D1">
            <w:pPr>
              <w:contextualSpacing/>
              <w:rPr>
                <w:rFonts w:asciiTheme="minorHAnsi" w:hAnsiTheme="minorHAnsi"/>
                <w:sz w:val="18"/>
                <w:szCs w:val="16"/>
                <w:lang w:val="sq-AL"/>
              </w:rPr>
            </w:pPr>
            <w:r w:rsidRPr="002124D1">
              <w:rPr>
                <w:rFonts w:asciiTheme="minorHAnsi" w:hAnsiTheme="minorHAnsi"/>
                <w:sz w:val="18"/>
                <w:szCs w:val="16"/>
                <w:lang w:val="sq-AL"/>
              </w:rPr>
              <w:t xml:space="preserve">                              Financimi i huaj</w:t>
            </w:r>
          </w:p>
        </w:tc>
        <w:tc>
          <w:tcPr>
            <w:tcW w:w="0" w:type="auto"/>
          </w:tcPr>
          <w:p w:rsidR="006308E8" w:rsidRPr="002124D1" w:rsidRDefault="006308E8" w:rsidP="002124D1">
            <w:pPr>
              <w:jc w:val="right"/>
              <w:rPr>
                <w:rFonts w:asciiTheme="minorHAnsi" w:hAnsiTheme="minorHAnsi"/>
                <w:sz w:val="18"/>
                <w:szCs w:val="16"/>
                <w:lang w:val="sq-AL"/>
              </w:rPr>
            </w:pPr>
          </w:p>
        </w:tc>
        <w:tc>
          <w:tcPr>
            <w:tcW w:w="0" w:type="auto"/>
            <w:shd w:val="clear" w:color="auto" w:fill="auto"/>
          </w:tcPr>
          <w:p w:rsidR="006308E8" w:rsidRPr="002124D1" w:rsidRDefault="006308E8" w:rsidP="002124D1">
            <w:pPr>
              <w:jc w:val="right"/>
              <w:rPr>
                <w:rFonts w:asciiTheme="minorHAnsi" w:hAnsiTheme="minorHAnsi"/>
                <w:sz w:val="18"/>
                <w:szCs w:val="16"/>
                <w:lang w:val="sq-AL"/>
              </w:rPr>
            </w:pPr>
            <w:r w:rsidRPr="002124D1">
              <w:rPr>
                <w:rFonts w:asciiTheme="minorHAnsi" w:hAnsiTheme="minorHAnsi"/>
                <w:sz w:val="18"/>
                <w:szCs w:val="16"/>
                <w:lang w:val="sq-AL"/>
              </w:rPr>
              <w:t>6,108,132</w:t>
            </w:r>
          </w:p>
        </w:tc>
        <w:tc>
          <w:tcPr>
            <w:tcW w:w="0" w:type="auto"/>
            <w:shd w:val="clear" w:color="auto" w:fill="auto"/>
          </w:tcPr>
          <w:p w:rsidR="006308E8" w:rsidRPr="002124D1" w:rsidRDefault="006308E8" w:rsidP="002124D1">
            <w:pPr>
              <w:jc w:val="right"/>
              <w:rPr>
                <w:rFonts w:asciiTheme="minorHAnsi" w:hAnsiTheme="minorHAnsi"/>
                <w:sz w:val="18"/>
                <w:szCs w:val="16"/>
                <w:lang w:val="sq-AL"/>
              </w:rPr>
            </w:pPr>
          </w:p>
        </w:tc>
        <w:tc>
          <w:tcPr>
            <w:tcW w:w="0" w:type="auto"/>
            <w:shd w:val="clear" w:color="auto" w:fill="auto"/>
          </w:tcPr>
          <w:p w:rsidR="006308E8" w:rsidRPr="002124D1" w:rsidRDefault="006308E8" w:rsidP="002124D1">
            <w:pPr>
              <w:jc w:val="right"/>
              <w:rPr>
                <w:rFonts w:asciiTheme="minorHAnsi" w:hAnsiTheme="minorHAnsi"/>
                <w:sz w:val="18"/>
                <w:szCs w:val="16"/>
                <w:lang w:val="sq-AL"/>
              </w:rPr>
            </w:pPr>
            <w:r w:rsidRPr="002124D1">
              <w:rPr>
                <w:rFonts w:asciiTheme="minorHAnsi" w:hAnsiTheme="minorHAnsi"/>
                <w:sz w:val="18"/>
                <w:szCs w:val="16"/>
                <w:lang w:val="sq-AL"/>
              </w:rPr>
              <w:t>1,883,708</w:t>
            </w:r>
          </w:p>
        </w:tc>
        <w:tc>
          <w:tcPr>
            <w:tcW w:w="0" w:type="auto"/>
            <w:shd w:val="clear" w:color="auto" w:fill="auto"/>
          </w:tcPr>
          <w:p w:rsidR="006308E8" w:rsidRPr="002124D1" w:rsidRDefault="006308E8" w:rsidP="002124D1">
            <w:pPr>
              <w:jc w:val="center"/>
              <w:rPr>
                <w:rFonts w:asciiTheme="minorHAnsi" w:hAnsiTheme="minorHAnsi"/>
                <w:sz w:val="18"/>
                <w:szCs w:val="16"/>
                <w:lang w:val="sq-AL"/>
              </w:rPr>
            </w:pPr>
          </w:p>
        </w:tc>
        <w:tc>
          <w:tcPr>
            <w:tcW w:w="0" w:type="auto"/>
            <w:shd w:val="clear" w:color="auto" w:fill="auto"/>
          </w:tcPr>
          <w:p w:rsidR="006308E8" w:rsidRPr="002124D1" w:rsidRDefault="006308E8" w:rsidP="002124D1">
            <w:pPr>
              <w:jc w:val="center"/>
              <w:rPr>
                <w:rFonts w:asciiTheme="minorHAnsi" w:hAnsiTheme="minorHAnsi"/>
                <w:sz w:val="18"/>
                <w:szCs w:val="16"/>
                <w:lang w:val="sq-AL"/>
              </w:rPr>
            </w:pPr>
            <w:r w:rsidRPr="002124D1">
              <w:rPr>
                <w:rFonts w:asciiTheme="minorHAnsi" w:hAnsiTheme="minorHAnsi"/>
                <w:sz w:val="18"/>
                <w:szCs w:val="16"/>
                <w:lang w:val="sq-AL"/>
              </w:rPr>
              <w:t>31%</w:t>
            </w:r>
          </w:p>
        </w:tc>
      </w:tr>
      <w:tr w:rsidR="006308E8" w:rsidRPr="002124D1" w:rsidTr="002124D1">
        <w:trPr>
          <w:trHeight w:val="346"/>
          <w:jc w:val="center"/>
        </w:trPr>
        <w:tc>
          <w:tcPr>
            <w:tcW w:w="0" w:type="auto"/>
          </w:tcPr>
          <w:p w:rsidR="006308E8" w:rsidRPr="002124D1" w:rsidRDefault="006308E8" w:rsidP="002124D1">
            <w:pPr>
              <w:jc w:val="center"/>
              <w:rPr>
                <w:rFonts w:asciiTheme="minorHAnsi" w:hAnsiTheme="minorHAnsi"/>
                <w:sz w:val="18"/>
                <w:szCs w:val="16"/>
                <w:lang w:val="sq-AL"/>
              </w:rPr>
            </w:pPr>
            <w:r w:rsidRPr="002124D1">
              <w:rPr>
                <w:rFonts w:asciiTheme="minorHAnsi" w:hAnsiTheme="minorHAnsi"/>
                <w:sz w:val="18"/>
                <w:szCs w:val="16"/>
                <w:lang w:val="sq-AL"/>
              </w:rPr>
              <w:t>2.</w:t>
            </w:r>
          </w:p>
        </w:tc>
        <w:tc>
          <w:tcPr>
            <w:tcW w:w="0" w:type="auto"/>
          </w:tcPr>
          <w:p w:rsidR="006308E8" w:rsidRPr="002124D1" w:rsidRDefault="006308E8" w:rsidP="002124D1">
            <w:pPr>
              <w:rPr>
                <w:rFonts w:asciiTheme="minorHAnsi" w:hAnsiTheme="minorHAnsi"/>
                <w:sz w:val="18"/>
                <w:szCs w:val="16"/>
                <w:lang w:val="sq-AL"/>
              </w:rPr>
            </w:pPr>
            <w:r w:rsidRPr="002124D1">
              <w:rPr>
                <w:rFonts w:asciiTheme="minorHAnsi" w:hAnsiTheme="minorHAnsi"/>
                <w:sz w:val="18"/>
                <w:szCs w:val="16"/>
                <w:lang w:val="sq-AL"/>
              </w:rPr>
              <w:t>Mbështetje për Energjinë</w:t>
            </w:r>
          </w:p>
        </w:tc>
        <w:tc>
          <w:tcPr>
            <w:tcW w:w="0" w:type="auto"/>
          </w:tcPr>
          <w:p w:rsidR="006308E8" w:rsidRPr="002124D1" w:rsidRDefault="006308E8" w:rsidP="002124D1">
            <w:pPr>
              <w:jc w:val="right"/>
              <w:rPr>
                <w:rFonts w:asciiTheme="minorHAnsi" w:hAnsiTheme="minorHAnsi"/>
                <w:sz w:val="18"/>
                <w:szCs w:val="16"/>
                <w:lang w:val="sq-AL"/>
              </w:rPr>
            </w:pPr>
            <w:r w:rsidRPr="002124D1">
              <w:rPr>
                <w:rFonts w:asciiTheme="minorHAnsi" w:hAnsiTheme="minorHAnsi"/>
                <w:sz w:val="18"/>
                <w:szCs w:val="16"/>
                <w:lang w:val="sq-AL"/>
              </w:rPr>
              <w:t>87,900</w:t>
            </w:r>
          </w:p>
        </w:tc>
        <w:tc>
          <w:tcPr>
            <w:tcW w:w="0" w:type="auto"/>
            <w:shd w:val="clear" w:color="auto" w:fill="auto"/>
          </w:tcPr>
          <w:p w:rsidR="006308E8" w:rsidRPr="002124D1" w:rsidRDefault="006308E8" w:rsidP="002124D1">
            <w:pPr>
              <w:jc w:val="right"/>
              <w:rPr>
                <w:rFonts w:asciiTheme="minorHAnsi" w:hAnsiTheme="minorHAnsi"/>
                <w:sz w:val="18"/>
                <w:szCs w:val="16"/>
                <w:lang w:val="sq-AL"/>
              </w:rPr>
            </w:pPr>
            <w:r w:rsidRPr="002124D1">
              <w:rPr>
                <w:rFonts w:asciiTheme="minorHAnsi" w:hAnsiTheme="minorHAnsi"/>
                <w:sz w:val="18"/>
                <w:szCs w:val="16"/>
                <w:lang w:val="sq-AL"/>
              </w:rPr>
              <w:t>228,000</w:t>
            </w:r>
          </w:p>
        </w:tc>
        <w:tc>
          <w:tcPr>
            <w:tcW w:w="0" w:type="auto"/>
            <w:shd w:val="clear" w:color="auto" w:fill="auto"/>
          </w:tcPr>
          <w:p w:rsidR="006308E8" w:rsidRPr="002124D1" w:rsidRDefault="006308E8" w:rsidP="002124D1">
            <w:pPr>
              <w:jc w:val="right"/>
              <w:rPr>
                <w:rFonts w:asciiTheme="minorHAnsi" w:hAnsiTheme="minorHAnsi"/>
                <w:sz w:val="18"/>
                <w:szCs w:val="16"/>
                <w:lang w:val="sq-AL"/>
              </w:rPr>
            </w:pPr>
            <w:r w:rsidRPr="002124D1">
              <w:rPr>
                <w:rFonts w:asciiTheme="minorHAnsi" w:hAnsiTheme="minorHAnsi"/>
                <w:sz w:val="18"/>
                <w:szCs w:val="16"/>
                <w:lang w:val="sq-AL"/>
              </w:rPr>
              <w:t>5,495</w:t>
            </w:r>
          </w:p>
        </w:tc>
        <w:tc>
          <w:tcPr>
            <w:tcW w:w="0" w:type="auto"/>
            <w:shd w:val="clear" w:color="auto" w:fill="auto"/>
          </w:tcPr>
          <w:p w:rsidR="006308E8" w:rsidRPr="002124D1" w:rsidRDefault="006308E8" w:rsidP="002124D1">
            <w:pPr>
              <w:jc w:val="right"/>
              <w:rPr>
                <w:rFonts w:asciiTheme="minorHAnsi" w:hAnsiTheme="minorHAnsi"/>
                <w:sz w:val="18"/>
                <w:szCs w:val="16"/>
                <w:lang w:val="sq-AL"/>
              </w:rPr>
            </w:pPr>
            <w:r w:rsidRPr="002124D1">
              <w:rPr>
                <w:rFonts w:asciiTheme="minorHAnsi" w:hAnsiTheme="minorHAnsi"/>
                <w:sz w:val="18"/>
                <w:szCs w:val="16"/>
                <w:lang w:val="sq-AL"/>
              </w:rPr>
              <w:t>6,184</w:t>
            </w:r>
          </w:p>
        </w:tc>
        <w:tc>
          <w:tcPr>
            <w:tcW w:w="0" w:type="auto"/>
            <w:shd w:val="clear" w:color="auto" w:fill="auto"/>
          </w:tcPr>
          <w:p w:rsidR="006308E8" w:rsidRPr="002124D1" w:rsidRDefault="006308E8" w:rsidP="002124D1">
            <w:pPr>
              <w:jc w:val="center"/>
              <w:rPr>
                <w:rFonts w:asciiTheme="minorHAnsi" w:hAnsiTheme="minorHAnsi"/>
                <w:sz w:val="18"/>
                <w:szCs w:val="16"/>
                <w:lang w:val="sq-AL"/>
              </w:rPr>
            </w:pPr>
            <w:r w:rsidRPr="002124D1">
              <w:rPr>
                <w:rFonts w:asciiTheme="minorHAnsi" w:hAnsiTheme="minorHAnsi"/>
                <w:sz w:val="18"/>
                <w:szCs w:val="16"/>
                <w:lang w:val="sq-AL"/>
              </w:rPr>
              <w:t>6%</w:t>
            </w:r>
          </w:p>
        </w:tc>
        <w:tc>
          <w:tcPr>
            <w:tcW w:w="0" w:type="auto"/>
            <w:shd w:val="clear" w:color="auto" w:fill="auto"/>
          </w:tcPr>
          <w:p w:rsidR="006308E8" w:rsidRPr="002124D1" w:rsidRDefault="006308E8" w:rsidP="002124D1">
            <w:pPr>
              <w:jc w:val="center"/>
              <w:rPr>
                <w:rFonts w:asciiTheme="minorHAnsi" w:hAnsiTheme="minorHAnsi"/>
                <w:sz w:val="18"/>
                <w:szCs w:val="16"/>
                <w:lang w:val="sq-AL"/>
              </w:rPr>
            </w:pPr>
            <w:r w:rsidRPr="002124D1">
              <w:rPr>
                <w:rFonts w:asciiTheme="minorHAnsi" w:hAnsiTheme="minorHAnsi"/>
                <w:sz w:val="18"/>
                <w:szCs w:val="16"/>
                <w:lang w:val="sq-AL"/>
              </w:rPr>
              <w:t>3%</w:t>
            </w:r>
          </w:p>
        </w:tc>
      </w:tr>
      <w:tr w:rsidR="006308E8" w:rsidRPr="002124D1" w:rsidTr="002124D1">
        <w:trPr>
          <w:trHeight w:val="252"/>
          <w:jc w:val="center"/>
        </w:trPr>
        <w:tc>
          <w:tcPr>
            <w:tcW w:w="0" w:type="auto"/>
          </w:tcPr>
          <w:p w:rsidR="006308E8" w:rsidRPr="002124D1" w:rsidRDefault="006308E8" w:rsidP="002124D1">
            <w:pPr>
              <w:jc w:val="center"/>
              <w:rPr>
                <w:rFonts w:asciiTheme="minorHAnsi" w:hAnsiTheme="minorHAnsi"/>
                <w:sz w:val="18"/>
                <w:szCs w:val="16"/>
                <w:lang w:val="sq-AL"/>
              </w:rPr>
            </w:pPr>
          </w:p>
        </w:tc>
        <w:tc>
          <w:tcPr>
            <w:tcW w:w="0" w:type="auto"/>
          </w:tcPr>
          <w:p w:rsidR="006308E8" w:rsidRPr="002124D1" w:rsidRDefault="006308E8" w:rsidP="002124D1">
            <w:pPr>
              <w:rPr>
                <w:rFonts w:asciiTheme="minorHAnsi" w:hAnsiTheme="minorHAnsi"/>
                <w:sz w:val="18"/>
                <w:szCs w:val="16"/>
                <w:lang w:val="sq-AL"/>
              </w:rPr>
            </w:pPr>
            <w:r w:rsidRPr="002124D1">
              <w:rPr>
                <w:rFonts w:asciiTheme="minorHAnsi" w:hAnsiTheme="minorHAnsi"/>
                <w:sz w:val="18"/>
                <w:szCs w:val="16"/>
                <w:lang w:val="sq-AL"/>
              </w:rPr>
              <w:t xml:space="preserve">                              Financimi i huaj</w:t>
            </w:r>
          </w:p>
        </w:tc>
        <w:tc>
          <w:tcPr>
            <w:tcW w:w="0" w:type="auto"/>
          </w:tcPr>
          <w:p w:rsidR="006308E8" w:rsidRPr="002124D1" w:rsidRDefault="006308E8" w:rsidP="002124D1">
            <w:pPr>
              <w:jc w:val="right"/>
              <w:rPr>
                <w:rFonts w:asciiTheme="minorHAnsi" w:hAnsiTheme="minorHAnsi"/>
                <w:sz w:val="18"/>
                <w:szCs w:val="16"/>
                <w:lang w:val="sq-AL"/>
              </w:rPr>
            </w:pPr>
          </w:p>
        </w:tc>
        <w:tc>
          <w:tcPr>
            <w:tcW w:w="0" w:type="auto"/>
            <w:shd w:val="clear" w:color="auto" w:fill="auto"/>
          </w:tcPr>
          <w:p w:rsidR="006308E8" w:rsidRPr="002124D1" w:rsidRDefault="006308E8" w:rsidP="002124D1">
            <w:pPr>
              <w:jc w:val="right"/>
              <w:rPr>
                <w:rFonts w:asciiTheme="minorHAnsi" w:hAnsiTheme="minorHAnsi"/>
                <w:sz w:val="18"/>
                <w:szCs w:val="16"/>
                <w:lang w:val="sq-AL"/>
              </w:rPr>
            </w:pPr>
            <w:r w:rsidRPr="002124D1">
              <w:rPr>
                <w:rFonts w:asciiTheme="minorHAnsi" w:hAnsiTheme="minorHAnsi"/>
                <w:sz w:val="18"/>
                <w:szCs w:val="16"/>
                <w:lang w:val="sq-AL"/>
              </w:rPr>
              <w:t>1,760,000</w:t>
            </w:r>
          </w:p>
        </w:tc>
        <w:tc>
          <w:tcPr>
            <w:tcW w:w="0" w:type="auto"/>
            <w:shd w:val="clear" w:color="auto" w:fill="auto"/>
          </w:tcPr>
          <w:p w:rsidR="006308E8" w:rsidRPr="002124D1" w:rsidRDefault="006308E8" w:rsidP="002124D1">
            <w:pPr>
              <w:jc w:val="right"/>
              <w:rPr>
                <w:rFonts w:asciiTheme="minorHAnsi" w:hAnsiTheme="minorHAnsi"/>
                <w:sz w:val="18"/>
                <w:szCs w:val="16"/>
                <w:lang w:val="sq-AL"/>
              </w:rPr>
            </w:pPr>
          </w:p>
        </w:tc>
        <w:tc>
          <w:tcPr>
            <w:tcW w:w="0" w:type="auto"/>
            <w:shd w:val="clear" w:color="auto" w:fill="auto"/>
          </w:tcPr>
          <w:p w:rsidR="006308E8" w:rsidRPr="002124D1" w:rsidRDefault="006308E8" w:rsidP="002124D1">
            <w:pPr>
              <w:jc w:val="right"/>
              <w:rPr>
                <w:rFonts w:asciiTheme="minorHAnsi" w:hAnsiTheme="minorHAnsi"/>
                <w:sz w:val="18"/>
                <w:szCs w:val="16"/>
                <w:lang w:val="sq-AL"/>
              </w:rPr>
            </w:pPr>
            <w:r w:rsidRPr="002124D1">
              <w:rPr>
                <w:rFonts w:asciiTheme="minorHAnsi" w:hAnsiTheme="minorHAnsi"/>
                <w:sz w:val="18"/>
                <w:szCs w:val="16"/>
                <w:lang w:val="sq-AL"/>
              </w:rPr>
              <w:t>710,213</w:t>
            </w:r>
          </w:p>
        </w:tc>
        <w:tc>
          <w:tcPr>
            <w:tcW w:w="0" w:type="auto"/>
            <w:shd w:val="clear" w:color="auto" w:fill="auto"/>
          </w:tcPr>
          <w:p w:rsidR="006308E8" w:rsidRPr="002124D1" w:rsidRDefault="006308E8" w:rsidP="002124D1">
            <w:pPr>
              <w:jc w:val="center"/>
              <w:rPr>
                <w:rFonts w:asciiTheme="minorHAnsi" w:hAnsiTheme="minorHAnsi"/>
                <w:sz w:val="18"/>
                <w:szCs w:val="16"/>
                <w:lang w:val="sq-AL"/>
              </w:rPr>
            </w:pPr>
          </w:p>
        </w:tc>
        <w:tc>
          <w:tcPr>
            <w:tcW w:w="0" w:type="auto"/>
            <w:shd w:val="clear" w:color="auto" w:fill="auto"/>
          </w:tcPr>
          <w:p w:rsidR="006308E8" w:rsidRPr="002124D1" w:rsidRDefault="006308E8" w:rsidP="002124D1">
            <w:pPr>
              <w:jc w:val="center"/>
              <w:rPr>
                <w:rFonts w:asciiTheme="minorHAnsi" w:hAnsiTheme="minorHAnsi"/>
                <w:sz w:val="18"/>
                <w:szCs w:val="16"/>
                <w:lang w:val="sq-AL"/>
              </w:rPr>
            </w:pPr>
            <w:r w:rsidRPr="002124D1">
              <w:rPr>
                <w:rFonts w:asciiTheme="minorHAnsi" w:hAnsiTheme="minorHAnsi"/>
                <w:sz w:val="18"/>
                <w:szCs w:val="16"/>
                <w:lang w:val="sq-AL"/>
              </w:rPr>
              <w:t>40%</w:t>
            </w:r>
          </w:p>
        </w:tc>
      </w:tr>
      <w:tr w:rsidR="006308E8" w:rsidRPr="002124D1" w:rsidTr="002124D1">
        <w:trPr>
          <w:trHeight w:val="355"/>
          <w:jc w:val="center"/>
        </w:trPr>
        <w:tc>
          <w:tcPr>
            <w:tcW w:w="0" w:type="auto"/>
          </w:tcPr>
          <w:p w:rsidR="006308E8" w:rsidRPr="002124D1" w:rsidRDefault="006308E8" w:rsidP="002124D1">
            <w:pPr>
              <w:jc w:val="center"/>
              <w:rPr>
                <w:rFonts w:asciiTheme="minorHAnsi" w:hAnsiTheme="minorHAnsi"/>
                <w:sz w:val="18"/>
                <w:szCs w:val="16"/>
                <w:lang w:val="sq-AL"/>
              </w:rPr>
            </w:pPr>
            <w:r w:rsidRPr="002124D1">
              <w:rPr>
                <w:rFonts w:asciiTheme="minorHAnsi" w:hAnsiTheme="minorHAnsi"/>
                <w:sz w:val="18"/>
                <w:szCs w:val="16"/>
                <w:lang w:val="sq-AL"/>
              </w:rPr>
              <w:t>3.</w:t>
            </w:r>
          </w:p>
        </w:tc>
        <w:tc>
          <w:tcPr>
            <w:tcW w:w="0" w:type="auto"/>
          </w:tcPr>
          <w:p w:rsidR="006308E8" w:rsidRPr="002124D1" w:rsidRDefault="006308E8" w:rsidP="002124D1">
            <w:pPr>
              <w:rPr>
                <w:rFonts w:asciiTheme="minorHAnsi" w:hAnsiTheme="minorHAnsi"/>
                <w:sz w:val="18"/>
                <w:szCs w:val="16"/>
                <w:lang w:val="sq-AL"/>
              </w:rPr>
            </w:pPr>
            <w:r w:rsidRPr="002124D1">
              <w:rPr>
                <w:rFonts w:asciiTheme="minorHAnsi" w:hAnsiTheme="minorHAnsi"/>
                <w:sz w:val="18"/>
                <w:szCs w:val="16"/>
                <w:lang w:val="sq-AL"/>
              </w:rPr>
              <w:t>Furnizimi me ujë dhe Kanalizime</w:t>
            </w:r>
          </w:p>
        </w:tc>
        <w:tc>
          <w:tcPr>
            <w:tcW w:w="0" w:type="auto"/>
          </w:tcPr>
          <w:p w:rsidR="006308E8" w:rsidRPr="002124D1" w:rsidRDefault="006308E8" w:rsidP="002124D1">
            <w:pPr>
              <w:jc w:val="right"/>
              <w:rPr>
                <w:rFonts w:asciiTheme="minorHAnsi" w:hAnsiTheme="minorHAnsi"/>
                <w:sz w:val="18"/>
                <w:szCs w:val="16"/>
                <w:lang w:val="sq-AL"/>
              </w:rPr>
            </w:pPr>
            <w:r w:rsidRPr="002124D1">
              <w:rPr>
                <w:rFonts w:asciiTheme="minorHAnsi" w:hAnsiTheme="minorHAnsi"/>
                <w:sz w:val="18"/>
                <w:szCs w:val="16"/>
                <w:lang w:val="sq-AL"/>
              </w:rPr>
              <w:t>373,805</w:t>
            </w:r>
          </w:p>
        </w:tc>
        <w:tc>
          <w:tcPr>
            <w:tcW w:w="0" w:type="auto"/>
            <w:shd w:val="clear" w:color="auto" w:fill="auto"/>
          </w:tcPr>
          <w:p w:rsidR="006308E8" w:rsidRPr="002124D1" w:rsidRDefault="006308E8" w:rsidP="002124D1">
            <w:pPr>
              <w:jc w:val="right"/>
              <w:rPr>
                <w:rFonts w:asciiTheme="minorHAnsi" w:hAnsiTheme="minorHAnsi"/>
                <w:sz w:val="18"/>
                <w:szCs w:val="16"/>
                <w:lang w:val="sq-AL"/>
              </w:rPr>
            </w:pPr>
            <w:r w:rsidRPr="002124D1">
              <w:rPr>
                <w:rFonts w:asciiTheme="minorHAnsi" w:hAnsiTheme="minorHAnsi"/>
                <w:sz w:val="18"/>
                <w:szCs w:val="16"/>
                <w:lang w:val="sq-AL"/>
              </w:rPr>
              <w:t>3,969,800</w:t>
            </w:r>
          </w:p>
        </w:tc>
        <w:tc>
          <w:tcPr>
            <w:tcW w:w="0" w:type="auto"/>
            <w:shd w:val="clear" w:color="auto" w:fill="auto"/>
          </w:tcPr>
          <w:p w:rsidR="006308E8" w:rsidRPr="002124D1" w:rsidRDefault="006308E8" w:rsidP="002124D1">
            <w:pPr>
              <w:jc w:val="right"/>
              <w:rPr>
                <w:rFonts w:asciiTheme="minorHAnsi" w:hAnsiTheme="minorHAnsi"/>
                <w:sz w:val="18"/>
                <w:szCs w:val="16"/>
                <w:lang w:val="sq-AL"/>
              </w:rPr>
            </w:pPr>
            <w:r w:rsidRPr="002124D1">
              <w:rPr>
                <w:rFonts w:asciiTheme="minorHAnsi" w:hAnsiTheme="minorHAnsi"/>
                <w:sz w:val="18"/>
                <w:szCs w:val="16"/>
                <w:lang w:val="sq-AL"/>
              </w:rPr>
              <w:t>18,304</w:t>
            </w:r>
          </w:p>
        </w:tc>
        <w:tc>
          <w:tcPr>
            <w:tcW w:w="0" w:type="auto"/>
            <w:shd w:val="clear" w:color="auto" w:fill="auto"/>
          </w:tcPr>
          <w:p w:rsidR="006308E8" w:rsidRPr="002124D1" w:rsidRDefault="006308E8" w:rsidP="002124D1">
            <w:pPr>
              <w:jc w:val="right"/>
              <w:rPr>
                <w:rFonts w:asciiTheme="minorHAnsi" w:hAnsiTheme="minorHAnsi"/>
                <w:sz w:val="18"/>
                <w:szCs w:val="16"/>
                <w:lang w:val="sq-AL"/>
              </w:rPr>
            </w:pPr>
            <w:r w:rsidRPr="002124D1">
              <w:rPr>
                <w:rFonts w:asciiTheme="minorHAnsi" w:hAnsiTheme="minorHAnsi"/>
                <w:sz w:val="18"/>
                <w:szCs w:val="16"/>
                <w:lang w:val="sq-AL"/>
              </w:rPr>
              <w:t>323,940</w:t>
            </w:r>
          </w:p>
        </w:tc>
        <w:tc>
          <w:tcPr>
            <w:tcW w:w="0" w:type="auto"/>
            <w:shd w:val="clear" w:color="auto" w:fill="auto"/>
          </w:tcPr>
          <w:p w:rsidR="006308E8" w:rsidRPr="002124D1" w:rsidRDefault="006308E8" w:rsidP="002124D1">
            <w:pPr>
              <w:jc w:val="center"/>
              <w:rPr>
                <w:rFonts w:asciiTheme="minorHAnsi" w:hAnsiTheme="minorHAnsi"/>
                <w:sz w:val="18"/>
                <w:szCs w:val="16"/>
                <w:lang w:val="sq-AL"/>
              </w:rPr>
            </w:pPr>
            <w:r w:rsidRPr="002124D1">
              <w:rPr>
                <w:rFonts w:asciiTheme="minorHAnsi" w:hAnsiTheme="minorHAnsi"/>
                <w:sz w:val="18"/>
                <w:szCs w:val="16"/>
                <w:lang w:val="sq-AL"/>
              </w:rPr>
              <w:t>5%</w:t>
            </w:r>
          </w:p>
        </w:tc>
        <w:tc>
          <w:tcPr>
            <w:tcW w:w="0" w:type="auto"/>
            <w:shd w:val="clear" w:color="auto" w:fill="auto"/>
          </w:tcPr>
          <w:p w:rsidR="006308E8" w:rsidRPr="002124D1" w:rsidRDefault="006308E8" w:rsidP="002124D1">
            <w:pPr>
              <w:jc w:val="center"/>
              <w:rPr>
                <w:rFonts w:asciiTheme="minorHAnsi" w:hAnsiTheme="minorHAnsi"/>
                <w:sz w:val="18"/>
                <w:szCs w:val="16"/>
                <w:lang w:val="sq-AL"/>
              </w:rPr>
            </w:pPr>
            <w:r w:rsidRPr="002124D1">
              <w:rPr>
                <w:rFonts w:asciiTheme="minorHAnsi" w:hAnsiTheme="minorHAnsi"/>
                <w:sz w:val="18"/>
                <w:szCs w:val="16"/>
                <w:lang w:val="sq-AL"/>
              </w:rPr>
              <w:t>8%</w:t>
            </w:r>
          </w:p>
        </w:tc>
      </w:tr>
      <w:tr w:rsidR="006308E8" w:rsidRPr="002124D1" w:rsidTr="002124D1">
        <w:trPr>
          <w:trHeight w:val="195"/>
          <w:jc w:val="center"/>
        </w:trPr>
        <w:tc>
          <w:tcPr>
            <w:tcW w:w="0" w:type="auto"/>
          </w:tcPr>
          <w:p w:rsidR="006308E8" w:rsidRPr="002124D1" w:rsidRDefault="006308E8" w:rsidP="002124D1">
            <w:pPr>
              <w:jc w:val="center"/>
              <w:rPr>
                <w:rFonts w:asciiTheme="minorHAnsi" w:hAnsiTheme="minorHAnsi"/>
                <w:b/>
                <w:sz w:val="18"/>
                <w:szCs w:val="16"/>
                <w:lang w:val="sq-AL"/>
              </w:rPr>
            </w:pPr>
          </w:p>
        </w:tc>
        <w:tc>
          <w:tcPr>
            <w:tcW w:w="0" w:type="auto"/>
          </w:tcPr>
          <w:p w:rsidR="006308E8" w:rsidRPr="002124D1" w:rsidRDefault="006308E8" w:rsidP="002124D1">
            <w:pPr>
              <w:rPr>
                <w:rFonts w:asciiTheme="minorHAnsi" w:hAnsiTheme="minorHAnsi"/>
                <w:b/>
                <w:sz w:val="18"/>
                <w:szCs w:val="16"/>
                <w:lang w:val="sq-AL"/>
              </w:rPr>
            </w:pPr>
            <w:r w:rsidRPr="002124D1">
              <w:rPr>
                <w:rFonts w:asciiTheme="minorHAnsi" w:hAnsiTheme="minorHAnsi"/>
                <w:sz w:val="18"/>
                <w:szCs w:val="16"/>
                <w:lang w:val="sq-AL"/>
              </w:rPr>
              <w:t xml:space="preserve">                               Financimi i huaj</w:t>
            </w:r>
          </w:p>
        </w:tc>
        <w:tc>
          <w:tcPr>
            <w:tcW w:w="0" w:type="auto"/>
          </w:tcPr>
          <w:p w:rsidR="006308E8" w:rsidRPr="002124D1" w:rsidRDefault="006308E8" w:rsidP="002124D1">
            <w:pPr>
              <w:jc w:val="right"/>
              <w:rPr>
                <w:rFonts w:asciiTheme="minorHAnsi" w:hAnsiTheme="minorHAnsi"/>
                <w:b/>
                <w:sz w:val="18"/>
                <w:szCs w:val="16"/>
                <w:lang w:val="sq-AL"/>
              </w:rPr>
            </w:pPr>
          </w:p>
        </w:tc>
        <w:tc>
          <w:tcPr>
            <w:tcW w:w="0" w:type="auto"/>
            <w:shd w:val="clear" w:color="auto" w:fill="auto"/>
          </w:tcPr>
          <w:p w:rsidR="006308E8" w:rsidRPr="002124D1" w:rsidRDefault="006308E8" w:rsidP="002124D1">
            <w:pPr>
              <w:jc w:val="right"/>
              <w:rPr>
                <w:rFonts w:asciiTheme="minorHAnsi" w:hAnsiTheme="minorHAnsi"/>
                <w:sz w:val="18"/>
                <w:szCs w:val="16"/>
                <w:lang w:val="sq-AL"/>
              </w:rPr>
            </w:pPr>
            <w:r w:rsidRPr="002124D1">
              <w:rPr>
                <w:rFonts w:asciiTheme="minorHAnsi" w:hAnsiTheme="minorHAnsi"/>
                <w:sz w:val="18"/>
                <w:szCs w:val="16"/>
                <w:lang w:val="sq-AL"/>
              </w:rPr>
              <w:t>4,411,411</w:t>
            </w:r>
          </w:p>
        </w:tc>
        <w:tc>
          <w:tcPr>
            <w:tcW w:w="0" w:type="auto"/>
            <w:shd w:val="clear" w:color="auto" w:fill="auto"/>
          </w:tcPr>
          <w:p w:rsidR="006308E8" w:rsidRPr="002124D1" w:rsidRDefault="006308E8" w:rsidP="002124D1">
            <w:pPr>
              <w:jc w:val="right"/>
              <w:rPr>
                <w:rFonts w:asciiTheme="minorHAnsi" w:hAnsiTheme="minorHAnsi"/>
                <w:b/>
                <w:sz w:val="18"/>
                <w:szCs w:val="16"/>
                <w:lang w:val="sq-AL"/>
              </w:rPr>
            </w:pPr>
          </w:p>
        </w:tc>
        <w:tc>
          <w:tcPr>
            <w:tcW w:w="0" w:type="auto"/>
            <w:shd w:val="clear" w:color="auto" w:fill="auto"/>
          </w:tcPr>
          <w:p w:rsidR="006308E8" w:rsidRPr="002124D1" w:rsidRDefault="006308E8" w:rsidP="002124D1">
            <w:pPr>
              <w:jc w:val="right"/>
              <w:rPr>
                <w:rFonts w:asciiTheme="minorHAnsi" w:hAnsiTheme="minorHAnsi"/>
                <w:sz w:val="18"/>
                <w:szCs w:val="16"/>
                <w:lang w:val="sq-AL"/>
              </w:rPr>
            </w:pPr>
            <w:r w:rsidRPr="002124D1">
              <w:rPr>
                <w:rFonts w:asciiTheme="minorHAnsi" w:hAnsiTheme="minorHAnsi"/>
                <w:sz w:val="18"/>
                <w:szCs w:val="16"/>
                <w:lang w:val="sq-AL"/>
              </w:rPr>
              <w:t>905,482</w:t>
            </w:r>
          </w:p>
        </w:tc>
        <w:tc>
          <w:tcPr>
            <w:tcW w:w="0" w:type="auto"/>
            <w:shd w:val="clear" w:color="auto" w:fill="auto"/>
          </w:tcPr>
          <w:p w:rsidR="006308E8" w:rsidRPr="002124D1" w:rsidRDefault="006308E8" w:rsidP="002124D1">
            <w:pPr>
              <w:jc w:val="center"/>
              <w:rPr>
                <w:rFonts w:asciiTheme="minorHAnsi" w:hAnsiTheme="minorHAnsi"/>
                <w:b/>
                <w:sz w:val="18"/>
                <w:szCs w:val="16"/>
                <w:lang w:val="sq-AL"/>
              </w:rPr>
            </w:pPr>
          </w:p>
        </w:tc>
        <w:tc>
          <w:tcPr>
            <w:tcW w:w="0" w:type="auto"/>
            <w:shd w:val="clear" w:color="auto" w:fill="auto"/>
          </w:tcPr>
          <w:p w:rsidR="006308E8" w:rsidRPr="002124D1" w:rsidRDefault="006308E8" w:rsidP="002124D1">
            <w:pPr>
              <w:jc w:val="center"/>
              <w:rPr>
                <w:rFonts w:asciiTheme="minorHAnsi" w:hAnsiTheme="minorHAnsi"/>
                <w:sz w:val="18"/>
                <w:szCs w:val="16"/>
                <w:lang w:val="sq-AL"/>
              </w:rPr>
            </w:pPr>
            <w:r w:rsidRPr="002124D1">
              <w:rPr>
                <w:rFonts w:asciiTheme="minorHAnsi" w:hAnsiTheme="minorHAnsi"/>
                <w:sz w:val="18"/>
                <w:szCs w:val="16"/>
                <w:lang w:val="sq-AL"/>
              </w:rPr>
              <w:t>21%</w:t>
            </w:r>
          </w:p>
        </w:tc>
      </w:tr>
      <w:tr w:rsidR="006308E8" w:rsidRPr="002124D1" w:rsidTr="002124D1">
        <w:trPr>
          <w:trHeight w:val="323"/>
          <w:jc w:val="center"/>
        </w:trPr>
        <w:tc>
          <w:tcPr>
            <w:tcW w:w="0" w:type="auto"/>
          </w:tcPr>
          <w:p w:rsidR="006308E8" w:rsidRPr="002124D1" w:rsidRDefault="006308E8" w:rsidP="002124D1">
            <w:pPr>
              <w:jc w:val="center"/>
              <w:rPr>
                <w:rFonts w:asciiTheme="minorHAnsi" w:hAnsiTheme="minorHAnsi"/>
                <w:sz w:val="18"/>
                <w:szCs w:val="16"/>
                <w:lang w:val="sq-AL"/>
              </w:rPr>
            </w:pPr>
            <w:r w:rsidRPr="002124D1">
              <w:rPr>
                <w:rFonts w:asciiTheme="minorHAnsi" w:hAnsiTheme="minorHAnsi"/>
                <w:sz w:val="18"/>
                <w:szCs w:val="16"/>
                <w:lang w:val="sq-AL"/>
              </w:rPr>
              <w:t>4.</w:t>
            </w:r>
          </w:p>
        </w:tc>
        <w:tc>
          <w:tcPr>
            <w:tcW w:w="0" w:type="auto"/>
          </w:tcPr>
          <w:p w:rsidR="006308E8" w:rsidRPr="002124D1" w:rsidRDefault="006308E8" w:rsidP="002124D1">
            <w:pPr>
              <w:rPr>
                <w:rFonts w:asciiTheme="minorHAnsi" w:hAnsiTheme="minorHAnsi"/>
                <w:sz w:val="18"/>
                <w:szCs w:val="16"/>
                <w:lang w:val="sq-AL"/>
              </w:rPr>
            </w:pPr>
            <w:r w:rsidRPr="002124D1">
              <w:rPr>
                <w:rFonts w:asciiTheme="minorHAnsi" w:hAnsiTheme="minorHAnsi"/>
                <w:sz w:val="18"/>
                <w:szCs w:val="16"/>
                <w:lang w:val="sq-AL"/>
              </w:rPr>
              <w:t>Menaximi i Mbetjeve Urbane</w:t>
            </w:r>
          </w:p>
        </w:tc>
        <w:tc>
          <w:tcPr>
            <w:tcW w:w="0" w:type="auto"/>
          </w:tcPr>
          <w:p w:rsidR="006308E8" w:rsidRPr="002124D1" w:rsidRDefault="006308E8" w:rsidP="002124D1">
            <w:pPr>
              <w:jc w:val="right"/>
              <w:rPr>
                <w:rFonts w:asciiTheme="minorHAnsi" w:hAnsiTheme="minorHAnsi"/>
                <w:sz w:val="18"/>
                <w:szCs w:val="16"/>
                <w:lang w:val="sq-AL"/>
              </w:rPr>
            </w:pPr>
            <w:r w:rsidRPr="002124D1">
              <w:rPr>
                <w:rFonts w:asciiTheme="minorHAnsi" w:hAnsiTheme="minorHAnsi"/>
                <w:sz w:val="18"/>
                <w:szCs w:val="16"/>
                <w:lang w:val="sq-AL"/>
              </w:rPr>
              <w:t>500,000</w:t>
            </w:r>
          </w:p>
        </w:tc>
        <w:tc>
          <w:tcPr>
            <w:tcW w:w="0" w:type="auto"/>
            <w:shd w:val="clear" w:color="auto" w:fill="auto"/>
          </w:tcPr>
          <w:p w:rsidR="006308E8" w:rsidRPr="002124D1" w:rsidRDefault="006308E8" w:rsidP="002124D1">
            <w:pPr>
              <w:jc w:val="right"/>
              <w:rPr>
                <w:rFonts w:asciiTheme="minorHAnsi" w:hAnsiTheme="minorHAnsi"/>
                <w:sz w:val="18"/>
                <w:szCs w:val="16"/>
                <w:lang w:val="sq-AL"/>
              </w:rPr>
            </w:pPr>
            <w:r w:rsidRPr="002124D1">
              <w:rPr>
                <w:rFonts w:asciiTheme="minorHAnsi" w:hAnsiTheme="minorHAnsi"/>
                <w:sz w:val="18"/>
                <w:szCs w:val="16"/>
                <w:lang w:val="sq-AL"/>
              </w:rPr>
              <w:t>1,162,272</w:t>
            </w:r>
          </w:p>
        </w:tc>
        <w:tc>
          <w:tcPr>
            <w:tcW w:w="0" w:type="auto"/>
            <w:shd w:val="clear" w:color="auto" w:fill="auto"/>
          </w:tcPr>
          <w:p w:rsidR="006308E8" w:rsidRPr="002124D1" w:rsidRDefault="006308E8" w:rsidP="002124D1">
            <w:pPr>
              <w:jc w:val="right"/>
              <w:rPr>
                <w:rFonts w:asciiTheme="minorHAnsi" w:hAnsiTheme="minorHAnsi"/>
                <w:sz w:val="18"/>
                <w:szCs w:val="16"/>
                <w:lang w:val="sq-AL"/>
              </w:rPr>
            </w:pPr>
            <w:r w:rsidRPr="002124D1">
              <w:rPr>
                <w:rFonts w:asciiTheme="minorHAnsi" w:hAnsiTheme="minorHAnsi"/>
                <w:sz w:val="18"/>
                <w:szCs w:val="16"/>
                <w:lang w:val="sq-AL"/>
              </w:rPr>
              <w:t>411,275</w:t>
            </w:r>
          </w:p>
        </w:tc>
        <w:tc>
          <w:tcPr>
            <w:tcW w:w="0" w:type="auto"/>
            <w:shd w:val="clear" w:color="auto" w:fill="auto"/>
          </w:tcPr>
          <w:p w:rsidR="006308E8" w:rsidRPr="002124D1" w:rsidRDefault="006308E8" w:rsidP="002124D1">
            <w:pPr>
              <w:jc w:val="right"/>
              <w:rPr>
                <w:rFonts w:asciiTheme="minorHAnsi" w:hAnsiTheme="minorHAnsi"/>
                <w:sz w:val="18"/>
                <w:szCs w:val="16"/>
                <w:lang w:val="sq-AL"/>
              </w:rPr>
            </w:pPr>
            <w:r w:rsidRPr="002124D1">
              <w:rPr>
                <w:rFonts w:asciiTheme="minorHAnsi" w:hAnsiTheme="minorHAnsi"/>
                <w:sz w:val="18"/>
                <w:szCs w:val="16"/>
                <w:lang w:val="sq-AL"/>
              </w:rPr>
              <w:t>145,994</w:t>
            </w:r>
          </w:p>
        </w:tc>
        <w:tc>
          <w:tcPr>
            <w:tcW w:w="0" w:type="auto"/>
            <w:shd w:val="clear" w:color="auto" w:fill="auto"/>
          </w:tcPr>
          <w:p w:rsidR="006308E8" w:rsidRPr="002124D1" w:rsidRDefault="006308E8" w:rsidP="002124D1">
            <w:pPr>
              <w:jc w:val="center"/>
              <w:rPr>
                <w:rFonts w:asciiTheme="minorHAnsi" w:hAnsiTheme="minorHAnsi"/>
                <w:sz w:val="18"/>
                <w:szCs w:val="16"/>
                <w:lang w:val="sq-AL"/>
              </w:rPr>
            </w:pPr>
            <w:r w:rsidRPr="002124D1">
              <w:rPr>
                <w:rFonts w:asciiTheme="minorHAnsi" w:hAnsiTheme="minorHAnsi"/>
                <w:sz w:val="18"/>
                <w:szCs w:val="16"/>
                <w:lang w:val="sq-AL"/>
              </w:rPr>
              <w:t>82%</w:t>
            </w:r>
          </w:p>
        </w:tc>
        <w:tc>
          <w:tcPr>
            <w:tcW w:w="0" w:type="auto"/>
            <w:shd w:val="clear" w:color="auto" w:fill="auto"/>
          </w:tcPr>
          <w:p w:rsidR="006308E8" w:rsidRPr="002124D1" w:rsidRDefault="006308E8" w:rsidP="002124D1">
            <w:pPr>
              <w:jc w:val="center"/>
              <w:rPr>
                <w:rFonts w:asciiTheme="minorHAnsi" w:hAnsiTheme="minorHAnsi"/>
                <w:sz w:val="18"/>
                <w:szCs w:val="16"/>
                <w:lang w:val="sq-AL"/>
              </w:rPr>
            </w:pPr>
            <w:r w:rsidRPr="002124D1">
              <w:rPr>
                <w:rFonts w:asciiTheme="minorHAnsi" w:hAnsiTheme="minorHAnsi"/>
                <w:sz w:val="18"/>
                <w:szCs w:val="16"/>
                <w:lang w:val="sq-AL"/>
              </w:rPr>
              <w:t>13%</w:t>
            </w:r>
          </w:p>
        </w:tc>
      </w:tr>
      <w:tr w:rsidR="006308E8" w:rsidRPr="002124D1" w:rsidTr="002124D1">
        <w:trPr>
          <w:trHeight w:val="256"/>
          <w:jc w:val="center"/>
        </w:trPr>
        <w:tc>
          <w:tcPr>
            <w:tcW w:w="0" w:type="auto"/>
          </w:tcPr>
          <w:p w:rsidR="006308E8" w:rsidRPr="002124D1" w:rsidRDefault="006308E8" w:rsidP="002124D1">
            <w:pPr>
              <w:jc w:val="center"/>
              <w:rPr>
                <w:rFonts w:asciiTheme="minorHAnsi" w:hAnsiTheme="minorHAnsi"/>
                <w:sz w:val="18"/>
                <w:szCs w:val="16"/>
                <w:lang w:val="sq-AL"/>
              </w:rPr>
            </w:pPr>
          </w:p>
        </w:tc>
        <w:tc>
          <w:tcPr>
            <w:tcW w:w="0" w:type="auto"/>
          </w:tcPr>
          <w:p w:rsidR="006308E8" w:rsidRPr="002124D1" w:rsidRDefault="006308E8" w:rsidP="002124D1">
            <w:pPr>
              <w:rPr>
                <w:rFonts w:asciiTheme="minorHAnsi" w:hAnsiTheme="minorHAnsi"/>
                <w:sz w:val="18"/>
                <w:szCs w:val="16"/>
                <w:lang w:val="sq-AL"/>
              </w:rPr>
            </w:pPr>
            <w:r w:rsidRPr="002124D1">
              <w:rPr>
                <w:rFonts w:asciiTheme="minorHAnsi" w:hAnsiTheme="minorHAnsi"/>
                <w:sz w:val="18"/>
                <w:szCs w:val="16"/>
                <w:lang w:val="sq-AL"/>
              </w:rPr>
              <w:t xml:space="preserve">                               Financimi i huaj</w:t>
            </w:r>
          </w:p>
        </w:tc>
        <w:tc>
          <w:tcPr>
            <w:tcW w:w="0" w:type="auto"/>
          </w:tcPr>
          <w:p w:rsidR="006308E8" w:rsidRPr="002124D1" w:rsidRDefault="006308E8" w:rsidP="002124D1">
            <w:pPr>
              <w:jc w:val="right"/>
              <w:rPr>
                <w:rFonts w:asciiTheme="minorHAnsi" w:hAnsiTheme="minorHAnsi"/>
                <w:sz w:val="18"/>
                <w:szCs w:val="16"/>
                <w:lang w:val="sq-AL"/>
              </w:rPr>
            </w:pPr>
          </w:p>
        </w:tc>
        <w:tc>
          <w:tcPr>
            <w:tcW w:w="0" w:type="auto"/>
            <w:shd w:val="clear" w:color="auto" w:fill="auto"/>
          </w:tcPr>
          <w:p w:rsidR="006308E8" w:rsidRPr="002124D1" w:rsidRDefault="006308E8" w:rsidP="002124D1">
            <w:pPr>
              <w:jc w:val="right"/>
              <w:rPr>
                <w:rFonts w:asciiTheme="minorHAnsi" w:hAnsiTheme="minorHAnsi"/>
                <w:sz w:val="18"/>
                <w:szCs w:val="16"/>
                <w:lang w:val="sq-AL"/>
              </w:rPr>
            </w:pPr>
            <w:r w:rsidRPr="002124D1">
              <w:rPr>
                <w:rFonts w:asciiTheme="minorHAnsi" w:hAnsiTheme="minorHAnsi"/>
                <w:sz w:val="18"/>
                <w:szCs w:val="16"/>
                <w:lang w:val="sq-AL"/>
              </w:rPr>
              <w:t>630,000</w:t>
            </w:r>
          </w:p>
        </w:tc>
        <w:tc>
          <w:tcPr>
            <w:tcW w:w="0" w:type="auto"/>
            <w:shd w:val="clear" w:color="auto" w:fill="auto"/>
          </w:tcPr>
          <w:p w:rsidR="006308E8" w:rsidRPr="002124D1" w:rsidRDefault="006308E8" w:rsidP="002124D1">
            <w:pPr>
              <w:jc w:val="right"/>
              <w:rPr>
                <w:rFonts w:asciiTheme="minorHAnsi" w:hAnsiTheme="minorHAnsi"/>
                <w:sz w:val="18"/>
                <w:szCs w:val="16"/>
                <w:lang w:val="sq-AL"/>
              </w:rPr>
            </w:pPr>
          </w:p>
        </w:tc>
        <w:tc>
          <w:tcPr>
            <w:tcW w:w="0" w:type="auto"/>
            <w:shd w:val="clear" w:color="auto" w:fill="auto"/>
          </w:tcPr>
          <w:p w:rsidR="006308E8" w:rsidRPr="002124D1" w:rsidRDefault="006308E8" w:rsidP="002124D1">
            <w:pPr>
              <w:jc w:val="right"/>
              <w:rPr>
                <w:rFonts w:asciiTheme="minorHAnsi" w:hAnsiTheme="minorHAnsi"/>
                <w:sz w:val="18"/>
                <w:szCs w:val="16"/>
                <w:lang w:val="sq-AL"/>
              </w:rPr>
            </w:pPr>
          </w:p>
        </w:tc>
        <w:tc>
          <w:tcPr>
            <w:tcW w:w="0" w:type="auto"/>
            <w:shd w:val="clear" w:color="auto" w:fill="auto"/>
          </w:tcPr>
          <w:p w:rsidR="006308E8" w:rsidRPr="002124D1" w:rsidRDefault="006308E8" w:rsidP="002124D1">
            <w:pPr>
              <w:jc w:val="center"/>
              <w:rPr>
                <w:rFonts w:asciiTheme="minorHAnsi" w:hAnsiTheme="minorHAnsi"/>
                <w:sz w:val="18"/>
                <w:szCs w:val="16"/>
                <w:lang w:val="sq-AL"/>
              </w:rPr>
            </w:pPr>
          </w:p>
        </w:tc>
        <w:tc>
          <w:tcPr>
            <w:tcW w:w="0" w:type="auto"/>
            <w:shd w:val="clear" w:color="auto" w:fill="auto"/>
          </w:tcPr>
          <w:p w:rsidR="006308E8" w:rsidRPr="002124D1" w:rsidRDefault="006308E8" w:rsidP="002124D1">
            <w:pPr>
              <w:jc w:val="center"/>
              <w:rPr>
                <w:rFonts w:asciiTheme="minorHAnsi" w:hAnsiTheme="minorHAnsi"/>
                <w:sz w:val="18"/>
                <w:szCs w:val="16"/>
                <w:lang w:val="sq-AL"/>
              </w:rPr>
            </w:pPr>
            <w:r w:rsidRPr="002124D1">
              <w:rPr>
                <w:rFonts w:asciiTheme="minorHAnsi" w:hAnsiTheme="minorHAnsi"/>
                <w:sz w:val="18"/>
                <w:szCs w:val="16"/>
                <w:lang w:val="sq-AL"/>
              </w:rPr>
              <w:t>0%</w:t>
            </w:r>
          </w:p>
        </w:tc>
      </w:tr>
      <w:tr w:rsidR="006308E8" w:rsidRPr="002124D1" w:rsidTr="002124D1">
        <w:trPr>
          <w:trHeight w:val="256"/>
          <w:jc w:val="center"/>
        </w:trPr>
        <w:tc>
          <w:tcPr>
            <w:tcW w:w="0" w:type="auto"/>
          </w:tcPr>
          <w:p w:rsidR="006308E8" w:rsidRPr="002124D1" w:rsidRDefault="006308E8" w:rsidP="002124D1">
            <w:pPr>
              <w:jc w:val="center"/>
              <w:rPr>
                <w:rFonts w:asciiTheme="minorHAnsi" w:hAnsiTheme="minorHAnsi"/>
                <w:sz w:val="18"/>
                <w:szCs w:val="16"/>
                <w:lang w:val="sq-AL"/>
              </w:rPr>
            </w:pPr>
            <w:r w:rsidRPr="002124D1">
              <w:rPr>
                <w:rFonts w:asciiTheme="minorHAnsi" w:hAnsiTheme="minorHAnsi"/>
                <w:sz w:val="18"/>
                <w:szCs w:val="16"/>
                <w:lang w:val="sq-AL"/>
              </w:rPr>
              <w:t>5.</w:t>
            </w:r>
          </w:p>
        </w:tc>
        <w:tc>
          <w:tcPr>
            <w:tcW w:w="0" w:type="auto"/>
          </w:tcPr>
          <w:p w:rsidR="006308E8" w:rsidRPr="002124D1" w:rsidRDefault="006308E8" w:rsidP="002124D1">
            <w:pPr>
              <w:rPr>
                <w:rFonts w:asciiTheme="minorHAnsi" w:hAnsiTheme="minorHAnsi"/>
                <w:sz w:val="18"/>
                <w:szCs w:val="16"/>
                <w:lang w:val="sq-AL"/>
              </w:rPr>
            </w:pPr>
            <w:r w:rsidRPr="002124D1">
              <w:rPr>
                <w:rFonts w:asciiTheme="minorHAnsi" w:hAnsiTheme="minorHAnsi"/>
                <w:sz w:val="18"/>
                <w:szCs w:val="16"/>
                <w:lang w:val="sq-AL"/>
              </w:rPr>
              <w:t>Transporti Hekurudhor</w:t>
            </w:r>
          </w:p>
        </w:tc>
        <w:tc>
          <w:tcPr>
            <w:tcW w:w="0" w:type="auto"/>
          </w:tcPr>
          <w:p w:rsidR="006308E8" w:rsidRPr="002124D1" w:rsidRDefault="006308E8" w:rsidP="002124D1">
            <w:pPr>
              <w:jc w:val="right"/>
              <w:rPr>
                <w:rFonts w:asciiTheme="minorHAnsi" w:hAnsiTheme="minorHAnsi"/>
                <w:sz w:val="18"/>
                <w:szCs w:val="16"/>
                <w:lang w:val="sq-AL"/>
              </w:rPr>
            </w:pPr>
            <w:r w:rsidRPr="002124D1">
              <w:rPr>
                <w:rFonts w:asciiTheme="minorHAnsi" w:hAnsiTheme="minorHAnsi"/>
                <w:sz w:val="18"/>
                <w:szCs w:val="16"/>
                <w:lang w:val="sq-AL"/>
              </w:rPr>
              <w:t>423,756</w:t>
            </w:r>
          </w:p>
        </w:tc>
        <w:tc>
          <w:tcPr>
            <w:tcW w:w="0" w:type="auto"/>
            <w:shd w:val="clear" w:color="auto" w:fill="auto"/>
          </w:tcPr>
          <w:p w:rsidR="006308E8" w:rsidRPr="002124D1" w:rsidRDefault="006308E8" w:rsidP="002124D1">
            <w:pPr>
              <w:jc w:val="right"/>
              <w:rPr>
                <w:rFonts w:asciiTheme="minorHAnsi" w:hAnsiTheme="minorHAnsi"/>
                <w:sz w:val="18"/>
                <w:szCs w:val="16"/>
                <w:lang w:val="sq-AL"/>
              </w:rPr>
            </w:pPr>
            <w:r w:rsidRPr="002124D1">
              <w:rPr>
                <w:rFonts w:asciiTheme="minorHAnsi" w:hAnsiTheme="minorHAnsi"/>
                <w:sz w:val="18"/>
                <w:szCs w:val="16"/>
                <w:lang w:val="sq-AL"/>
              </w:rPr>
              <w:t>165,700</w:t>
            </w:r>
          </w:p>
        </w:tc>
        <w:tc>
          <w:tcPr>
            <w:tcW w:w="0" w:type="auto"/>
            <w:shd w:val="clear" w:color="auto" w:fill="auto"/>
          </w:tcPr>
          <w:p w:rsidR="006308E8" w:rsidRPr="002124D1" w:rsidRDefault="006308E8" w:rsidP="002124D1">
            <w:pPr>
              <w:jc w:val="right"/>
              <w:rPr>
                <w:rFonts w:asciiTheme="minorHAnsi" w:hAnsiTheme="minorHAnsi"/>
                <w:sz w:val="18"/>
                <w:szCs w:val="16"/>
                <w:lang w:val="sq-AL"/>
              </w:rPr>
            </w:pPr>
            <w:r w:rsidRPr="002124D1">
              <w:rPr>
                <w:rFonts w:asciiTheme="minorHAnsi" w:hAnsiTheme="minorHAnsi"/>
                <w:sz w:val="18"/>
                <w:szCs w:val="16"/>
                <w:lang w:val="sq-AL"/>
              </w:rPr>
              <w:t>136,961</w:t>
            </w:r>
          </w:p>
        </w:tc>
        <w:tc>
          <w:tcPr>
            <w:tcW w:w="0" w:type="auto"/>
            <w:shd w:val="clear" w:color="auto" w:fill="auto"/>
          </w:tcPr>
          <w:p w:rsidR="006308E8" w:rsidRPr="002124D1" w:rsidRDefault="006308E8" w:rsidP="002124D1">
            <w:pPr>
              <w:jc w:val="right"/>
              <w:rPr>
                <w:rFonts w:asciiTheme="minorHAnsi" w:hAnsiTheme="minorHAnsi"/>
                <w:sz w:val="18"/>
                <w:szCs w:val="16"/>
                <w:lang w:val="sq-AL"/>
              </w:rPr>
            </w:pPr>
            <w:r w:rsidRPr="002124D1">
              <w:rPr>
                <w:rFonts w:asciiTheme="minorHAnsi" w:hAnsiTheme="minorHAnsi"/>
                <w:sz w:val="18"/>
                <w:szCs w:val="16"/>
                <w:lang w:val="sq-AL"/>
              </w:rPr>
              <w:t>8,110</w:t>
            </w:r>
          </w:p>
        </w:tc>
        <w:tc>
          <w:tcPr>
            <w:tcW w:w="0" w:type="auto"/>
            <w:shd w:val="clear" w:color="auto" w:fill="auto"/>
          </w:tcPr>
          <w:p w:rsidR="006308E8" w:rsidRPr="002124D1" w:rsidRDefault="006308E8" w:rsidP="002124D1">
            <w:pPr>
              <w:jc w:val="center"/>
              <w:rPr>
                <w:rFonts w:asciiTheme="minorHAnsi" w:hAnsiTheme="minorHAnsi"/>
                <w:sz w:val="18"/>
                <w:szCs w:val="16"/>
                <w:lang w:val="sq-AL"/>
              </w:rPr>
            </w:pPr>
            <w:r w:rsidRPr="002124D1">
              <w:rPr>
                <w:rFonts w:asciiTheme="minorHAnsi" w:hAnsiTheme="minorHAnsi"/>
                <w:sz w:val="18"/>
                <w:szCs w:val="16"/>
                <w:lang w:val="sq-AL"/>
              </w:rPr>
              <w:t>32%</w:t>
            </w:r>
          </w:p>
        </w:tc>
        <w:tc>
          <w:tcPr>
            <w:tcW w:w="0" w:type="auto"/>
            <w:shd w:val="clear" w:color="auto" w:fill="auto"/>
          </w:tcPr>
          <w:p w:rsidR="006308E8" w:rsidRPr="002124D1" w:rsidRDefault="006308E8" w:rsidP="002124D1">
            <w:pPr>
              <w:jc w:val="center"/>
              <w:rPr>
                <w:rFonts w:asciiTheme="minorHAnsi" w:hAnsiTheme="minorHAnsi"/>
                <w:sz w:val="18"/>
                <w:szCs w:val="16"/>
                <w:lang w:val="sq-AL"/>
              </w:rPr>
            </w:pPr>
            <w:r w:rsidRPr="002124D1">
              <w:rPr>
                <w:rFonts w:asciiTheme="minorHAnsi" w:hAnsiTheme="minorHAnsi"/>
                <w:sz w:val="18"/>
                <w:szCs w:val="16"/>
                <w:lang w:val="sq-AL"/>
              </w:rPr>
              <w:t>5%</w:t>
            </w:r>
          </w:p>
        </w:tc>
      </w:tr>
      <w:tr w:rsidR="006308E8" w:rsidRPr="002124D1" w:rsidTr="002124D1">
        <w:trPr>
          <w:trHeight w:val="256"/>
          <w:jc w:val="center"/>
        </w:trPr>
        <w:tc>
          <w:tcPr>
            <w:tcW w:w="0" w:type="auto"/>
          </w:tcPr>
          <w:p w:rsidR="006308E8" w:rsidRPr="002124D1" w:rsidRDefault="006308E8" w:rsidP="002124D1">
            <w:pPr>
              <w:jc w:val="center"/>
              <w:rPr>
                <w:rFonts w:asciiTheme="minorHAnsi" w:hAnsiTheme="minorHAnsi"/>
                <w:sz w:val="18"/>
                <w:szCs w:val="16"/>
                <w:lang w:val="sq-AL"/>
              </w:rPr>
            </w:pPr>
          </w:p>
        </w:tc>
        <w:tc>
          <w:tcPr>
            <w:tcW w:w="0" w:type="auto"/>
          </w:tcPr>
          <w:p w:rsidR="006308E8" w:rsidRPr="002124D1" w:rsidRDefault="006308E8" w:rsidP="002124D1">
            <w:pPr>
              <w:rPr>
                <w:rFonts w:asciiTheme="minorHAnsi" w:hAnsiTheme="minorHAnsi"/>
                <w:sz w:val="18"/>
                <w:szCs w:val="16"/>
                <w:lang w:val="sq-AL"/>
              </w:rPr>
            </w:pPr>
            <w:r w:rsidRPr="002124D1">
              <w:rPr>
                <w:rFonts w:asciiTheme="minorHAnsi" w:hAnsiTheme="minorHAnsi"/>
                <w:sz w:val="18"/>
                <w:szCs w:val="16"/>
                <w:lang w:val="sq-AL"/>
              </w:rPr>
              <w:t xml:space="preserve">                               Financimi i huaj</w:t>
            </w:r>
          </w:p>
        </w:tc>
        <w:tc>
          <w:tcPr>
            <w:tcW w:w="0" w:type="auto"/>
          </w:tcPr>
          <w:p w:rsidR="006308E8" w:rsidRPr="002124D1" w:rsidRDefault="006308E8" w:rsidP="002124D1">
            <w:pPr>
              <w:jc w:val="right"/>
              <w:rPr>
                <w:rFonts w:asciiTheme="minorHAnsi" w:hAnsiTheme="minorHAnsi"/>
                <w:sz w:val="18"/>
                <w:szCs w:val="16"/>
                <w:lang w:val="sq-AL"/>
              </w:rPr>
            </w:pPr>
          </w:p>
        </w:tc>
        <w:tc>
          <w:tcPr>
            <w:tcW w:w="0" w:type="auto"/>
            <w:shd w:val="clear" w:color="auto" w:fill="auto"/>
          </w:tcPr>
          <w:p w:rsidR="006308E8" w:rsidRPr="002124D1" w:rsidRDefault="006308E8" w:rsidP="002124D1">
            <w:pPr>
              <w:jc w:val="right"/>
              <w:rPr>
                <w:rFonts w:asciiTheme="minorHAnsi" w:hAnsiTheme="minorHAnsi"/>
                <w:sz w:val="18"/>
                <w:szCs w:val="16"/>
                <w:lang w:val="sq-AL"/>
              </w:rPr>
            </w:pPr>
            <w:r w:rsidRPr="002124D1">
              <w:rPr>
                <w:rFonts w:asciiTheme="minorHAnsi" w:hAnsiTheme="minorHAnsi"/>
                <w:sz w:val="18"/>
                <w:szCs w:val="16"/>
                <w:lang w:val="sq-AL"/>
              </w:rPr>
              <w:t>1,200,000</w:t>
            </w:r>
          </w:p>
        </w:tc>
        <w:tc>
          <w:tcPr>
            <w:tcW w:w="0" w:type="auto"/>
            <w:shd w:val="clear" w:color="auto" w:fill="auto"/>
          </w:tcPr>
          <w:p w:rsidR="006308E8" w:rsidRPr="002124D1" w:rsidRDefault="006308E8" w:rsidP="002124D1">
            <w:pPr>
              <w:jc w:val="right"/>
              <w:rPr>
                <w:rFonts w:asciiTheme="minorHAnsi" w:hAnsiTheme="minorHAnsi"/>
                <w:sz w:val="18"/>
                <w:szCs w:val="16"/>
                <w:lang w:val="sq-AL"/>
              </w:rPr>
            </w:pPr>
          </w:p>
        </w:tc>
        <w:tc>
          <w:tcPr>
            <w:tcW w:w="0" w:type="auto"/>
            <w:shd w:val="clear" w:color="auto" w:fill="auto"/>
          </w:tcPr>
          <w:p w:rsidR="006308E8" w:rsidRPr="002124D1" w:rsidRDefault="006308E8" w:rsidP="002124D1">
            <w:pPr>
              <w:jc w:val="right"/>
              <w:rPr>
                <w:rFonts w:asciiTheme="minorHAnsi" w:hAnsiTheme="minorHAnsi"/>
                <w:sz w:val="18"/>
                <w:szCs w:val="16"/>
                <w:lang w:val="sq-AL"/>
              </w:rPr>
            </w:pPr>
          </w:p>
        </w:tc>
        <w:tc>
          <w:tcPr>
            <w:tcW w:w="0" w:type="auto"/>
            <w:shd w:val="clear" w:color="auto" w:fill="auto"/>
          </w:tcPr>
          <w:p w:rsidR="006308E8" w:rsidRPr="002124D1" w:rsidRDefault="006308E8" w:rsidP="002124D1">
            <w:pPr>
              <w:jc w:val="center"/>
              <w:rPr>
                <w:rFonts w:asciiTheme="minorHAnsi" w:hAnsiTheme="minorHAnsi"/>
                <w:sz w:val="18"/>
                <w:szCs w:val="16"/>
                <w:lang w:val="sq-AL"/>
              </w:rPr>
            </w:pPr>
          </w:p>
        </w:tc>
        <w:tc>
          <w:tcPr>
            <w:tcW w:w="0" w:type="auto"/>
            <w:shd w:val="clear" w:color="auto" w:fill="auto"/>
          </w:tcPr>
          <w:p w:rsidR="006308E8" w:rsidRPr="002124D1" w:rsidRDefault="006308E8" w:rsidP="002124D1">
            <w:pPr>
              <w:jc w:val="center"/>
              <w:rPr>
                <w:rFonts w:asciiTheme="minorHAnsi" w:hAnsiTheme="minorHAnsi"/>
                <w:sz w:val="18"/>
                <w:szCs w:val="16"/>
                <w:lang w:val="sq-AL"/>
              </w:rPr>
            </w:pPr>
            <w:r w:rsidRPr="002124D1">
              <w:rPr>
                <w:rFonts w:asciiTheme="minorHAnsi" w:hAnsiTheme="minorHAnsi"/>
                <w:sz w:val="18"/>
                <w:szCs w:val="16"/>
                <w:lang w:val="sq-AL"/>
              </w:rPr>
              <w:t>0%</w:t>
            </w:r>
          </w:p>
        </w:tc>
      </w:tr>
      <w:tr w:rsidR="006308E8" w:rsidRPr="002124D1" w:rsidTr="002124D1">
        <w:trPr>
          <w:trHeight w:val="256"/>
          <w:jc w:val="center"/>
        </w:trPr>
        <w:tc>
          <w:tcPr>
            <w:tcW w:w="0" w:type="auto"/>
          </w:tcPr>
          <w:p w:rsidR="006308E8" w:rsidRPr="002124D1" w:rsidRDefault="006308E8" w:rsidP="002124D1">
            <w:pPr>
              <w:jc w:val="center"/>
              <w:rPr>
                <w:rFonts w:asciiTheme="minorHAnsi" w:hAnsiTheme="minorHAnsi"/>
                <w:sz w:val="18"/>
                <w:szCs w:val="16"/>
                <w:lang w:val="sq-AL"/>
              </w:rPr>
            </w:pPr>
            <w:r w:rsidRPr="002124D1">
              <w:rPr>
                <w:rFonts w:asciiTheme="minorHAnsi" w:hAnsiTheme="minorHAnsi"/>
                <w:sz w:val="18"/>
                <w:szCs w:val="16"/>
                <w:lang w:val="sq-AL"/>
              </w:rPr>
              <w:t>6.</w:t>
            </w:r>
          </w:p>
        </w:tc>
        <w:tc>
          <w:tcPr>
            <w:tcW w:w="0" w:type="auto"/>
          </w:tcPr>
          <w:p w:rsidR="006308E8" w:rsidRPr="002124D1" w:rsidRDefault="006308E8" w:rsidP="002124D1">
            <w:pPr>
              <w:rPr>
                <w:rFonts w:asciiTheme="minorHAnsi" w:hAnsiTheme="minorHAnsi"/>
                <w:sz w:val="18"/>
                <w:szCs w:val="16"/>
                <w:lang w:val="sq-AL"/>
              </w:rPr>
            </w:pPr>
            <w:r w:rsidRPr="002124D1">
              <w:rPr>
                <w:rFonts w:asciiTheme="minorHAnsi" w:hAnsiTheme="minorHAnsi"/>
                <w:sz w:val="18"/>
                <w:szCs w:val="16"/>
                <w:lang w:val="sq-AL"/>
              </w:rPr>
              <w:t>Transporti Detar</w:t>
            </w:r>
          </w:p>
        </w:tc>
        <w:tc>
          <w:tcPr>
            <w:tcW w:w="0" w:type="auto"/>
          </w:tcPr>
          <w:p w:rsidR="006308E8" w:rsidRPr="002124D1" w:rsidRDefault="006308E8" w:rsidP="002124D1">
            <w:pPr>
              <w:jc w:val="right"/>
              <w:rPr>
                <w:rFonts w:asciiTheme="minorHAnsi" w:hAnsiTheme="minorHAnsi"/>
                <w:sz w:val="18"/>
                <w:szCs w:val="16"/>
                <w:lang w:val="sq-AL"/>
              </w:rPr>
            </w:pPr>
            <w:r w:rsidRPr="002124D1">
              <w:rPr>
                <w:rFonts w:asciiTheme="minorHAnsi" w:hAnsiTheme="minorHAnsi"/>
                <w:sz w:val="18"/>
                <w:szCs w:val="16"/>
                <w:lang w:val="sq-AL"/>
              </w:rPr>
              <w:t>108,173</w:t>
            </w:r>
          </w:p>
        </w:tc>
        <w:tc>
          <w:tcPr>
            <w:tcW w:w="0" w:type="auto"/>
            <w:shd w:val="clear" w:color="auto" w:fill="auto"/>
          </w:tcPr>
          <w:p w:rsidR="006308E8" w:rsidRPr="002124D1" w:rsidRDefault="006308E8" w:rsidP="002124D1">
            <w:pPr>
              <w:jc w:val="right"/>
              <w:rPr>
                <w:rFonts w:asciiTheme="minorHAnsi" w:hAnsiTheme="minorHAnsi"/>
                <w:sz w:val="18"/>
                <w:szCs w:val="16"/>
                <w:lang w:val="sq-AL"/>
              </w:rPr>
            </w:pPr>
            <w:r w:rsidRPr="002124D1">
              <w:rPr>
                <w:rFonts w:asciiTheme="minorHAnsi" w:hAnsiTheme="minorHAnsi"/>
                <w:sz w:val="18"/>
                <w:szCs w:val="16"/>
                <w:lang w:val="sq-AL"/>
              </w:rPr>
              <w:t>45,000</w:t>
            </w:r>
          </w:p>
        </w:tc>
        <w:tc>
          <w:tcPr>
            <w:tcW w:w="0" w:type="auto"/>
            <w:shd w:val="clear" w:color="auto" w:fill="auto"/>
          </w:tcPr>
          <w:p w:rsidR="006308E8" w:rsidRPr="002124D1" w:rsidRDefault="006308E8" w:rsidP="002124D1">
            <w:pPr>
              <w:jc w:val="right"/>
              <w:rPr>
                <w:rFonts w:asciiTheme="minorHAnsi" w:hAnsiTheme="minorHAnsi"/>
                <w:sz w:val="18"/>
                <w:szCs w:val="16"/>
                <w:lang w:val="sq-AL"/>
              </w:rPr>
            </w:pPr>
            <w:r w:rsidRPr="002124D1">
              <w:rPr>
                <w:rFonts w:asciiTheme="minorHAnsi" w:hAnsiTheme="minorHAnsi"/>
                <w:sz w:val="18"/>
                <w:szCs w:val="16"/>
                <w:lang w:val="sq-AL"/>
              </w:rPr>
              <w:t>27,556</w:t>
            </w:r>
          </w:p>
        </w:tc>
        <w:tc>
          <w:tcPr>
            <w:tcW w:w="0" w:type="auto"/>
            <w:shd w:val="clear" w:color="auto" w:fill="auto"/>
          </w:tcPr>
          <w:p w:rsidR="006308E8" w:rsidRPr="002124D1" w:rsidRDefault="006308E8" w:rsidP="002124D1">
            <w:pPr>
              <w:jc w:val="right"/>
              <w:rPr>
                <w:rFonts w:asciiTheme="minorHAnsi" w:hAnsiTheme="minorHAnsi"/>
                <w:sz w:val="18"/>
                <w:szCs w:val="16"/>
                <w:lang w:val="sq-AL"/>
              </w:rPr>
            </w:pPr>
            <w:r w:rsidRPr="002124D1">
              <w:rPr>
                <w:rFonts w:asciiTheme="minorHAnsi" w:hAnsiTheme="minorHAnsi"/>
                <w:sz w:val="18"/>
                <w:szCs w:val="16"/>
                <w:lang w:val="sq-AL"/>
              </w:rPr>
              <w:t>1,003</w:t>
            </w:r>
          </w:p>
        </w:tc>
        <w:tc>
          <w:tcPr>
            <w:tcW w:w="0" w:type="auto"/>
            <w:shd w:val="clear" w:color="auto" w:fill="auto"/>
          </w:tcPr>
          <w:p w:rsidR="006308E8" w:rsidRPr="002124D1" w:rsidRDefault="006308E8" w:rsidP="002124D1">
            <w:pPr>
              <w:jc w:val="center"/>
              <w:rPr>
                <w:rFonts w:asciiTheme="minorHAnsi" w:hAnsiTheme="minorHAnsi"/>
                <w:sz w:val="18"/>
                <w:szCs w:val="16"/>
                <w:lang w:val="sq-AL"/>
              </w:rPr>
            </w:pPr>
            <w:r w:rsidRPr="002124D1">
              <w:rPr>
                <w:rFonts w:asciiTheme="minorHAnsi" w:hAnsiTheme="minorHAnsi"/>
                <w:sz w:val="18"/>
                <w:szCs w:val="16"/>
                <w:lang w:val="sq-AL"/>
              </w:rPr>
              <w:t>25%</w:t>
            </w:r>
          </w:p>
        </w:tc>
        <w:tc>
          <w:tcPr>
            <w:tcW w:w="0" w:type="auto"/>
            <w:shd w:val="clear" w:color="auto" w:fill="auto"/>
          </w:tcPr>
          <w:p w:rsidR="006308E8" w:rsidRPr="002124D1" w:rsidRDefault="006308E8" w:rsidP="002124D1">
            <w:pPr>
              <w:jc w:val="center"/>
              <w:rPr>
                <w:rFonts w:asciiTheme="minorHAnsi" w:hAnsiTheme="minorHAnsi"/>
                <w:sz w:val="18"/>
                <w:szCs w:val="16"/>
                <w:lang w:val="sq-AL"/>
              </w:rPr>
            </w:pPr>
            <w:r w:rsidRPr="002124D1">
              <w:rPr>
                <w:rFonts w:asciiTheme="minorHAnsi" w:hAnsiTheme="minorHAnsi"/>
                <w:sz w:val="18"/>
                <w:szCs w:val="16"/>
                <w:lang w:val="sq-AL"/>
              </w:rPr>
              <w:t>2%</w:t>
            </w:r>
          </w:p>
        </w:tc>
      </w:tr>
      <w:tr w:rsidR="006308E8" w:rsidRPr="002124D1" w:rsidTr="002124D1">
        <w:trPr>
          <w:trHeight w:val="256"/>
          <w:jc w:val="center"/>
        </w:trPr>
        <w:tc>
          <w:tcPr>
            <w:tcW w:w="0" w:type="auto"/>
          </w:tcPr>
          <w:p w:rsidR="006308E8" w:rsidRPr="002124D1" w:rsidRDefault="006308E8" w:rsidP="002124D1">
            <w:pPr>
              <w:jc w:val="center"/>
              <w:rPr>
                <w:rFonts w:asciiTheme="minorHAnsi" w:hAnsiTheme="minorHAnsi"/>
                <w:sz w:val="18"/>
                <w:szCs w:val="16"/>
                <w:lang w:val="sq-AL"/>
              </w:rPr>
            </w:pPr>
            <w:r w:rsidRPr="002124D1">
              <w:rPr>
                <w:rFonts w:asciiTheme="minorHAnsi" w:hAnsiTheme="minorHAnsi"/>
                <w:sz w:val="18"/>
                <w:szCs w:val="16"/>
                <w:lang w:val="sq-AL"/>
              </w:rPr>
              <w:t>7.</w:t>
            </w:r>
          </w:p>
        </w:tc>
        <w:tc>
          <w:tcPr>
            <w:tcW w:w="0" w:type="auto"/>
          </w:tcPr>
          <w:p w:rsidR="006308E8" w:rsidRPr="002124D1" w:rsidRDefault="006308E8" w:rsidP="002124D1">
            <w:pPr>
              <w:rPr>
                <w:rFonts w:asciiTheme="minorHAnsi" w:hAnsiTheme="minorHAnsi"/>
                <w:sz w:val="18"/>
                <w:szCs w:val="16"/>
                <w:lang w:val="sq-AL"/>
              </w:rPr>
            </w:pPr>
            <w:r w:rsidRPr="002124D1">
              <w:rPr>
                <w:rFonts w:asciiTheme="minorHAnsi" w:hAnsiTheme="minorHAnsi"/>
                <w:sz w:val="18"/>
                <w:szCs w:val="16"/>
                <w:lang w:val="sq-AL"/>
              </w:rPr>
              <w:t>Transporti Ajror</w:t>
            </w:r>
          </w:p>
        </w:tc>
        <w:tc>
          <w:tcPr>
            <w:tcW w:w="0" w:type="auto"/>
          </w:tcPr>
          <w:p w:rsidR="006308E8" w:rsidRPr="002124D1" w:rsidRDefault="006308E8" w:rsidP="002124D1">
            <w:pPr>
              <w:jc w:val="right"/>
              <w:rPr>
                <w:rFonts w:asciiTheme="minorHAnsi" w:hAnsiTheme="minorHAnsi"/>
                <w:sz w:val="18"/>
                <w:szCs w:val="16"/>
                <w:lang w:val="sq-AL"/>
              </w:rPr>
            </w:pPr>
            <w:r w:rsidRPr="002124D1">
              <w:rPr>
                <w:rFonts w:asciiTheme="minorHAnsi" w:hAnsiTheme="minorHAnsi"/>
                <w:sz w:val="18"/>
                <w:szCs w:val="16"/>
                <w:lang w:val="sq-AL"/>
              </w:rPr>
              <w:t>20,200</w:t>
            </w:r>
          </w:p>
        </w:tc>
        <w:tc>
          <w:tcPr>
            <w:tcW w:w="0" w:type="auto"/>
            <w:shd w:val="clear" w:color="auto" w:fill="auto"/>
          </w:tcPr>
          <w:p w:rsidR="006308E8" w:rsidRPr="002124D1" w:rsidRDefault="006308E8" w:rsidP="002124D1">
            <w:pPr>
              <w:jc w:val="right"/>
              <w:rPr>
                <w:rFonts w:asciiTheme="minorHAnsi" w:hAnsiTheme="minorHAnsi"/>
                <w:sz w:val="18"/>
                <w:szCs w:val="16"/>
                <w:lang w:val="sq-AL"/>
              </w:rPr>
            </w:pPr>
            <w:r w:rsidRPr="002124D1">
              <w:rPr>
                <w:rFonts w:asciiTheme="minorHAnsi" w:hAnsiTheme="minorHAnsi"/>
                <w:sz w:val="18"/>
                <w:szCs w:val="16"/>
                <w:lang w:val="sq-AL"/>
              </w:rPr>
              <w:t>35,000</w:t>
            </w:r>
          </w:p>
        </w:tc>
        <w:tc>
          <w:tcPr>
            <w:tcW w:w="0" w:type="auto"/>
            <w:shd w:val="clear" w:color="auto" w:fill="auto"/>
          </w:tcPr>
          <w:p w:rsidR="006308E8" w:rsidRPr="002124D1" w:rsidRDefault="006308E8" w:rsidP="002124D1">
            <w:pPr>
              <w:jc w:val="right"/>
              <w:rPr>
                <w:rFonts w:asciiTheme="minorHAnsi" w:hAnsiTheme="minorHAnsi"/>
                <w:sz w:val="18"/>
                <w:szCs w:val="16"/>
                <w:lang w:val="sq-AL"/>
              </w:rPr>
            </w:pPr>
            <w:r w:rsidRPr="002124D1">
              <w:rPr>
                <w:rFonts w:asciiTheme="minorHAnsi" w:hAnsiTheme="minorHAnsi"/>
                <w:sz w:val="18"/>
                <w:szCs w:val="16"/>
                <w:lang w:val="sq-AL"/>
              </w:rPr>
              <w:t>2,731</w:t>
            </w:r>
          </w:p>
        </w:tc>
        <w:tc>
          <w:tcPr>
            <w:tcW w:w="0" w:type="auto"/>
            <w:shd w:val="clear" w:color="auto" w:fill="auto"/>
          </w:tcPr>
          <w:p w:rsidR="006308E8" w:rsidRPr="002124D1" w:rsidRDefault="006308E8" w:rsidP="002124D1">
            <w:pPr>
              <w:jc w:val="right"/>
              <w:rPr>
                <w:rFonts w:asciiTheme="minorHAnsi" w:hAnsiTheme="minorHAnsi"/>
                <w:sz w:val="18"/>
                <w:szCs w:val="16"/>
                <w:lang w:val="sq-AL"/>
              </w:rPr>
            </w:pPr>
          </w:p>
        </w:tc>
        <w:tc>
          <w:tcPr>
            <w:tcW w:w="0" w:type="auto"/>
            <w:shd w:val="clear" w:color="auto" w:fill="auto"/>
          </w:tcPr>
          <w:p w:rsidR="006308E8" w:rsidRPr="002124D1" w:rsidRDefault="006308E8" w:rsidP="002124D1">
            <w:pPr>
              <w:jc w:val="center"/>
              <w:rPr>
                <w:rFonts w:asciiTheme="minorHAnsi" w:hAnsiTheme="minorHAnsi"/>
                <w:sz w:val="18"/>
                <w:szCs w:val="16"/>
                <w:lang w:val="sq-AL"/>
              </w:rPr>
            </w:pPr>
            <w:r w:rsidRPr="002124D1">
              <w:rPr>
                <w:rFonts w:asciiTheme="minorHAnsi" w:hAnsiTheme="minorHAnsi"/>
                <w:sz w:val="18"/>
                <w:szCs w:val="16"/>
                <w:lang w:val="sq-AL"/>
              </w:rPr>
              <w:t>14%</w:t>
            </w:r>
          </w:p>
        </w:tc>
        <w:tc>
          <w:tcPr>
            <w:tcW w:w="0" w:type="auto"/>
            <w:shd w:val="clear" w:color="auto" w:fill="auto"/>
          </w:tcPr>
          <w:p w:rsidR="006308E8" w:rsidRPr="002124D1" w:rsidRDefault="006308E8" w:rsidP="002124D1">
            <w:pPr>
              <w:jc w:val="center"/>
              <w:rPr>
                <w:rFonts w:asciiTheme="minorHAnsi" w:hAnsiTheme="minorHAnsi"/>
                <w:sz w:val="18"/>
                <w:szCs w:val="16"/>
                <w:lang w:val="sq-AL"/>
              </w:rPr>
            </w:pPr>
            <w:r w:rsidRPr="002124D1">
              <w:rPr>
                <w:rFonts w:asciiTheme="minorHAnsi" w:hAnsiTheme="minorHAnsi"/>
                <w:sz w:val="18"/>
                <w:szCs w:val="16"/>
                <w:lang w:val="sq-AL"/>
              </w:rPr>
              <w:t>0%</w:t>
            </w:r>
          </w:p>
        </w:tc>
      </w:tr>
      <w:tr w:rsidR="006308E8" w:rsidRPr="002124D1" w:rsidTr="002124D1">
        <w:trPr>
          <w:trHeight w:val="256"/>
          <w:jc w:val="center"/>
        </w:trPr>
        <w:tc>
          <w:tcPr>
            <w:tcW w:w="0" w:type="auto"/>
          </w:tcPr>
          <w:p w:rsidR="006308E8" w:rsidRPr="002124D1" w:rsidRDefault="006308E8" w:rsidP="002124D1">
            <w:pPr>
              <w:jc w:val="center"/>
              <w:rPr>
                <w:rFonts w:asciiTheme="minorHAnsi" w:hAnsiTheme="minorHAnsi"/>
                <w:sz w:val="18"/>
                <w:szCs w:val="16"/>
                <w:lang w:val="sq-AL"/>
              </w:rPr>
            </w:pPr>
            <w:r w:rsidRPr="002124D1">
              <w:rPr>
                <w:rFonts w:asciiTheme="minorHAnsi" w:hAnsiTheme="minorHAnsi"/>
                <w:sz w:val="18"/>
                <w:szCs w:val="16"/>
                <w:lang w:val="sq-AL"/>
              </w:rPr>
              <w:t>8.</w:t>
            </w:r>
          </w:p>
        </w:tc>
        <w:tc>
          <w:tcPr>
            <w:tcW w:w="0" w:type="auto"/>
          </w:tcPr>
          <w:p w:rsidR="006308E8" w:rsidRPr="002124D1" w:rsidRDefault="006308E8" w:rsidP="002124D1">
            <w:pPr>
              <w:rPr>
                <w:rFonts w:asciiTheme="minorHAnsi" w:hAnsiTheme="minorHAnsi"/>
                <w:sz w:val="18"/>
                <w:szCs w:val="16"/>
                <w:lang w:val="sq-AL"/>
              </w:rPr>
            </w:pPr>
            <w:r w:rsidRPr="002124D1">
              <w:rPr>
                <w:rFonts w:asciiTheme="minorHAnsi" w:hAnsiTheme="minorHAnsi"/>
                <w:sz w:val="18"/>
                <w:szCs w:val="16"/>
                <w:lang w:val="sq-AL"/>
              </w:rPr>
              <w:t>Planifikimi Urban</w:t>
            </w:r>
          </w:p>
        </w:tc>
        <w:tc>
          <w:tcPr>
            <w:tcW w:w="0" w:type="auto"/>
          </w:tcPr>
          <w:p w:rsidR="006308E8" w:rsidRPr="002124D1" w:rsidRDefault="006308E8" w:rsidP="002124D1">
            <w:pPr>
              <w:jc w:val="right"/>
              <w:rPr>
                <w:rFonts w:asciiTheme="minorHAnsi" w:hAnsiTheme="minorHAnsi"/>
                <w:sz w:val="18"/>
                <w:szCs w:val="16"/>
                <w:lang w:val="sq-AL"/>
              </w:rPr>
            </w:pPr>
            <w:r w:rsidRPr="002124D1">
              <w:rPr>
                <w:rFonts w:asciiTheme="minorHAnsi" w:hAnsiTheme="minorHAnsi"/>
                <w:sz w:val="18"/>
                <w:szCs w:val="16"/>
                <w:lang w:val="sq-AL"/>
              </w:rPr>
              <w:t>191,184</w:t>
            </w:r>
          </w:p>
        </w:tc>
        <w:tc>
          <w:tcPr>
            <w:tcW w:w="0" w:type="auto"/>
            <w:shd w:val="clear" w:color="auto" w:fill="auto"/>
          </w:tcPr>
          <w:p w:rsidR="006308E8" w:rsidRPr="002124D1" w:rsidRDefault="006308E8" w:rsidP="002124D1">
            <w:pPr>
              <w:jc w:val="right"/>
              <w:rPr>
                <w:rFonts w:asciiTheme="minorHAnsi" w:hAnsiTheme="minorHAnsi"/>
                <w:sz w:val="18"/>
                <w:szCs w:val="16"/>
                <w:lang w:val="sq-AL"/>
              </w:rPr>
            </w:pPr>
            <w:r w:rsidRPr="002124D1">
              <w:rPr>
                <w:rFonts w:asciiTheme="minorHAnsi" w:hAnsiTheme="minorHAnsi"/>
                <w:sz w:val="18"/>
                <w:szCs w:val="16"/>
                <w:lang w:val="sq-AL"/>
              </w:rPr>
              <w:t>78,000</w:t>
            </w:r>
          </w:p>
        </w:tc>
        <w:tc>
          <w:tcPr>
            <w:tcW w:w="0" w:type="auto"/>
            <w:shd w:val="clear" w:color="auto" w:fill="auto"/>
          </w:tcPr>
          <w:p w:rsidR="006308E8" w:rsidRPr="002124D1" w:rsidRDefault="006308E8" w:rsidP="002124D1">
            <w:pPr>
              <w:jc w:val="right"/>
              <w:rPr>
                <w:rFonts w:asciiTheme="minorHAnsi" w:hAnsiTheme="minorHAnsi"/>
                <w:sz w:val="18"/>
                <w:szCs w:val="16"/>
                <w:lang w:val="sq-AL"/>
              </w:rPr>
            </w:pPr>
            <w:r w:rsidRPr="002124D1">
              <w:rPr>
                <w:rFonts w:asciiTheme="minorHAnsi" w:hAnsiTheme="minorHAnsi"/>
                <w:sz w:val="18"/>
                <w:szCs w:val="16"/>
                <w:lang w:val="sq-AL"/>
              </w:rPr>
              <w:t>166,738</w:t>
            </w:r>
          </w:p>
        </w:tc>
        <w:tc>
          <w:tcPr>
            <w:tcW w:w="0" w:type="auto"/>
            <w:shd w:val="clear" w:color="auto" w:fill="auto"/>
          </w:tcPr>
          <w:p w:rsidR="006308E8" w:rsidRPr="002124D1" w:rsidRDefault="006308E8" w:rsidP="002124D1">
            <w:pPr>
              <w:jc w:val="right"/>
              <w:rPr>
                <w:rFonts w:asciiTheme="minorHAnsi" w:hAnsiTheme="minorHAnsi"/>
                <w:sz w:val="18"/>
                <w:szCs w:val="16"/>
                <w:lang w:val="sq-AL"/>
              </w:rPr>
            </w:pPr>
            <w:r w:rsidRPr="002124D1">
              <w:rPr>
                <w:rFonts w:asciiTheme="minorHAnsi" w:hAnsiTheme="minorHAnsi"/>
                <w:sz w:val="18"/>
                <w:szCs w:val="16"/>
                <w:lang w:val="sq-AL"/>
              </w:rPr>
              <w:t>23,463</w:t>
            </w:r>
          </w:p>
        </w:tc>
        <w:tc>
          <w:tcPr>
            <w:tcW w:w="0" w:type="auto"/>
            <w:shd w:val="clear" w:color="auto" w:fill="auto"/>
          </w:tcPr>
          <w:p w:rsidR="006308E8" w:rsidRPr="002124D1" w:rsidRDefault="006308E8" w:rsidP="002124D1">
            <w:pPr>
              <w:jc w:val="center"/>
              <w:rPr>
                <w:rFonts w:asciiTheme="minorHAnsi" w:hAnsiTheme="minorHAnsi"/>
                <w:sz w:val="18"/>
                <w:szCs w:val="16"/>
                <w:lang w:val="sq-AL"/>
              </w:rPr>
            </w:pPr>
            <w:r w:rsidRPr="002124D1">
              <w:rPr>
                <w:rFonts w:asciiTheme="minorHAnsi" w:hAnsiTheme="minorHAnsi"/>
                <w:sz w:val="18"/>
                <w:szCs w:val="16"/>
                <w:lang w:val="sq-AL"/>
              </w:rPr>
              <w:t>87%</w:t>
            </w:r>
          </w:p>
        </w:tc>
        <w:tc>
          <w:tcPr>
            <w:tcW w:w="0" w:type="auto"/>
            <w:shd w:val="clear" w:color="auto" w:fill="auto"/>
          </w:tcPr>
          <w:p w:rsidR="006308E8" w:rsidRPr="002124D1" w:rsidRDefault="006308E8" w:rsidP="002124D1">
            <w:pPr>
              <w:jc w:val="center"/>
              <w:rPr>
                <w:rFonts w:asciiTheme="minorHAnsi" w:hAnsiTheme="minorHAnsi"/>
                <w:sz w:val="18"/>
                <w:szCs w:val="16"/>
                <w:lang w:val="sq-AL"/>
              </w:rPr>
            </w:pPr>
            <w:r w:rsidRPr="002124D1">
              <w:rPr>
                <w:rFonts w:asciiTheme="minorHAnsi" w:hAnsiTheme="minorHAnsi"/>
                <w:sz w:val="18"/>
                <w:szCs w:val="16"/>
                <w:lang w:val="sq-AL"/>
              </w:rPr>
              <w:t>30%</w:t>
            </w:r>
          </w:p>
        </w:tc>
      </w:tr>
      <w:tr w:rsidR="006308E8" w:rsidRPr="002124D1" w:rsidTr="002124D1">
        <w:trPr>
          <w:trHeight w:val="256"/>
          <w:jc w:val="center"/>
        </w:trPr>
        <w:tc>
          <w:tcPr>
            <w:tcW w:w="0" w:type="auto"/>
          </w:tcPr>
          <w:p w:rsidR="006308E8" w:rsidRPr="002124D1" w:rsidRDefault="006308E8" w:rsidP="002124D1">
            <w:pPr>
              <w:jc w:val="center"/>
              <w:rPr>
                <w:rFonts w:asciiTheme="minorHAnsi" w:hAnsiTheme="minorHAnsi"/>
                <w:sz w:val="18"/>
                <w:szCs w:val="16"/>
                <w:lang w:val="sq-AL"/>
              </w:rPr>
            </w:pPr>
          </w:p>
        </w:tc>
        <w:tc>
          <w:tcPr>
            <w:tcW w:w="0" w:type="auto"/>
          </w:tcPr>
          <w:p w:rsidR="006308E8" w:rsidRPr="002124D1" w:rsidRDefault="006308E8" w:rsidP="002124D1">
            <w:pPr>
              <w:jc w:val="right"/>
              <w:rPr>
                <w:rFonts w:asciiTheme="minorHAnsi" w:hAnsiTheme="minorHAnsi"/>
                <w:sz w:val="18"/>
                <w:szCs w:val="16"/>
                <w:lang w:val="sq-AL"/>
              </w:rPr>
            </w:pPr>
            <w:r w:rsidRPr="002124D1">
              <w:rPr>
                <w:rFonts w:asciiTheme="minorHAnsi" w:hAnsiTheme="minorHAnsi"/>
                <w:sz w:val="18"/>
                <w:szCs w:val="16"/>
                <w:lang w:val="sq-AL"/>
              </w:rPr>
              <w:t>Financimi i huaj</w:t>
            </w:r>
          </w:p>
        </w:tc>
        <w:tc>
          <w:tcPr>
            <w:tcW w:w="0" w:type="auto"/>
          </w:tcPr>
          <w:p w:rsidR="006308E8" w:rsidRPr="002124D1" w:rsidRDefault="006308E8" w:rsidP="002124D1">
            <w:pPr>
              <w:jc w:val="right"/>
              <w:rPr>
                <w:rFonts w:asciiTheme="minorHAnsi" w:hAnsiTheme="minorHAnsi"/>
                <w:sz w:val="18"/>
                <w:szCs w:val="16"/>
                <w:lang w:val="sq-AL"/>
              </w:rPr>
            </w:pPr>
          </w:p>
        </w:tc>
        <w:tc>
          <w:tcPr>
            <w:tcW w:w="0" w:type="auto"/>
            <w:shd w:val="clear" w:color="auto" w:fill="auto"/>
          </w:tcPr>
          <w:p w:rsidR="006308E8" w:rsidRPr="002124D1" w:rsidRDefault="006308E8" w:rsidP="002124D1">
            <w:pPr>
              <w:jc w:val="right"/>
              <w:rPr>
                <w:rFonts w:asciiTheme="minorHAnsi" w:hAnsiTheme="minorHAnsi"/>
                <w:sz w:val="18"/>
                <w:szCs w:val="16"/>
                <w:lang w:val="sq-AL"/>
              </w:rPr>
            </w:pPr>
            <w:r w:rsidRPr="002124D1">
              <w:rPr>
                <w:rFonts w:asciiTheme="minorHAnsi" w:hAnsiTheme="minorHAnsi"/>
                <w:sz w:val="18"/>
                <w:szCs w:val="16"/>
                <w:lang w:val="sq-AL"/>
              </w:rPr>
              <w:t>220,000</w:t>
            </w:r>
          </w:p>
        </w:tc>
        <w:tc>
          <w:tcPr>
            <w:tcW w:w="0" w:type="auto"/>
            <w:shd w:val="clear" w:color="auto" w:fill="auto"/>
          </w:tcPr>
          <w:p w:rsidR="006308E8" w:rsidRPr="002124D1" w:rsidRDefault="006308E8" w:rsidP="002124D1">
            <w:pPr>
              <w:jc w:val="right"/>
              <w:rPr>
                <w:rFonts w:asciiTheme="minorHAnsi" w:hAnsiTheme="minorHAnsi"/>
                <w:sz w:val="18"/>
                <w:szCs w:val="16"/>
                <w:lang w:val="sq-AL"/>
              </w:rPr>
            </w:pPr>
          </w:p>
        </w:tc>
        <w:tc>
          <w:tcPr>
            <w:tcW w:w="0" w:type="auto"/>
            <w:shd w:val="clear" w:color="auto" w:fill="auto"/>
          </w:tcPr>
          <w:p w:rsidR="006308E8" w:rsidRPr="002124D1" w:rsidRDefault="006308E8" w:rsidP="002124D1">
            <w:pPr>
              <w:jc w:val="right"/>
              <w:rPr>
                <w:rFonts w:asciiTheme="minorHAnsi" w:hAnsiTheme="minorHAnsi"/>
                <w:sz w:val="18"/>
                <w:szCs w:val="16"/>
                <w:lang w:val="sq-AL"/>
              </w:rPr>
            </w:pPr>
            <w:r w:rsidRPr="002124D1">
              <w:rPr>
                <w:rFonts w:asciiTheme="minorHAnsi" w:hAnsiTheme="minorHAnsi"/>
                <w:sz w:val="18"/>
                <w:szCs w:val="16"/>
                <w:lang w:val="sq-AL"/>
              </w:rPr>
              <w:t>1,149</w:t>
            </w:r>
          </w:p>
        </w:tc>
        <w:tc>
          <w:tcPr>
            <w:tcW w:w="0" w:type="auto"/>
            <w:shd w:val="clear" w:color="auto" w:fill="auto"/>
          </w:tcPr>
          <w:p w:rsidR="006308E8" w:rsidRPr="002124D1" w:rsidRDefault="006308E8" w:rsidP="002124D1">
            <w:pPr>
              <w:jc w:val="center"/>
              <w:rPr>
                <w:rFonts w:asciiTheme="minorHAnsi" w:hAnsiTheme="minorHAnsi"/>
                <w:sz w:val="18"/>
                <w:szCs w:val="16"/>
                <w:lang w:val="sq-AL"/>
              </w:rPr>
            </w:pPr>
          </w:p>
        </w:tc>
        <w:tc>
          <w:tcPr>
            <w:tcW w:w="0" w:type="auto"/>
            <w:shd w:val="clear" w:color="auto" w:fill="auto"/>
          </w:tcPr>
          <w:p w:rsidR="006308E8" w:rsidRPr="002124D1" w:rsidRDefault="006308E8" w:rsidP="002124D1">
            <w:pPr>
              <w:jc w:val="center"/>
              <w:rPr>
                <w:rFonts w:asciiTheme="minorHAnsi" w:hAnsiTheme="minorHAnsi"/>
                <w:sz w:val="18"/>
                <w:szCs w:val="16"/>
                <w:lang w:val="sq-AL"/>
              </w:rPr>
            </w:pPr>
            <w:r w:rsidRPr="002124D1">
              <w:rPr>
                <w:rFonts w:asciiTheme="minorHAnsi" w:hAnsiTheme="minorHAnsi"/>
                <w:sz w:val="18"/>
                <w:szCs w:val="16"/>
                <w:lang w:val="sq-AL"/>
              </w:rPr>
              <w:t>1%</w:t>
            </w:r>
          </w:p>
        </w:tc>
      </w:tr>
      <w:tr w:rsidR="006308E8" w:rsidRPr="002124D1" w:rsidTr="002124D1">
        <w:trPr>
          <w:trHeight w:val="256"/>
          <w:jc w:val="center"/>
        </w:trPr>
        <w:tc>
          <w:tcPr>
            <w:tcW w:w="0" w:type="auto"/>
          </w:tcPr>
          <w:p w:rsidR="006308E8" w:rsidRPr="002124D1" w:rsidRDefault="006308E8" w:rsidP="002124D1">
            <w:pPr>
              <w:jc w:val="center"/>
              <w:rPr>
                <w:rFonts w:asciiTheme="minorHAnsi" w:hAnsiTheme="minorHAnsi"/>
                <w:sz w:val="18"/>
                <w:szCs w:val="16"/>
                <w:lang w:val="sq-AL"/>
              </w:rPr>
            </w:pPr>
            <w:r w:rsidRPr="002124D1">
              <w:rPr>
                <w:rFonts w:asciiTheme="minorHAnsi" w:hAnsiTheme="minorHAnsi"/>
                <w:sz w:val="18"/>
                <w:szCs w:val="16"/>
                <w:lang w:val="sq-AL"/>
              </w:rPr>
              <w:t>9.</w:t>
            </w:r>
          </w:p>
        </w:tc>
        <w:tc>
          <w:tcPr>
            <w:tcW w:w="0" w:type="auto"/>
          </w:tcPr>
          <w:p w:rsidR="006308E8" w:rsidRPr="002124D1" w:rsidRDefault="006308E8" w:rsidP="002124D1">
            <w:pPr>
              <w:rPr>
                <w:rFonts w:asciiTheme="minorHAnsi" w:hAnsiTheme="minorHAnsi"/>
                <w:sz w:val="18"/>
                <w:szCs w:val="16"/>
                <w:lang w:val="sq-AL"/>
              </w:rPr>
            </w:pPr>
            <w:r w:rsidRPr="002124D1">
              <w:rPr>
                <w:rFonts w:asciiTheme="minorHAnsi" w:hAnsiTheme="minorHAnsi"/>
                <w:sz w:val="18"/>
                <w:szCs w:val="16"/>
                <w:lang w:val="sq-AL"/>
              </w:rPr>
              <w:t>Mbeshtetje per Burimet natyrore</w:t>
            </w:r>
          </w:p>
        </w:tc>
        <w:tc>
          <w:tcPr>
            <w:tcW w:w="0" w:type="auto"/>
          </w:tcPr>
          <w:p w:rsidR="006308E8" w:rsidRPr="002124D1" w:rsidRDefault="006308E8" w:rsidP="002124D1">
            <w:pPr>
              <w:jc w:val="right"/>
              <w:rPr>
                <w:rFonts w:asciiTheme="minorHAnsi" w:hAnsiTheme="minorHAnsi"/>
                <w:sz w:val="18"/>
                <w:szCs w:val="16"/>
                <w:lang w:val="sq-AL"/>
              </w:rPr>
            </w:pPr>
            <w:r w:rsidRPr="002124D1">
              <w:rPr>
                <w:rFonts w:asciiTheme="minorHAnsi" w:hAnsiTheme="minorHAnsi"/>
                <w:sz w:val="18"/>
                <w:szCs w:val="16"/>
                <w:lang w:val="sq-AL"/>
              </w:rPr>
              <w:t>148,365</w:t>
            </w:r>
          </w:p>
        </w:tc>
        <w:tc>
          <w:tcPr>
            <w:tcW w:w="0" w:type="auto"/>
            <w:shd w:val="clear" w:color="auto" w:fill="auto"/>
          </w:tcPr>
          <w:p w:rsidR="006308E8" w:rsidRPr="002124D1" w:rsidRDefault="006308E8" w:rsidP="002124D1">
            <w:pPr>
              <w:jc w:val="right"/>
              <w:rPr>
                <w:rFonts w:asciiTheme="minorHAnsi" w:hAnsiTheme="minorHAnsi"/>
                <w:sz w:val="18"/>
                <w:szCs w:val="16"/>
                <w:lang w:val="sq-AL"/>
              </w:rPr>
            </w:pPr>
            <w:r w:rsidRPr="002124D1">
              <w:rPr>
                <w:rFonts w:asciiTheme="minorHAnsi" w:hAnsiTheme="minorHAnsi"/>
                <w:sz w:val="18"/>
                <w:szCs w:val="16"/>
                <w:lang w:val="sq-AL"/>
              </w:rPr>
              <w:t>57,000</w:t>
            </w:r>
          </w:p>
        </w:tc>
        <w:tc>
          <w:tcPr>
            <w:tcW w:w="0" w:type="auto"/>
            <w:shd w:val="clear" w:color="auto" w:fill="auto"/>
          </w:tcPr>
          <w:p w:rsidR="006308E8" w:rsidRPr="002124D1" w:rsidRDefault="006308E8" w:rsidP="002124D1">
            <w:pPr>
              <w:jc w:val="right"/>
              <w:rPr>
                <w:rFonts w:asciiTheme="minorHAnsi" w:hAnsiTheme="minorHAnsi"/>
                <w:sz w:val="18"/>
                <w:szCs w:val="16"/>
                <w:lang w:val="sq-AL"/>
              </w:rPr>
            </w:pPr>
            <w:r w:rsidRPr="002124D1">
              <w:rPr>
                <w:rFonts w:asciiTheme="minorHAnsi" w:hAnsiTheme="minorHAnsi"/>
                <w:sz w:val="18"/>
                <w:szCs w:val="16"/>
                <w:lang w:val="sq-AL"/>
              </w:rPr>
              <w:t>44,814</w:t>
            </w:r>
          </w:p>
        </w:tc>
        <w:tc>
          <w:tcPr>
            <w:tcW w:w="0" w:type="auto"/>
            <w:shd w:val="clear" w:color="auto" w:fill="auto"/>
          </w:tcPr>
          <w:p w:rsidR="006308E8" w:rsidRPr="002124D1" w:rsidRDefault="006308E8" w:rsidP="002124D1">
            <w:pPr>
              <w:jc w:val="right"/>
              <w:rPr>
                <w:rFonts w:asciiTheme="minorHAnsi" w:hAnsiTheme="minorHAnsi"/>
                <w:sz w:val="18"/>
                <w:szCs w:val="16"/>
                <w:lang w:val="sq-AL"/>
              </w:rPr>
            </w:pPr>
            <w:r w:rsidRPr="002124D1">
              <w:rPr>
                <w:rFonts w:asciiTheme="minorHAnsi" w:hAnsiTheme="minorHAnsi"/>
                <w:sz w:val="18"/>
                <w:szCs w:val="16"/>
                <w:lang w:val="sq-AL"/>
              </w:rPr>
              <w:t>18,195</w:t>
            </w:r>
          </w:p>
        </w:tc>
        <w:tc>
          <w:tcPr>
            <w:tcW w:w="0" w:type="auto"/>
            <w:shd w:val="clear" w:color="auto" w:fill="auto"/>
          </w:tcPr>
          <w:p w:rsidR="006308E8" w:rsidRPr="002124D1" w:rsidRDefault="006308E8" w:rsidP="002124D1">
            <w:pPr>
              <w:jc w:val="center"/>
              <w:rPr>
                <w:rFonts w:asciiTheme="minorHAnsi" w:hAnsiTheme="minorHAnsi"/>
                <w:sz w:val="18"/>
                <w:szCs w:val="16"/>
                <w:lang w:val="sq-AL"/>
              </w:rPr>
            </w:pPr>
            <w:r w:rsidRPr="002124D1">
              <w:rPr>
                <w:rFonts w:asciiTheme="minorHAnsi" w:hAnsiTheme="minorHAnsi"/>
                <w:sz w:val="18"/>
                <w:szCs w:val="16"/>
                <w:lang w:val="sq-AL"/>
              </w:rPr>
              <w:t>30%</w:t>
            </w:r>
          </w:p>
        </w:tc>
        <w:tc>
          <w:tcPr>
            <w:tcW w:w="0" w:type="auto"/>
            <w:shd w:val="clear" w:color="auto" w:fill="auto"/>
          </w:tcPr>
          <w:p w:rsidR="006308E8" w:rsidRPr="002124D1" w:rsidRDefault="006308E8" w:rsidP="002124D1">
            <w:pPr>
              <w:jc w:val="center"/>
              <w:rPr>
                <w:rFonts w:asciiTheme="minorHAnsi" w:hAnsiTheme="minorHAnsi"/>
                <w:sz w:val="18"/>
                <w:szCs w:val="16"/>
                <w:lang w:val="sq-AL"/>
              </w:rPr>
            </w:pPr>
            <w:r w:rsidRPr="002124D1">
              <w:rPr>
                <w:rFonts w:asciiTheme="minorHAnsi" w:hAnsiTheme="minorHAnsi"/>
                <w:sz w:val="18"/>
                <w:szCs w:val="16"/>
                <w:lang w:val="sq-AL"/>
              </w:rPr>
              <w:t>32%</w:t>
            </w:r>
          </w:p>
        </w:tc>
      </w:tr>
      <w:tr w:rsidR="006308E8" w:rsidRPr="002124D1" w:rsidTr="002124D1">
        <w:trPr>
          <w:trHeight w:val="256"/>
          <w:jc w:val="center"/>
        </w:trPr>
        <w:tc>
          <w:tcPr>
            <w:tcW w:w="0" w:type="auto"/>
          </w:tcPr>
          <w:p w:rsidR="006308E8" w:rsidRPr="002124D1" w:rsidRDefault="006308E8" w:rsidP="002124D1">
            <w:pPr>
              <w:jc w:val="center"/>
              <w:rPr>
                <w:rFonts w:asciiTheme="minorHAnsi" w:hAnsiTheme="minorHAnsi"/>
                <w:sz w:val="18"/>
                <w:szCs w:val="16"/>
                <w:lang w:val="sq-AL"/>
              </w:rPr>
            </w:pPr>
            <w:r w:rsidRPr="002124D1">
              <w:rPr>
                <w:rFonts w:asciiTheme="minorHAnsi" w:hAnsiTheme="minorHAnsi"/>
                <w:sz w:val="18"/>
                <w:szCs w:val="16"/>
                <w:lang w:val="sq-AL"/>
              </w:rPr>
              <w:t>10.</w:t>
            </w:r>
          </w:p>
        </w:tc>
        <w:tc>
          <w:tcPr>
            <w:tcW w:w="0" w:type="auto"/>
          </w:tcPr>
          <w:p w:rsidR="006308E8" w:rsidRPr="002124D1" w:rsidRDefault="006308E8" w:rsidP="002124D1">
            <w:pPr>
              <w:rPr>
                <w:rFonts w:asciiTheme="minorHAnsi" w:hAnsiTheme="minorHAnsi"/>
                <w:sz w:val="18"/>
                <w:szCs w:val="16"/>
                <w:lang w:val="sq-AL"/>
              </w:rPr>
            </w:pPr>
            <w:r w:rsidRPr="002124D1">
              <w:rPr>
                <w:rFonts w:asciiTheme="minorHAnsi" w:hAnsiTheme="minorHAnsi"/>
                <w:sz w:val="18"/>
                <w:szCs w:val="16"/>
                <w:lang w:val="sq-AL"/>
              </w:rPr>
              <w:t>Mbeshtetje per Industrine</w:t>
            </w:r>
          </w:p>
        </w:tc>
        <w:tc>
          <w:tcPr>
            <w:tcW w:w="0" w:type="auto"/>
          </w:tcPr>
          <w:p w:rsidR="006308E8" w:rsidRPr="002124D1" w:rsidRDefault="006308E8" w:rsidP="002124D1">
            <w:pPr>
              <w:jc w:val="right"/>
              <w:rPr>
                <w:rFonts w:asciiTheme="minorHAnsi" w:hAnsiTheme="minorHAnsi"/>
                <w:sz w:val="18"/>
                <w:szCs w:val="16"/>
                <w:lang w:val="sq-AL"/>
              </w:rPr>
            </w:pPr>
            <w:r w:rsidRPr="002124D1">
              <w:rPr>
                <w:rFonts w:asciiTheme="minorHAnsi" w:hAnsiTheme="minorHAnsi"/>
                <w:sz w:val="18"/>
                <w:szCs w:val="16"/>
                <w:lang w:val="sq-AL"/>
              </w:rPr>
              <w:t>281,795</w:t>
            </w:r>
          </w:p>
        </w:tc>
        <w:tc>
          <w:tcPr>
            <w:tcW w:w="0" w:type="auto"/>
            <w:shd w:val="clear" w:color="auto" w:fill="auto"/>
          </w:tcPr>
          <w:p w:rsidR="006308E8" w:rsidRPr="002124D1" w:rsidRDefault="006308E8" w:rsidP="002124D1">
            <w:pPr>
              <w:jc w:val="right"/>
              <w:rPr>
                <w:rFonts w:asciiTheme="minorHAnsi" w:hAnsiTheme="minorHAnsi"/>
                <w:sz w:val="18"/>
                <w:szCs w:val="16"/>
                <w:lang w:val="sq-AL"/>
              </w:rPr>
            </w:pPr>
            <w:r w:rsidRPr="002124D1">
              <w:rPr>
                <w:rFonts w:asciiTheme="minorHAnsi" w:hAnsiTheme="minorHAnsi"/>
                <w:sz w:val="18"/>
                <w:szCs w:val="16"/>
                <w:lang w:val="sq-AL"/>
              </w:rPr>
              <w:t>85,000</w:t>
            </w:r>
          </w:p>
        </w:tc>
        <w:tc>
          <w:tcPr>
            <w:tcW w:w="0" w:type="auto"/>
            <w:shd w:val="clear" w:color="auto" w:fill="auto"/>
          </w:tcPr>
          <w:p w:rsidR="006308E8" w:rsidRPr="002124D1" w:rsidRDefault="006308E8" w:rsidP="002124D1">
            <w:pPr>
              <w:jc w:val="right"/>
              <w:rPr>
                <w:rFonts w:asciiTheme="minorHAnsi" w:hAnsiTheme="minorHAnsi"/>
                <w:sz w:val="18"/>
                <w:szCs w:val="16"/>
                <w:lang w:val="sq-AL"/>
              </w:rPr>
            </w:pPr>
            <w:r w:rsidRPr="002124D1">
              <w:rPr>
                <w:rFonts w:asciiTheme="minorHAnsi" w:hAnsiTheme="minorHAnsi"/>
                <w:sz w:val="18"/>
                <w:szCs w:val="16"/>
                <w:lang w:val="sq-AL"/>
              </w:rPr>
              <w:t>78,984</w:t>
            </w:r>
          </w:p>
        </w:tc>
        <w:tc>
          <w:tcPr>
            <w:tcW w:w="0" w:type="auto"/>
            <w:shd w:val="clear" w:color="auto" w:fill="auto"/>
          </w:tcPr>
          <w:p w:rsidR="006308E8" w:rsidRPr="002124D1" w:rsidRDefault="006308E8" w:rsidP="002124D1">
            <w:pPr>
              <w:jc w:val="right"/>
              <w:rPr>
                <w:rFonts w:asciiTheme="minorHAnsi" w:hAnsiTheme="minorHAnsi"/>
                <w:sz w:val="18"/>
                <w:szCs w:val="16"/>
                <w:lang w:val="sq-AL"/>
              </w:rPr>
            </w:pPr>
            <w:r w:rsidRPr="002124D1">
              <w:rPr>
                <w:rFonts w:asciiTheme="minorHAnsi" w:hAnsiTheme="minorHAnsi"/>
                <w:sz w:val="18"/>
                <w:szCs w:val="16"/>
                <w:lang w:val="sq-AL"/>
              </w:rPr>
              <w:t>11,356</w:t>
            </w:r>
          </w:p>
        </w:tc>
        <w:tc>
          <w:tcPr>
            <w:tcW w:w="0" w:type="auto"/>
            <w:shd w:val="clear" w:color="auto" w:fill="auto"/>
          </w:tcPr>
          <w:p w:rsidR="006308E8" w:rsidRPr="002124D1" w:rsidRDefault="006308E8" w:rsidP="002124D1">
            <w:pPr>
              <w:jc w:val="center"/>
              <w:rPr>
                <w:rFonts w:asciiTheme="minorHAnsi" w:hAnsiTheme="minorHAnsi"/>
                <w:sz w:val="18"/>
                <w:szCs w:val="16"/>
                <w:lang w:val="sq-AL"/>
              </w:rPr>
            </w:pPr>
            <w:r w:rsidRPr="002124D1">
              <w:rPr>
                <w:rFonts w:asciiTheme="minorHAnsi" w:hAnsiTheme="minorHAnsi"/>
                <w:sz w:val="18"/>
                <w:szCs w:val="16"/>
                <w:lang w:val="sq-AL"/>
              </w:rPr>
              <w:t>28%</w:t>
            </w:r>
          </w:p>
        </w:tc>
        <w:tc>
          <w:tcPr>
            <w:tcW w:w="0" w:type="auto"/>
            <w:shd w:val="clear" w:color="auto" w:fill="auto"/>
          </w:tcPr>
          <w:p w:rsidR="006308E8" w:rsidRPr="002124D1" w:rsidRDefault="006308E8" w:rsidP="002124D1">
            <w:pPr>
              <w:jc w:val="center"/>
              <w:rPr>
                <w:rFonts w:asciiTheme="minorHAnsi" w:hAnsiTheme="minorHAnsi"/>
                <w:sz w:val="18"/>
                <w:szCs w:val="16"/>
                <w:lang w:val="sq-AL"/>
              </w:rPr>
            </w:pPr>
            <w:r w:rsidRPr="002124D1">
              <w:rPr>
                <w:rFonts w:asciiTheme="minorHAnsi" w:hAnsiTheme="minorHAnsi"/>
                <w:sz w:val="18"/>
                <w:szCs w:val="16"/>
                <w:lang w:val="sq-AL"/>
              </w:rPr>
              <w:t>13%</w:t>
            </w:r>
          </w:p>
        </w:tc>
      </w:tr>
    </w:tbl>
    <w:p w:rsidR="006308E8" w:rsidRPr="00BB7F2F" w:rsidRDefault="006308E8" w:rsidP="006308E8">
      <w:pPr>
        <w:spacing w:line="276" w:lineRule="auto"/>
        <w:jc w:val="both"/>
        <w:rPr>
          <w:rFonts w:asciiTheme="minorHAnsi" w:eastAsia="MS Mincho" w:hAnsiTheme="minorHAnsi"/>
          <w:b/>
          <w:sz w:val="16"/>
          <w:szCs w:val="16"/>
          <w:lang w:val="sq-AL"/>
        </w:rPr>
      </w:pPr>
    </w:p>
    <w:p w:rsidR="002124D1" w:rsidRDefault="006308E8" w:rsidP="006308E8">
      <w:pPr>
        <w:spacing w:line="276" w:lineRule="auto"/>
        <w:jc w:val="both"/>
        <w:rPr>
          <w:rFonts w:asciiTheme="minorHAnsi" w:hAnsiTheme="minorHAnsi"/>
          <w:lang w:val="sq-AL"/>
        </w:rPr>
      </w:pPr>
      <w:r w:rsidRPr="00BB7F2F">
        <w:rPr>
          <w:rFonts w:asciiTheme="minorHAnsi" w:hAnsiTheme="minorHAnsi"/>
          <w:lang w:val="sq-AL"/>
        </w:rPr>
        <w:t>Për programin</w:t>
      </w:r>
      <w:r w:rsidRPr="00BB7F2F">
        <w:rPr>
          <w:rFonts w:asciiTheme="minorHAnsi" w:hAnsiTheme="minorHAnsi"/>
          <w:b/>
          <w:lang w:val="sq-AL"/>
        </w:rPr>
        <w:t xml:space="preserve"> “Transporti Rrugor</w:t>
      </w:r>
      <w:r w:rsidRPr="00BB7F2F">
        <w:rPr>
          <w:rFonts w:asciiTheme="minorHAnsi" w:hAnsiTheme="minorHAnsi"/>
          <w:lang w:val="sq-AL"/>
        </w:rPr>
        <w:t>” gjatë 4 mujorit të parë të vitit 2020 janë realizuar fondet në masën 40%, duke u realizuar kështu edhe qëllimi i këtij programi, i cili është “</w:t>
      </w:r>
      <w:r w:rsidRPr="00BB7F2F">
        <w:rPr>
          <w:rFonts w:asciiTheme="minorHAnsi" w:hAnsiTheme="minorHAnsi"/>
          <w:i/>
          <w:lang w:val="sq-AL"/>
        </w:rPr>
        <w:t>Forcimi dhe integrimi me rrjetin rajonal dhe TEN-T. Dyfishimin e numrit te lidhjeve nderkombetare toksore me Kosoven, Maqedonine, Greqine dhe Malin e Zi (v.2020 ndaj v.2007), qe do te dyfishonte transportin nderkombetar te udhetareve dhe te mallrave. Perfundimin e Korridoreve me te gjitha korsite dhe parametrat teknike deri ne fund të vitit 2020, duke perfshire arterie strategjike si: autostrada Adriatiko-Joniane ne kuader te procesit te Berlinit dhe Konektivitetit; Korridori 8; Korridori Durrës-Morinë”</w:t>
      </w:r>
      <w:r w:rsidRPr="00BB7F2F">
        <w:rPr>
          <w:rFonts w:asciiTheme="minorHAnsi" w:hAnsiTheme="minorHAnsi"/>
          <w:lang w:val="sq-AL"/>
        </w:rPr>
        <w:t xml:space="preserve"> Ky qëllim është realizuar nëpërmjet dy objektivave, specifikisht </w:t>
      </w:r>
      <w:r w:rsidR="002124D1">
        <w:rPr>
          <w:rFonts w:asciiTheme="minorHAnsi" w:hAnsiTheme="minorHAnsi"/>
          <w:lang w:val="sq-AL"/>
        </w:rPr>
        <w:t xml:space="preserve">(i) </w:t>
      </w:r>
      <w:r w:rsidRPr="00BB7F2F">
        <w:rPr>
          <w:rFonts w:asciiTheme="minorHAnsi" w:hAnsiTheme="minorHAnsi"/>
          <w:lang w:val="sq-AL"/>
        </w:rPr>
        <w:t xml:space="preserve">Ndërtim dhe rehabilitim sipas standarteve të projektimit, rrugë   të rrjetit kombëtar dhe </w:t>
      </w:r>
      <w:r w:rsidR="002124D1">
        <w:rPr>
          <w:rFonts w:asciiTheme="minorHAnsi" w:hAnsiTheme="minorHAnsi"/>
          <w:lang w:val="sq-AL"/>
        </w:rPr>
        <w:t xml:space="preserve">(ii) </w:t>
      </w:r>
      <w:r w:rsidRPr="00BB7F2F">
        <w:rPr>
          <w:rFonts w:asciiTheme="minorHAnsi" w:hAnsiTheme="minorHAnsi"/>
          <w:lang w:val="sq-AL"/>
        </w:rPr>
        <w:t xml:space="preserve">Sistemim asfaltim e riveshje për rrugë të rrjetit kombëtar. </w:t>
      </w:r>
    </w:p>
    <w:p w:rsidR="002124D1" w:rsidRPr="002124D1" w:rsidRDefault="002124D1" w:rsidP="006308E8">
      <w:pPr>
        <w:spacing w:line="276" w:lineRule="auto"/>
        <w:jc w:val="both"/>
        <w:rPr>
          <w:rFonts w:asciiTheme="minorHAnsi" w:hAnsiTheme="minorHAnsi"/>
          <w:sz w:val="8"/>
          <w:szCs w:val="8"/>
          <w:lang w:val="sq-AL"/>
        </w:rPr>
      </w:pPr>
    </w:p>
    <w:p w:rsidR="006308E8" w:rsidRPr="00BB7F2F" w:rsidRDefault="006308E8" w:rsidP="006308E8">
      <w:pPr>
        <w:spacing w:line="276" w:lineRule="auto"/>
        <w:jc w:val="both"/>
        <w:rPr>
          <w:rFonts w:asciiTheme="minorHAnsi" w:hAnsiTheme="minorHAnsi"/>
          <w:lang w:val="sq-AL"/>
        </w:rPr>
      </w:pPr>
      <w:r w:rsidRPr="00BB7F2F">
        <w:rPr>
          <w:rFonts w:asciiTheme="minorHAnsi" w:hAnsiTheme="minorHAnsi"/>
          <w:lang w:val="sq-AL"/>
        </w:rPr>
        <w:t>Realizimi i produkteve për secilen nga objektivat paraqitet si më poshtë:</w:t>
      </w:r>
    </w:p>
    <w:p w:rsidR="002124D1" w:rsidRDefault="002124D1" w:rsidP="006308E8">
      <w:pPr>
        <w:spacing w:line="276" w:lineRule="auto"/>
        <w:jc w:val="both"/>
        <w:rPr>
          <w:rFonts w:asciiTheme="minorHAnsi" w:hAnsiTheme="minorHAnsi"/>
          <w:lang w:val="sq-AL"/>
        </w:rPr>
      </w:pPr>
    </w:p>
    <w:p w:rsidR="006308E8" w:rsidRPr="00BB7F2F" w:rsidRDefault="006308E8" w:rsidP="006308E8">
      <w:pPr>
        <w:spacing w:line="276" w:lineRule="auto"/>
        <w:jc w:val="both"/>
        <w:rPr>
          <w:rFonts w:asciiTheme="minorHAnsi" w:hAnsiTheme="minorHAnsi"/>
          <w:lang w:val="sq-AL"/>
        </w:rPr>
      </w:pPr>
      <w:r w:rsidRPr="002124D1">
        <w:rPr>
          <w:rFonts w:asciiTheme="minorHAnsi" w:hAnsiTheme="minorHAnsi"/>
          <w:lang w:val="sq-AL"/>
        </w:rPr>
        <w:t>Për objektivin</w:t>
      </w:r>
      <w:r w:rsidR="002124D1" w:rsidRPr="002124D1">
        <w:rPr>
          <w:rFonts w:asciiTheme="minorHAnsi" w:hAnsiTheme="minorHAnsi"/>
          <w:lang w:val="sq-AL"/>
        </w:rPr>
        <w:t xml:space="preserve"> </w:t>
      </w:r>
      <w:r w:rsidRPr="002124D1">
        <w:rPr>
          <w:rFonts w:asciiTheme="minorHAnsi" w:hAnsiTheme="minorHAnsi"/>
          <w:i/>
          <w:lang w:val="sq-AL"/>
        </w:rPr>
        <w:t>“</w:t>
      </w:r>
      <w:r w:rsidRPr="002124D1">
        <w:rPr>
          <w:rFonts w:asciiTheme="minorHAnsi" w:hAnsiTheme="minorHAnsi"/>
          <w:lang w:val="sq-AL"/>
        </w:rPr>
        <w:t>Ndërtim dhe rehabilitim sipas standarteve të projektimit, rrugë të rrjetit kombëtar</w:t>
      </w:r>
      <w:r w:rsidRPr="002124D1">
        <w:rPr>
          <w:rFonts w:asciiTheme="minorHAnsi" w:hAnsiTheme="minorHAnsi"/>
          <w:i/>
          <w:lang w:val="sq-AL"/>
        </w:rPr>
        <w:t>”</w:t>
      </w:r>
      <w:r w:rsidRPr="002124D1">
        <w:rPr>
          <w:rFonts w:asciiTheme="minorHAnsi" w:hAnsiTheme="minorHAnsi"/>
          <w:lang w:val="sq-AL"/>
        </w:rPr>
        <w:t>, janë realizuar fondet në masën 3,158 milionë lekë ose rreth 46 % e fondeve vjetore të planifikuara. Disa nga produketet kryesore</w:t>
      </w:r>
      <w:r w:rsidRPr="00BB7F2F">
        <w:rPr>
          <w:rFonts w:asciiTheme="minorHAnsi" w:hAnsiTheme="minorHAnsi"/>
          <w:lang w:val="sq-AL"/>
        </w:rPr>
        <w:t xml:space="preserve"> që kanë kontribuar në realizimin e objektivit, janë:   </w:t>
      </w:r>
    </w:p>
    <w:p w:rsidR="006308E8" w:rsidRPr="00BB7F2F" w:rsidRDefault="006308E8" w:rsidP="00503465">
      <w:pPr>
        <w:numPr>
          <w:ilvl w:val="0"/>
          <w:numId w:val="33"/>
        </w:numPr>
        <w:spacing w:line="276" w:lineRule="auto"/>
        <w:ind w:left="450" w:hanging="270"/>
        <w:jc w:val="both"/>
        <w:rPr>
          <w:rFonts w:asciiTheme="minorHAnsi" w:hAnsiTheme="minorHAnsi"/>
          <w:lang w:val="sq-AL"/>
        </w:rPr>
      </w:pPr>
      <w:r w:rsidRPr="00BB7F2F">
        <w:rPr>
          <w:rFonts w:asciiTheme="minorHAnsi" w:hAnsiTheme="minorHAnsi"/>
          <w:lang w:val="sq-AL"/>
        </w:rPr>
        <w:t xml:space="preserve">Tipi i rrugës A2’ 2x2 me trotuar dhe ndriçim, për të cilin fondet e planifikuara për vitin buxhetorparaqiten të realizuar përgjatë 4 mujorit të parë të vitit 2020 në masën prej </w:t>
      </w:r>
    </w:p>
    <w:p w:rsidR="006308E8" w:rsidRPr="00BB7F2F" w:rsidRDefault="006308E8" w:rsidP="006308E8">
      <w:pPr>
        <w:spacing w:line="276" w:lineRule="auto"/>
        <w:ind w:left="450"/>
        <w:jc w:val="both"/>
        <w:rPr>
          <w:rFonts w:asciiTheme="minorHAnsi" w:hAnsiTheme="minorHAnsi"/>
          <w:lang w:val="sq-AL"/>
        </w:rPr>
      </w:pPr>
      <w:r w:rsidRPr="00BB7F2F">
        <w:rPr>
          <w:rFonts w:asciiTheme="minorHAnsi" w:hAnsiTheme="minorHAnsi"/>
          <w:lang w:val="sq-AL"/>
        </w:rPr>
        <w:t>412 milionë lekë. Disa nga objektet e rëndësishme, që janë në proces paraqiten si më poshtë:</w:t>
      </w:r>
    </w:p>
    <w:p w:rsidR="006308E8" w:rsidRPr="00BB7F2F" w:rsidRDefault="006308E8" w:rsidP="00503465">
      <w:pPr>
        <w:numPr>
          <w:ilvl w:val="1"/>
          <w:numId w:val="34"/>
        </w:numPr>
        <w:ind w:left="990"/>
        <w:jc w:val="both"/>
        <w:rPr>
          <w:rFonts w:asciiTheme="minorHAnsi" w:hAnsiTheme="minorHAnsi"/>
          <w:i/>
          <w:lang w:val="sq-AL"/>
        </w:rPr>
      </w:pPr>
      <w:r w:rsidRPr="00BB7F2F">
        <w:rPr>
          <w:rFonts w:asciiTheme="minorHAnsi" w:hAnsiTheme="minorHAnsi"/>
          <w:i/>
          <w:lang w:val="sq-AL"/>
        </w:rPr>
        <w:t>"Përfundim i punimeve të mbetura dhe plotësimi me rrugë dytësore nyja e Milotit";</w:t>
      </w:r>
    </w:p>
    <w:p w:rsidR="006308E8" w:rsidRPr="00BB7F2F" w:rsidRDefault="006308E8" w:rsidP="00503465">
      <w:pPr>
        <w:numPr>
          <w:ilvl w:val="1"/>
          <w:numId w:val="34"/>
        </w:numPr>
        <w:ind w:left="990"/>
        <w:jc w:val="both"/>
        <w:rPr>
          <w:rFonts w:asciiTheme="minorHAnsi" w:hAnsiTheme="minorHAnsi"/>
          <w:i/>
          <w:lang w:val="sq-AL"/>
        </w:rPr>
      </w:pPr>
      <w:r w:rsidRPr="00BB7F2F">
        <w:rPr>
          <w:rFonts w:asciiTheme="minorHAnsi" w:hAnsiTheme="minorHAnsi"/>
          <w:i/>
          <w:lang w:val="sq-AL"/>
        </w:rPr>
        <w:t>"Ndërtim i unazës së Jashtme Tiranë pjesa verilindore (seg Kth Saukut-Bregu i lumit) Loti 1, Loti 2, Loti 3";</w:t>
      </w:r>
    </w:p>
    <w:p w:rsidR="006308E8" w:rsidRPr="00BB7F2F" w:rsidRDefault="006308E8" w:rsidP="00503465">
      <w:pPr>
        <w:numPr>
          <w:ilvl w:val="1"/>
          <w:numId w:val="34"/>
        </w:numPr>
        <w:ind w:left="990"/>
        <w:jc w:val="both"/>
        <w:rPr>
          <w:rFonts w:asciiTheme="minorHAnsi" w:hAnsiTheme="minorHAnsi"/>
          <w:i/>
          <w:lang w:val="sq-AL"/>
        </w:rPr>
      </w:pPr>
      <w:r w:rsidRPr="00BB7F2F">
        <w:rPr>
          <w:rFonts w:asciiTheme="minorHAnsi" w:hAnsiTheme="minorHAnsi"/>
          <w:i/>
          <w:lang w:val="sq-AL"/>
        </w:rPr>
        <w:t>"Rikualifikim i akseve rrugore Unaza Lindore Loti 2 , Loti 3";</w:t>
      </w:r>
    </w:p>
    <w:p w:rsidR="006308E8" w:rsidRPr="00BB7F2F" w:rsidRDefault="006308E8" w:rsidP="00503465">
      <w:pPr>
        <w:numPr>
          <w:ilvl w:val="1"/>
          <w:numId w:val="34"/>
        </w:numPr>
        <w:ind w:left="990"/>
        <w:jc w:val="both"/>
        <w:rPr>
          <w:rFonts w:asciiTheme="minorHAnsi" w:hAnsiTheme="minorHAnsi"/>
          <w:i/>
          <w:lang w:val="sq-AL"/>
        </w:rPr>
      </w:pPr>
      <w:r w:rsidRPr="00BB7F2F">
        <w:rPr>
          <w:rFonts w:asciiTheme="minorHAnsi" w:hAnsiTheme="minorHAnsi"/>
          <w:i/>
          <w:lang w:val="sq-AL"/>
        </w:rPr>
        <w:t>"Ndërtim rruga By Pass Perëndimor Shkodër, Loti 1 + shtesë punimesh dhe Loti 2";</w:t>
      </w:r>
    </w:p>
    <w:p w:rsidR="006308E8" w:rsidRPr="00BB7F2F" w:rsidRDefault="006308E8" w:rsidP="00503465">
      <w:pPr>
        <w:numPr>
          <w:ilvl w:val="0"/>
          <w:numId w:val="33"/>
        </w:numPr>
        <w:spacing w:line="276" w:lineRule="auto"/>
        <w:ind w:left="450" w:hanging="270"/>
        <w:jc w:val="both"/>
        <w:rPr>
          <w:rFonts w:asciiTheme="minorHAnsi" w:hAnsiTheme="minorHAnsi"/>
          <w:lang w:val="sq-AL"/>
        </w:rPr>
      </w:pPr>
      <w:r w:rsidRPr="00BB7F2F">
        <w:rPr>
          <w:rFonts w:asciiTheme="minorHAnsi" w:hAnsiTheme="minorHAnsi"/>
          <w:lang w:val="sq-AL"/>
        </w:rPr>
        <w:lastRenderedPageBreak/>
        <w:t>Rruga tip B1’ me dy korsi, për të cilën janë realizuar fondet në masën prej 1,735 milionë lekë ose 44% ndaj totalit të planifikuar për vitin 2020.  Disa nga objektet e rëndësishme, në të cilat punohet me ritme të parashikuara janë:</w:t>
      </w:r>
    </w:p>
    <w:p w:rsidR="006308E8" w:rsidRPr="00BB7F2F" w:rsidRDefault="006308E8" w:rsidP="00503465">
      <w:pPr>
        <w:numPr>
          <w:ilvl w:val="1"/>
          <w:numId w:val="34"/>
        </w:numPr>
        <w:ind w:left="990"/>
        <w:jc w:val="both"/>
        <w:rPr>
          <w:rFonts w:asciiTheme="minorHAnsi" w:hAnsiTheme="minorHAnsi"/>
          <w:i/>
          <w:lang w:val="sq-AL"/>
        </w:rPr>
      </w:pPr>
      <w:r w:rsidRPr="00BB7F2F">
        <w:rPr>
          <w:rFonts w:asciiTheme="minorHAnsi" w:hAnsiTheme="minorHAnsi"/>
          <w:i/>
          <w:lang w:val="sq-AL"/>
        </w:rPr>
        <w:t>"Ndërtim Rruga Kardhiq-Delvinë Loti 4, Loti 5, Loti 6";</w:t>
      </w:r>
    </w:p>
    <w:p w:rsidR="006308E8" w:rsidRPr="00BB7F2F" w:rsidRDefault="006308E8" w:rsidP="00503465">
      <w:pPr>
        <w:numPr>
          <w:ilvl w:val="1"/>
          <w:numId w:val="34"/>
        </w:numPr>
        <w:ind w:left="990"/>
        <w:jc w:val="both"/>
        <w:rPr>
          <w:rFonts w:asciiTheme="minorHAnsi" w:hAnsiTheme="minorHAnsi"/>
          <w:i/>
          <w:lang w:val="sq-AL"/>
        </w:rPr>
      </w:pPr>
      <w:r w:rsidRPr="00BB7F2F">
        <w:rPr>
          <w:rFonts w:asciiTheme="minorHAnsi" w:hAnsiTheme="minorHAnsi"/>
          <w:i/>
          <w:lang w:val="sq-AL"/>
        </w:rPr>
        <w:t>"Ndërtim rruga Milot - F. Krujë (dublimi i superstradës) Loti 3";</w:t>
      </w:r>
    </w:p>
    <w:p w:rsidR="006308E8" w:rsidRPr="00BB7F2F" w:rsidRDefault="006308E8" w:rsidP="006308E8">
      <w:pPr>
        <w:jc w:val="both"/>
        <w:rPr>
          <w:rFonts w:asciiTheme="minorHAnsi" w:hAnsiTheme="minorHAnsi"/>
          <w:i/>
          <w:lang w:val="sq-AL"/>
        </w:rPr>
      </w:pPr>
    </w:p>
    <w:p w:rsidR="006308E8" w:rsidRPr="00BB7F2F" w:rsidRDefault="006308E8" w:rsidP="00503465">
      <w:pPr>
        <w:numPr>
          <w:ilvl w:val="0"/>
          <w:numId w:val="33"/>
        </w:numPr>
        <w:spacing w:line="276" w:lineRule="auto"/>
        <w:ind w:left="450" w:hanging="270"/>
        <w:jc w:val="both"/>
        <w:rPr>
          <w:rFonts w:asciiTheme="minorHAnsi" w:hAnsiTheme="minorHAnsi"/>
          <w:lang w:val="sq-AL"/>
        </w:rPr>
      </w:pPr>
      <w:r w:rsidRPr="00BB7F2F">
        <w:rPr>
          <w:rFonts w:asciiTheme="minorHAnsi" w:hAnsiTheme="minorHAnsi"/>
          <w:lang w:val="sq-AL"/>
        </w:rPr>
        <w:t>Për rrugën tip C2 me dy korsi, janë realizuar fondet përgjatë 4 mujorit të parë të vitit 2020 në masën prej 1,012 milionë lekë ose 16% e fondeve të planifikuara. Disa nga objektet e rëndësishme, në të cilat punohet normalisht dhe që janë në proces janë:</w:t>
      </w:r>
    </w:p>
    <w:p w:rsidR="006308E8" w:rsidRPr="00BB7F2F" w:rsidRDefault="006308E8" w:rsidP="00503465">
      <w:pPr>
        <w:numPr>
          <w:ilvl w:val="1"/>
          <w:numId w:val="34"/>
        </w:numPr>
        <w:ind w:left="990"/>
        <w:jc w:val="both"/>
        <w:rPr>
          <w:rFonts w:asciiTheme="minorHAnsi" w:hAnsiTheme="minorHAnsi"/>
          <w:i/>
          <w:lang w:val="sq-AL"/>
        </w:rPr>
      </w:pPr>
      <w:r w:rsidRPr="00BB7F2F">
        <w:rPr>
          <w:rFonts w:asciiTheme="minorHAnsi" w:hAnsiTheme="minorHAnsi"/>
          <w:i/>
          <w:lang w:val="sq-AL"/>
        </w:rPr>
        <w:t>"Ndërtim By Pass Tepelenë Loti 1"</w:t>
      </w:r>
    </w:p>
    <w:p w:rsidR="006308E8" w:rsidRPr="00BB7F2F" w:rsidRDefault="006308E8" w:rsidP="00503465">
      <w:pPr>
        <w:numPr>
          <w:ilvl w:val="1"/>
          <w:numId w:val="34"/>
        </w:numPr>
        <w:ind w:left="990"/>
        <w:jc w:val="both"/>
        <w:rPr>
          <w:rFonts w:asciiTheme="minorHAnsi" w:hAnsiTheme="minorHAnsi"/>
          <w:i/>
          <w:lang w:val="sq-AL"/>
        </w:rPr>
      </w:pPr>
      <w:r w:rsidRPr="00BB7F2F">
        <w:rPr>
          <w:rFonts w:asciiTheme="minorHAnsi" w:hAnsiTheme="minorHAnsi"/>
          <w:i/>
          <w:lang w:val="sq-AL"/>
        </w:rPr>
        <w:t>"Ndërtim mure mbajtës dhe pritës në segmentin rrugor Kuben – Vasije"</w:t>
      </w:r>
    </w:p>
    <w:p w:rsidR="006308E8" w:rsidRPr="00BB7F2F" w:rsidRDefault="006308E8" w:rsidP="00503465">
      <w:pPr>
        <w:numPr>
          <w:ilvl w:val="1"/>
          <w:numId w:val="34"/>
        </w:numPr>
        <w:ind w:left="990"/>
        <w:jc w:val="both"/>
        <w:rPr>
          <w:rFonts w:asciiTheme="minorHAnsi" w:hAnsiTheme="minorHAnsi"/>
          <w:i/>
          <w:lang w:val="sq-AL"/>
        </w:rPr>
      </w:pPr>
      <w:r w:rsidRPr="00BB7F2F">
        <w:rPr>
          <w:rFonts w:asciiTheme="minorHAnsi" w:hAnsiTheme="minorHAnsi"/>
          <w:i/>
          <w:lang w:val="sq-AL"/>
        </w:rPr>
        <w:t>Stabilizim i rrëshqitjeve në segmentin rrugor Milot - Rrëshen, rruga e vjetër;</w:t>
      </w:r>
    </w:p>
    <w:p w:rsidR="006308E8" w:rsidRPr="00BB7F2F" w:rsidRDefault="006308E8" w:rsidP="00503465">
      <w:pPr>
        <w:numPr>
          <w:ilvl w:val="1"/>
          <w:numId w:val="34"/>
        </w:numPr>
        <w:ind w:left="990"/>
        <w:jc w:val="both"/>
        <w:rPr>
          <w:rFonts w:asciiTheme="minorHAnsi" w:hAnsiTheme="minorHAnsi"/>
          <w:i/>
          <w:lang w:val="sq-AL"/>
        </w:rPr>
      </w:pPr>
      <w:r w:rsidRPr="00BB7F2F">
        <w:rPr>
          <w:rFonts w:asciiTheme="minorHAnsi" w:hAnsiTheme="minorHAnsi"/>
          <w:i/>
          <w:lang w:val="sq-AL"/>
        </w:rPr>
        <w:t>Ndërtim i tombinos dhe kanalit në km 6+500 të aksit rrugor Tiranë - Elbasan (aksi i vjetër);</w:t>
      </w:r>
    </w:p>
    <w:p w:rsidR="006308E8" w:rsidRPr="00BB7F2F" w:rsidRDefault="006308E8" w:rsidP="00503465">
      <w:pPr>
        <w:numPr>
          <w:ilvl w:val="1"/>
          <w:numId w:val="34"/>
        </w:numPr>
        <w:ind w:left="990"/>
        <w:jc w:val="both"/>
        <w:rPr>
          <w:rFonts w:asciiTheme="minorHAnsi" w:hAnsiTheme="minorHAnsi"/>
          <w:i/>
          <w:lang w:val="sq-AL"/>
        </w:rPr>
      </w:pPr>
      <w:r w:rsidRPr="00BB7F2F">
        <w:rPr>
          <w:rFonts w:asciiTheme="minorHAnsi" w:hAnsiTheme="minorHAnsi"/>
          <w:i/>
          <w:lang w:val="sq-AL"/>
        </w:rPr>
        <w:t xml:space="preserve">Largimi i inerteve të rrugës provizore dhe kthimi i bregut të liqenit në gjendjen e mëparshme në aksin Lin - Pogradec. </w:t>
      </w:r>
    </w:p>
    <w:p w:rsidR="006308E8" w:rsidRPr="00BB7F2F" w:rsidRDefault="006308E8" w:rsidP="006308E8">
      <w:pPr>
        <w:spacing w:line="276" w:lineRule="auto"/>
        <w:jc w:val="both"/>
        <w:rPr>
          <w:rFonts w:asciiTheme="minorHAnsi" w:hAnsiTheme="minorHAnsi"/>
          <w:lang w:val="sq-AL"/>
        </w:rPr>
      </w:pPr>
    </w:p>
    <w:p w:rsidR="006308E8" w:rsidRPr="00BB7F2F" w:rsidRDefault="006308E8" w:rsidP="006308E8">
      <w:pPr>
        <w:spacing w:line="276" w:lineRule="auto"/>
        <w:jc w:val="both"/>
        <w:rPr>
          <w:rFonts w:asciiTheme="minorHAnsi" w:hAnsiTheme="minorHAnsi"/>
          <w:lang w:val="sq-AL"/>
        </w:rPr>
      </w:pPr>
      <w:r w:rsidRPr="002124D1">
        <w:rPr>
          <w:rFonts w:asciiTheme="minorHAnsi" w:hAnsiTheme="minorHAnsi"/>
          <w:lang w:val="sq-AL"/>
        </w:rPr>
        <w:t>Për objektivin “Sistemim asfaltim e riveshje për rrugë të rrjetit kombëtar”, janë realizuar fonde</w:t>
      </w:r>
      <w:r w:rsidRPr="00BB7F2F">
        <w:rPr>
          <w:rFonts w:asciiTheme="minorHAnsi" w:hAnsiTheme="minorHAnsi"/>
          <w:lang w:val="sq-AL"/>
        </w:rPr>
        <w:t xml:space="preserve"> në masën 354 milionë lekë. Disa nga objektet më të rëndësishme, të cilët kanë kontribuar në realizimin e objektivit të programit, paraqiten si më poshtë:</w:t>
      </w:r>
    </w:p>
    <w:p w:rsidR="006308E8" w:rsidRPr="00BB7F2F" w:rsidRDefault="006308E8" w:rsidP="00503465">
      <w:pPr>
        <w:numPr>
          <w:ilvl w:val="1"/>
          <w:numId w:val="34"/>
        </w:numPr>
        <w:ind w:left="990"/>
        <w:jc w:val="both"/>
        <w:rPr>
          <w:rFonts w:asciiTheme="minorHAnsi" w:hAnsiTheme="minorHAnsi"/>
          <w:i/>
          <w:lang w:val="sq-AL"/>
        </w:rPr>
      </w:pPr>
      <w:r w:rsidRPr="00BB7F2F">
        <w:rPr>
          <w:rFonts w:asciiTheme="minorHAnsi" w:hAnsiTheme="minorHAnsi"/>
          <w:i/>
          <w:lang w:val="sq-AL"/>
        </w:rPr>
        <w:t>Përmirësimi rifreskimi sinjalistikës vertikale/horizontale në akset kombëtare dhe përmirësim  të sigurisë rrugore në akset e Rajonit Verior, Loti 1, vazhdimi;</w:t>
      </w:r>
    </w:p>
    <w:p w:rsidR="006308E8" w:rsidRPr="00BB7F2F" w:rsidRDefault="006308E8" w:rsidP="00503465">
      <w:pPr>
        <w:numPr>
          <w:ilvl w:val="1"/>
          <w:numId w:val="34"/>
        </w:numPr>
        <w:ind w:left="990"/>
        <w:jc w:val="both"/>
        <w:rPr>
          <w:rFonts w:asciiTheme="minorHAnsi" w:hAnsiTheme="minorHAnsi"/>
          <w:i/>
          <w:lang w:val="sq-AL"/>
        </w:rPr>
      </w:pPr>
      <w:r w:rsidRPr="00BB7F2F">
        <w:rPr>
          <w:rFonts w:asciiTheme="minorHAnsi" w:hAnsiTheme="minorHAnsi"/>
          <w:i/>
          <w:lang w:val="sq-AL"/>
        </w:rPr>
        <w:t>Përmirësimi rifreskimi sinjalistikës vertikale/horizontale në akset kombëtare dhe përmirësim të sigurisë rrugore ne akset e Rajonit Qendror, Loti 2;</w:t>
      </w:r>
    </w:p>
    <w:p w:rsidR="006308E8" w:rsidRPr="00BB7F2F" w:rsidRDefault="006308E8" w:rsidP="00503465">
      <w:pPr>
        <w:numPr>
          <w:ilvl w:val="1"/>
          <w:numId w:val="34"/>
        </w:numPr>
        <w:ind w:left="990"/>
        <w:jc w:val="both"/>
        <w:rPr>
          <w:rFonts w:asciiTheme="minorHAnsi" w:hAnsiTheme="minorHAnsi"/>
          <w:i/>
          <w:lang w:val="sq-AL"/>
        </w:rPr>
      </w:pPr>
      <w:r w:rsidRPr="00BB7F2F">
        <w:rPr>
          <w:rFonts w:asciiTheme="minorHAnsi" w:hAnsiTheme="minorHAnsi"/>
          <w:i/>
          <w:lang w:val="sq-AL"/>
        </w:rPr>
        <w:t>Përmirësimi rifreskimi sinjalistikës vertikale/horizontale në akset kombëtare dhe përmirësim të sigurisë rrugore në akset e Rajonit Jugor, Loti 3;</w:t>
      </w:r>
    </w:p>
    <w:p w:rsidR="006308E8" w:rsidRPr="00BB7F2F" w:rsidRDefault="006308E8" w:rsidP="00503465">
      <w:pPr>
        <w:numPr>
          <w:ilvl w:val="1"/>
          <w:numId w:val="34"/>
        </w:numPr>
        <w:ind w:left="990"/>
        <w:jc w:val="both"/>
        <w:rPr>
          <w:rFonts w:asciiTheme="minorHAnsi" w:hAnsiTheme="minorHAnsi"/>
          <w:i/>
          <w:lang w:val="sq-AL"/>
        </w:rPr>
      </w:pPr>
      <w:r w:rsidRPr="00BB7F2F">
        <w:rPr>
          <w:rFonts w:asciiTheme="minorHAnsi" w:hAnsiTheme="minorHAnsi"/>
          <w:i/>
          <w:lang w:val="sq-AL"/>
        </w:rPr>
        <w:t>Përmirësimi rifreskimi sinjalistikës vertikale/horizontale në akset kombëtare dhe përmirësim të sigurisë rrugore në akset e Rajonit Jugor, Loti 3, vazhdimi;</w:t>
      </w:r>
    </w:p>
    <w:p w:rsidR="006308E8" w:rsidRPr="00BB7F2F" w:rsidRDefault="006308E8" w:rsidP="00503465">
      <w:pPr>
        <w:numPr>
          <w:ilvl w:val="1"/>
          <w:numId w:val="34"/>
        </w:numPr>
        <w:ind w:left="990"/>
        <w:jc w:val="both"/>
        <w:rPr>
          <w:rFonts w:asciiTheme="minorHAnsi" w:hAnsiTheme="minorHAnsi"/>
          <w:i/>
          <w:lang w:val="sq-AL"/>
        </w:rPr>
      </w:pPr>
      <w:r w:rsidRPr="00BB7F2F">
        <w:rPr>
          <w:rFonts w:asciiTheme="minorHAnsi" w:hAnsiTheme="minorHAnsi"/>
          <w:i/>
          <w:lang w:val="sq-AL"/>
        </w:rPr>
        <w:t>Punime ndërtimi  për eleminimin e pikave të zeza në rrugë ( bashkëfinancim  IPA 2013, Siguria rrugore).</w:t>
      </w:r>
    </w:p>
    <w:p w:rsidR="006308E8" w:rsidRPr="00BB7F2F" w:rsidRDefault="006308E8" w:rsidP="00503465">
      <w:pPr>
        <w:numPr>
          <w:ilvl w:val="1"/>
          <w:numId w:val="34"/>
        </w:numPr>
        <w:ind w:left="990"/>
        <w:jc w:val="both"/>
        <w:rPr>
          <w:rFonts w:asciiTheme="minorHAnsi" w:hAnsiTheme="minorHAnsi"/>
          <w:i/>
          <w:lang w:val="sq-AL"/>
        </w:rPr>
      </w:pPr>
      <w:r w:rsidRPr="00BB7F2F">
        <w:rPr>
          <w:rFonts w:asciiTheme="minorHAnsi" w:hAnsiTheme="minorHAnsi"/>
          <w:i/>
          <w:lang w:val="sq-AL"/>
        </w:rPr>
        <w:t>Përmirësim i sigurisë rrugore në segmentet me rrezik të lartë të rrjetit rrugor kombëtar;</w:t>
      </w:r>
    </w:p>
    <w:p w:rsidR="006308E8" w:rsidRPr="00BB7F2F" w:rsidRDefault="006308E8" w:rsidP="00503465">
      <w:pPr>
        <w:numPr>
          <w:ilvl w:val="1"/>
          <w:numId w:val="34"/>
        </w:numPr>
        <w:ind w:left="990"/>
        <w:jc w:val="both"/>
        <w:rPr>
          <w:rFonts w:asciiTheme="minorHAnsi" w:hAnsiTheme="minorHAnsi"/>
          <w:i/>
          <w:lang w:val="sq-AL"/>
        </w:rPr>
      </w:pPr>
      <w:r w:rsidRPr="00BB7F2F">
        <w:rPr>
          <w:rFonts w:asciiTheme="minorHAnsi" w:hAnsiTheme="minorHAnsi"/>
          <w:i/>
          <w:lang w:val="sq-AL"/>
        </w:rPr>
        <w:t>Eleminim i  pikave të zeza (Black Spots), në  rrjetin rrugor kombëtar.</w:t>
      </w:r>
    </w:p>
    <w:p w:rsidR="006308E8" w:rsidRPr="00BB7F2F" w:rsidRDefault="006308E8" w:rsidP="006308E8">
      <w:pPr>
        <w:spacing w:line="276" w:lineRule="auto"/>
        <w:jc w:val="both"/>
        <w:rPr>
          <w:rFonts w:asciiTheme="minorHAnsi" w:hAnsiTheme="minorHAnsi"/>
          <w:b/>
          <w:lang w:val="sq-AL"/>
        </w:rPr>
      </w:pPr>
    </w:p>
    <w:p w:rsidR="006308E8" w:rsidRPr="00BB7F2F" w:rsidRDefault="006308E8" w:rsidP="006308E8">
      <w:pPr>
        <w:spacing w:line="276" w:lineRule="auto"/>
        <w:jc w:val="both"/>
        <w:rPr>
          <w:rFonts w:asciiTheme="minorHAnsi" w:hAnsiTheme="minorHAnsi"/>
          <w:lang w:val="sq-AL"/>
        </w:rPr>
      </w:pPr>
      <w:r w:rsidRPr="00BB7F2F">
        <w:rPr>
          <w:rFonts w:asciiTheme="minorHAnsi" w:hAnsiTheme="minorHAnsi"/>
          <w:b/>
          <w:lang w:val="sq-AL"/>
        </w:rPr>
        <w:t>Në programin “Furnizimi me Ujë dhe Kanalizime</w:t>
      </w:r>
      <w:r w:rsidRPr="00BB7F2F">
        <w:rPr>
          <w:rFonts w:asciiTheme="minorHAnsi" w:hAnsiTheme="minorHAnsi"/>
          <w:lang w:val="sq-AL"/>
        </w:rPr>
        <w:t>” është realizuar qëllimi i programit i cili synon: “</w:t>
      </w:r>
      <w:r w:rsidRPr="00BB7F2F">
        <w:rPr>
          <w:rFonts w:asciiTheme="minorHAnsi" w:hAnsiTheme="minorHAnsi"/>
          <w:i/>
          <w:lang w:val="sq-AL"/>
        </w:rPr>
        <w:t>Shërbimin e furnizimit me ujë dhe kanalizime për të gjithë popullsinë me cilësi dhe sipas standarteve ndërkombëtare</w:t>
      </w:r>
      <w:r w:rsidRPr="00BB7F2F">
        <w:rPr>
          <w:rFonts w:asciiTheme="minorHAnsi" w:hAnsiTheme="minorHAnsi"/>
          <w:lang w:val="sq-AL"/>
        </w:rPr>
        <w:t>.” Produktet e realizuara, me synim realizmin e qëllimit, paraqiten si më poshtë:</w:t>
      </w:r>
    </w:p>
    <w:p w:rsidR="006308E8" w:rsidRPr="007030D4" w:rsidRDefault="006308E8" w:rsidP="00503465">
      <w:pPr>
        <w:numPr>
          <w:ilvl w:val="0"/>
          <w:numId w:val="35"/>
        </w:numPr>
        <w:spacing w:line="276" w:lineRule="auto"/>
        <w:jc w:val="both"/>
        <w:rPr>
          <w:rFonts w:asciiTheme="minorHAnsi" w:hAnsiTheme="minorHAnsi"/>
          <w:lang w:val="sq-AL"/>
        </w:rPr>
      </w:pPr>
      <w:r w:rsidRPr="007030D4">
        <w:rPr>
          <w:rFonts w:asciiTheme="minorHAnsi" w:hAnsiTheme="minorHAnsi"/>
          <w:lang w:val="sq-AL"/>
        </w:rPr>
        <w:t>Realizimi i 23,424 ml linja të reja ujësjellësi për furnizimin me ujë, shoqëruar me një kosto prej 184 milionë lekë.</w:t>
      </w:r>
    </w:p>
    <w:p w:rsidR="006308E8" w:rsidRPr="007030D4" w:rsidRDefault="006308E8" w:rsidP="00503465">
      <w:pPr>
        <w:numPr>
          <w:ilvl w:val="0"/>
          <w:numId w:val="35"/>
        </w:numPr>
        <w:spacing w:line="276" w:lineRule="auto"/>
        <w:jc w:val="both"/>
        <w:rPr>
          <w:rFonts w:asciiTheme="minorHAnsi" w:hAnsiTheme="minorHAnsi"/>
          <w:lang w:val="sq-AL"/>
        </w:rPr>
      </w:pPr>
      <w:r w:rsidRPr="007030D4">
        <w:rPr>
          <w:rFonts w:asciiTheme="minorHAnsi" w:hAnsiTheme="minorHAnsi"/>
          <w:lang w:val="sq-AL"/>
        </w:rPr>
        <w:t>U realizua rreth 848ml</w:t>
      </w:r>
      <w:r w:rsidR="00266905" w:rsidRPr="007030D4">
        <w:rPr>
          <w:rFonts w:asciiTheme="minorHAnsi" w:hAnsiTheme="minorHAnsi"/>
          <w:lang w:val="sq-AL"/>
        </w:rPr>
        <w:t xml:space="preserve"> rikonstruksion Ujësjellësi</w:t>
      </w:r>
      <w:r w:rsidRPr="007030D4">
        <w:rPr>
          <w:rFonts w:asciiTheme="minorHAnsi" w:hAnsiTheme="minorHAnsi"/>
          <w:lang w:val="sq-AL"/>
        </w:rPr>
        <w:t xml:space="preserve"> ose 3.5% e fondev</w:t>
      </w:r>
      <w:r w:rsidR="00266905" w:rsidRPr="007030D4">
        <w:rPr>
          <w:rFonts w:asciiTheme="minorHAnsi" w:hAnsiTheme="minorHAnsi"/>
          <w:lang w:val="sq-AL"/>
        </w:rPr>
        <w:t>e të planifikuara për produktin.</w:t>
      </w:r>
    </w:p>
    <w:p w:rsidR="006308E8" w:rsidRPr="007030D4" w:rsidRDefault="006308E8" w:rsidP="00503465">
      <w:pPr>
        <w:numPr>
          <w:ilvl w:val="0"/>
          <w:numId w:val="35"/>
        </w:numPr>
        <w:spacing w:line="276" w:lineRule="auto"/>
        <w:jc w:val="both"/>
        <w:rPr>
          <w:rFonts w:asciiTheme="minorHAnsi" w:hAnsiTheme="minorHAnsi"/>
          <w:lang w:val="sq-AL"/>
        </w:rPr>
      </w:pPr>
      <w:r w:rsidRPr="007030D4">
        <w:rPr>
          <w:rFonts w:asciiTheme="minorHAnsi" w:hAnsiTheme="minorHAnsi"/>
          <w:lang w:val="sq-AL"/>
        </w:rPr>
        <w:t>U realizua rreth 365ml</w:t>
      </w:r>
      <w:r w:rsidR="00266905" w:rsidRPr="007030D4">
        <w:rPr>
          <w:rFonts w:asciiTheme="minorHAnsi" w:hAnsiTheme="minorHAnsi"/>
          <w:lang w:val="sq-AL"/>
        </w:rPr>
        <w:t xml:space="preserve"> rikonstruksion KUZ-i, </w:t>
      </w:r>
      <w:r w:rsidRPr="007030D4">
        <w:rPr>
          <w:rFonts w:asciiTheme="minorHAnsi" w:hAnsiTheme="minorHAnsi"/>
          <w:lang w:val="sq-AL"/>
        </w:rPr>
        <w:t>ose 12% e fondeve të planifikuara për produktin “Rikonstruksion KUZ”.</w:t>
      </w:r>
    </w:p>
    <w:p w:rsidR="002124D1" w:rsidRDefault="002124D1" w:rsidP="006308E8">
      <w:pPr>
        <w:spacing w:after="200" w:line="276" w:lineRule="auto"/>
        <w:jc w:val="both"/>
        <w:rPr>
          <w:rFonts w:asciiTheme="minorHAnsi" w:hAnsiTheme="minorHAnsi"/>
          <w:lang w:val="sq-AL"/>
        </w:rPr>
      </w:pPr>
    </w:p>
    <w:p w:rsidR="006308E8" w:rsidRPr="00BB7F2F" w:rsidRDefault="00266905" w:rsidP="002124D1">
      <w:pPr>
        <w:spacing w:line="276" w:lineRule="auto"/>
        <w:jc w:val="both"/>
        <w:rPr>
          <w:rFonts w:asciiTheme="minorHAnsi" w:hAnsiTheme="minorHAnsi"/>
          <w:lang w:val="sq-AL"/>
        </w:rPr>
      </w:pPr>
      <w:r>
        <w:rPr>
          <w:rFonts w:asciiTheme="minorHAnsi" w:hAnsiTheme="minorHAnsi"/>
          <w:lang w:val="sq-AL"/>
        </w:rPr>
        <w:lastRenderedPageBreak/>
        <w:t>N</w:t>
      </w:r>
      <w:r w:rsidR="006308E8" w:rsidRPr="00BB7F2F">
        <w:rPr>
          <w:rFonts w:asciiTheme="minorHAnsi" w:hAnsiTheme="minorHAnsi"/>
          <w:lang w:val="sq-AL"/>
        </w:rPr>
        <w:t xml:space="preserve">iveli i ulët </w:t>
      </w:r>
      <w:r>
        <w:rPr>
          <w:rFonts w:asciiTheme="minorHAnsi" w:hAnsiTheme="minorHAnsi"/>
          <w:lang w:val="sq-AL"/>
        </w:rPr>
        <w:t xml:space="preserve">i </w:t>
      </w:r>
      <w:r w:rsidR="006308E8" w:rsidRPr="00BB7F2F">
        <w:rPr>
          <w:rFonts w:asciiTheme="minorHAnsi" w:hAnsiTheme="minorHAnsi"/>
          <w:lang w:val="sq-AL"/>
        </w:rPr>
        <w:t>realizimi</w:t>
      </w:r>
      <w:r>
        <w:rPr>
          <w:rFonts w:asciiTheme="minorHAnsi" w:hAnsiTheme="minorHAnsi"/>
          <w:lang w:val="sq-AL"/>
        </w:rPr>
        <w:t>t</w:t>
      </w:r>
      <w:r w:rsidR="006308E8" w:rsidRPr="00BB7F2F">
        <w:rPr>
          <w:rFonts w:asciiTheme="minorHAnsi" w:hAnsiTheme="minorHAnsi"/>
          <w:lang w:val="sq-AL"/>
        </w:rPr>
        <w:t xml:space="preserve"> lidhet me </w:t>
      </w:r>
      <w:r w:rsidR="006308E8" w:rsidRPr="00BB7F2F">
        <w:rPr>
          <w:rFonts w:asciiTheme="minorHAnsi" w:hAnsiTheme="minorHAnsi"/>
          <w:i/>
          <w:lang w:val="sq-AL"/>
        </w:rPr>
        <w:t>produktin “Ndërmarrje të ujesjellës kanalizimeve të subvencionuara”</w:t>
      </w:r>
      <w:r w:rsidR="006308E8" w:rsidRPr="00BB7F2F">
        <w:rPr>
          <w:rFonts w:asciiTheme="minorHAnsi" w:hAnsiTheme="minorHAnsi"/>
          <w:lang w:val="sq-AL"/>
        </w:rPr>
        <w:t xml:space="preserve">, i cili paraqitet pa realizim përgjatë 4 Mujorit të parë të vitit 2020. Aryeja e mosrealizimit lidhet me: </w:t>
      </w:r>
    </w:p>
    <w:p w:rsidR="006308E8" w:rsidRPr="00BB7F2F" w:rsidRDefault="006308E8" w:rsidP="00503465">
      <w:pPr>
        <w:numPr>
          <w:ilvl w:val="0"/>
          <w:numId w:val="18"/>
        </w:numPr>
        <w:spacing w:after="200" w:line="276" w:lineRule="auto"/>
        <w:contextualSpacing/>
        <w:jc w:val="both"/>
        <w:rPr>
          <w:rFonts w:asciiTheme="minorHAnsi" w:hAnsiTheme="minorHAnsi"/>
          <w:bCs/>
          <w:i/>
          <w:lang w:val="sq-AL"/>
        </w:rPr>
      </w:pPr>
      <w:r w:rsidRPr="00BB7F2F">
        <w:rPr>
          <w:rFonts w:asciiTheme="minorHAnsi" w:hAnsiTheme="minorHAnsi"/>
          <w:bCs/>
          <w:i/>
          <w:lang w:val="sq-AL"/>
        </w:rPr>
        <w:t>AKUM-ja, bazuar në vlerësimin e performancës të sh.a. UK-ve, brenda muajit shtator të çdo viti i propozon ministrisë përgjegjëse për infrastrukturën, metodologjinë dhe skemën që duhet të zbatohet për ndarjen e fondeve, për përqindjen që shkon për mbulimin e "Kostos direkte të operimit" (në rastet e shoqërive me vlerë negative të diferencës së të ardhurave të faturuara -KDO) dhe përqindjen e fondit të përgjithshëm që do të shkojë për nxitjen e performancës së shoqërive, pavarësisht diferencës së kostos. Përgjatë 4 mujorit të parë të vitit 2020 nuk është sjellë detajimi për shpërndarjen e fondeve nga ana e MIE.</w:t>
      </w:r>
    </w:p>
    <w:p w:rsidR="006308E8" w:rsidRPr="00BB7F2F" w:rsidRDefault="006308E8" w:rsidP="006308E8">
      <w:pPr>
        <w:spacing w:after="200" w:line="276" w:lineRule="auto"/>
        <w:ind w:left="720"/>
        <w:contextualSpacing/>
        <w:jc w:val="both"/>
        <w:rPr>
          <w:rFonts w:asciiTheme="minorHAnsi" w:eastAsia="Calibri" w:hAnsiTheme="minorHAnsi"/>
          <w:i/>
          <w:lang w:val="sq-AL"/>
        </w:rPr>
      </w:pPr>
    </w:p>
    <w:p w:rsidR="006308E8" w:rsidRPr="00BB7F2F" w:rsidRDefault="006308E8" w:rsidP="006308E8">
      <w:pPr>
        <w:spacing w:line="276" w:lineRule="auto"/>
        <w:jc w:val="both"/>
        <w:rPr>
          <w:rFonts w:asciiTheme="minorHAnsi" w:hAnsiTheme="minorHAnsi"/>
          <w:lang w:val="sq-AL"/>
        </w:rPr>
      </w:pPr>
      <w:r w:rsidRPr="00BB7F2F">
        <w:rPr>
          <w:rFonts w:asciiTheme="minorHAnsi" w:hAnsiTheme="minorHAnsi"/>
          <w:b/>
          <w:lang w:val="sq-AL"/>
        </w:rPr>
        <w:t xml:space="preserve">Në programin “Mbështetje për </w:t>
      </w:r>
      <w:r w:rsidRPr="00BB7F2F">
        <w:rPr>
          <w:rFonts w:asciiTheme="minorHAnsi" w:hAnsiTheme="minorHAnsi"/>
          <w:b/>
          <w:bCs/>
          <w:lang w:val="sq-AL"/>
        </w:rPr>
        <w:t>Burimet Natyrore</w:t>
      </w:r>
      <w:r w:rsidRPr="00BB7F2F">
        <w:rPr>
          <w:rFonts w:asciiTheme="minorHAnsi" w:hAnsiTheme="minorHAnsi"/>
          <w:b/>
          <w:lang w:val="sq-AL"/>
        </w:rPr>
        <w:t>”</w:t>
      </w:r>
      <w:r w:rsidRPr="00BB7F2F">
        <w:rPr>
          <w:rFonts w:asciiTheme="minorHAnsi" w:hAnsiTheme="minorHAnsi"/>
          <w:lang w:val="sq-AL"/>
        </w:rPr>
        <w:t xml:space="preserve"> është realizuar qëllimi i programit  lidhur me “</w:t>
      </w:r>
      <w:r w:rsidRPr="00BB7F2F">
        <w:rPr>
          <w:rFonts w:asciiTheme="minorHAnsi" w:hAnsiTheme="minorHAnsi"/>
          <w:bCs/>
          <w:i/>
          <w:lang w:val="sq-AL"/>
        </w:rPr>
        <w:t>Mbështetjen e politikave në fushën e menaxhimit të burimeve natyrore, që synojnë jo vetëm zhvillimin e qëndrueshëm të sektorit minerar, por dhe rritjen e transparencës në shfrytëzimin racional të burimeve natyrore</w:t>
      </w:r>
      <w:r w:rsidRPr="00BB7F2F">
        <w:rPr>
          <w:rFonts w:asciiTheme="minorHAnsi" w:hAnsiTheme="minorHAnsi"/>
          <w:lang w:val="sq-AL"/>
        </w:rPr>
        <w:t>”. Për realizimin e këtij objektivi  janë realizuar fondet në masën 18 milionë lekë ose 32% e fondeve vjetore të planifikuara. Produktet të cilët kanë kontribuar në realizimin e qëllimit të programit renditen sa më poshtë:</w:t>
      </w:r>
    </w:p>
    <w:p w:rsidR="006308E8" w:rsidRPr="00BB7F2F" w:rsidRDefault="006308E8" w:rsidP="00503465">
      <w:pPr>
        <w:numPr>
          <w:ilvl w:val="0"/>
          <w:numId w:val="35"/>
        </w:numPr>
        <w:spacing w:line="276" w:lineRule="auto"/>
        <w:jc w:val="both"/>
        <w:rPr>
          <w:rFonts w:asciiTheme="minorHAnsi" w:hAnsiTheme="minorHAnsi"/>
          <w:lang w:val="sq-AL"/>
        </w:rPr>
      </w:pPr>
      <w:r w:rsidRPr="00BB7F2F">
        <w:rPr>
          <w:rFonts w:asciiTheme="minorHAnsi" w:hAnsiTheme="minorHAnsi"/>
          <w:lang w:val="sq-AL"/>
        </w:rPr>
        <w:t>Janë përditësuar 725  të dhëna të lejeve minerare gjeohapsinor, me kosto prej 1.3 milionë lekë.</w:t>
      </w:r>
    </w:p>
    <w:p w:rsidR="006308E8" w:rsidRPr="00BB7F2F" w:rsidRDefault="006308E8" w:rsidP="00503465">
      <w:pPr>
        <w:numPr>
          <w:ilvl w:val="0"/>
          <w:numId w:val="35"/>
        </w:numPr>
        <w:spacing w:line="276" w:lineRule="auto"/>
        <w:jc w:val="both"/>
        <w:rPr>
          <w:rFonts w:asciiTheme="minorHAnsi" w:hAnsiTheme="minorHAnsi"/>
          <w:lang w:val="sq-AL"/>
        </w:rPr>
      </w:pPr>
      <w:r w:rsidRPr="00BB7F2F">
        <w:rPr>
          <w:rFonts w:asciiTheme="minorHAnsi" w:hAnsiTheme="minorHAnsi"/>
          <w:lang w:val="sq-AL"/>
        </w:rPr>
        <w:t>U realizua mbikqyrja e 360 burimeve të shfrytëzimit minerare, metalore dhe jo metalore, me kosto prej 3 milionë lekë.</w:t>
      </w:r>
    </w:p>
    <w:p w:rsidR="006308E8" w:rsidRPr="00BB7F2F" w:rsidRDefault="006308E8" w:rsidP="00503465">
      <w:pPr>
        <w:numPr>
          <w:ilvl w:val="0"/>
          <w:numId w:val="35"/>
        </w:numPr>
        <w:spacing w:line="276" w:lineRule="auto"/>
        <w:jc w:val="both"/>
        <w:rPr>
          <w:rFonts w:asciiTheme="minorHAnsi" w:hAnsiTheme="minorHAnsi"/>
          <w:lang w:val="sq-AL"/>
        </w:rPr>
      </w:pPr>
      <w:r w:rsidRPr="00BB7F2F">
        <w:rPr>
          <w:rFonts w:asciiTheme="minorHAnsi" w:hAnsiTheme="minorHAnsi"/>
          <w:lang w:val="sq-AL"/>
        </w:rPr>
        <w:t>Është realizuar promovimi i minerave të rinj dhe kërkimeve teknologjike e mjedisore.</w:t>
      </w:r>
    </w:p>
    <w:p w:rsidR="006308E8" w:rsidRPr="00BB7F2F" w:rsidRDefault="006308E8" w:rsidP="00503465">
      <w:pPr>
        <w:numPr>
          <w:ilvl w:val="0"/>
          <w:numId w:val="35"/>
        </w:numPr>
        <w:spacing w:line="276" w:lineRule="auto"/>
        <w:jc w:val="both"/>
        <w:rPr>
          <w:rFonts w:asciiTheme="minorHAnsi" w:hAnsiTheme="minorHAnsi"/>
          <w:lang w:val="sq-AL"/>
        </w:rPr>
      </w:pPr>
      <w:r w:rsidRPr="00BB7F2F">
        <w:rPr>
          <w:rFonts w:asciiTheme="minorHAnsi" w:hAnsiTheme="minorHAnsi"/>
          <w:lang w:val="sq-AL"/>
        </w:rPr>
        <w:t>Është kryer monitorimi i Fenomeneve të post shfrytezimit në minierat e mbyllura</w:t>
      </w:r>
    </w:p>
    <w:p w:rsidR="006308E8" w:rsidRPr="00BB7F2F" w:rsidRDefault="006308E8" w:rsidP="00503465">
      <w:pPr>
        <w:numPr>
          <w:ilvl w:val="0"/>
          <w:numId w:val="35"/>
        </w:numPr>
        <w:spacing w:line="276" w:lineRule="auto"/>
        <w:jc w:val="both"/>
        <w:rPr>
          <w:rFonts w:asciiTheme="minorHAnsi" w:hAnsiTheme="minorHAnsi"/>
          <w:lang w:val="sq-AL"/>
        </w:rPr>
      </w:pPr>
      <w:r w:rsidRPr="00BB7F2F">
        <w:rPr>
          <w:rFonts w:asciiTheme="minorHAnsi" w:hAnsiTheme="minorHAnsi"/>
          <w:lang w:val="sq-AL"/>
        </w:rPr>
        <w:t>Është realizuar projekti i studimit mbi zonimin minerar dhe hartimit të planit vjetor dhe 3-vjecar minerar.</w:t>
      </w:r>
    </w:p>
    <w:p w:rsidR="006308E8" w:rsidRPr="00BB7F2F" w:rsidRDefault="006308E8" w:rsidP="00503465">
      <w:pPr>
        <w:numPr>
          <w:ilvl w:val="0"/>
          <w:numId w:val="35"/>
        </w:numPr>
        <w:spacing w:line="276" w:lineRule="auto"/>
        <w:jc w:val="both"/>
        <w:rPr>
          <w:rFonts w:asciiTheme="minorHAnsi" w:hAnsiTheme="minorHAnsi"/>
          <w:lang w:val="sq-AL"/>
        </w:rPr>
      </w:pPr>
      <w:r w:rsidRPr="00BB7F2F">
        <w:rPr>
          <w:rFonts w:asciiTheme="minorHAnsi" w:hAnsiTheme="minorHAnsi"/>
          <w:lang w:val="sq-AL"/>
        </w:rPr>
        <w:t>U realizua projekti mbi “Raportin vjetor të gjëndjes mjedisore në industrinë minerare dhe metalurgji”</w:t>
      </w:r>
    </w:p>
    <w:p w:rsidR="006308E8" w:rsidRPr="00BB7F2F" w:rsidRDefault="006308E8" w:rsidP="006308E8">
      <w:pPr>
        <w:spacing w:line="276" w:lineRule="auto"/>
        <w:jc w:val="both"/>
        <w:rPr>
          <w:rFonts w:asciiTheme="minorHAnsi" w:hAnsiTheme="minorHAnsi"/>
          <w:b/>
          <w:lang w:val="sq-AL"/>
        </w:rPr>
      </w:pPr>
    </w:p>
    <w:p w:rsidR="006308E8" w:rsidRPr="00BB7F2F" w:rsidRDefault="006308E8" w:rsidP="006308E8">
      <w:pPr>
        <w:spacing w:line="276" w:lineRule="auto"/>
        <w:jc w:val="both"/>
        <w:rPr>
          <w:rFonts w:asciiTheme="minorHAnsi" w:hAnsiTheme="minorHAnsi"/>
          <w:lang w:val="sq-AL"/>
        </w:rPr>
      </w:pPr>
      <w:r w:rsidRPr="00BB7F2F">
        <w:rPr>
          <w:rFonts w:asciiTheme="minorHAnsi" w:hAnsiTheme="minorHAnsi"/>
          <w:b/>
          <w:lang w:val="sq-AL"/>
        </w:rPr>
        <w:t>Me programin “Menaxhimi i Mbetjeve urbane”</w:t>
      </w:r>
      <w:r w:rsidRPr="00BB7F2F">
        <w:rPr>
          <w:rFonts w:asciiTheme="minorHAnsi" w:hAnsiTheme="minorHAnsi"/>
          <w:lang w:val="sq-AL"/>
        </w:rPr>
        <w:t xml:space="preserve"> është realizuar qëllimi i programit i cili është  “</w:t>
      </w:r>
      <w:r w:rsidRPr="00BB7F2F">
        <w:rPr>
          <w:rFonts w:asciiTheme="minorHAnsi" w:hAnsiTheme="minorHAnsi"/>
          <w:i/>
          <w:lang w:val="sq-AL"/>
        </w:rPr>
        <w:t>Përmirësimi i infrastukurës për trajtimin e mbetjeve të ngurta urbane”. Qëllimi është arritur nëpërmjet realizimit të dy objektivave të këtij programi. Lidhur me objektivin “Trajtimi i mbetjeve në mënyrë të kontrolluar sanitare,  nëpërmjet  ndërtimit  të  lendfilleve rajonale</w:t>
      </w:r>
      <w:r w:rsidRPr="00BB7F2F">
        <w:rPr>
          <w:rFonts w:asciiTheme="minorHAnsi" w:hAnsiTheme="minorHAnsi"/>
          <w:lang w:val="sq-AL"/>
        </w:rPr>
        <w:t>”, për të cilin janë realizuar fondet në masën 557 milionë lekë apo 24% të fondeve të planifikuara për vitin 2020. Produktet e  realizuara paraqiten si më poshtë:</w:t>
      </w:r>
    </w:p>
    <w:p w:rsidR="006308E8" w:rsidRPr="00BB7F2F" w:rsidRDefault="006308E8" w:rsidP="00503465">
      <w:pPr>
        <w:numPr>
          <w:ilvl w:val="0"/>
          <w:numId w:val="33"/>
        </w:numPr>
        <w:spacing w:line="276" w:lineRule="auto"/>
        <w:jc w:val="both"/>
        <w:rPr>
          <w:rFonts w:asciiTheme="minorHAnsi" w:hAnsiTheme="minorHAnsi"/>
          <w:lang w:val="sq-AL"/>
        </w:rPr>
      </w:pPr>
      <w:r w:rsidRPr="00BB7F2F">
        <w:rPr>
          <w:rFonts w:asciiTheme="minorHAnsi" w:hAnsiTheme="minorHAnsi"/>
          <w:lang w:val="sq-AL"/>
        </w:rPr>
        <w:t>Sipërfaqe landfilli  e ndërtuar në Qarkun e Vlorës</w:t>
      </w:r>
    </w:p>
    <w:p w:rsidR="006308E8" w:rsidRPr="00BB7F2F" w:rsidRDefault="006308E8" w:rsidP="00503465">
      <w:pPr>
        <w:numPr>
          <w:ilvl w:val="0"/>
          <w:numId w:val="33"/>
        </w:numPr>
        <w:spacing w:line="276" w:lineRule="auto"/>
        <w:jc w:val="both"/>
        <w:rPr>
          <w:rFonts w:asciiTheme="minorHAnsi" w:hAnsiTheme="minorHAnsi"/>
          <w:lang w:val="sq-AL"/>
        </w:rPr>
      </w:pPr>
      <w:r w:rsidRPr="00BB7F2F">
        <w:rPr>
          <w:rFonts w:asciiTheme="minorHAnsi" w:hAnsiTheme="minorHAnsi"/>
          <w:lang w:val="sq-AL"/>
        </w:rPr>
        <w:t>Impianti i prodhimit të energjisë nga mbetjet në Elbasan (Inceneratori i Elbasanit) i ndërtuar</w:t>
      </w:r>
    </w:p>
    <w:p w:rsidR="002124D1" w:rsidRDefault="002124D1" w:rsidP="007030D4">
      <w:pPr>
        <w:spacing w:line="276" w:lineRule="auto"/>
        <w:contextualSpacing/>
        <w:jc w:val="both"/>
        <w:rPr>
          <w:rFonts w:asciiTheme="minorHAnsi" w:eastAsia="Calibri" w:hAnsiTheme="minorHAnsi"/>
          <w:lang w:val="sq-AL"/>
        </w:rPr>
      </w:pPr>
    </w:p>
    <w:p w:rsidR="00AF49E0" w:rsidRDefault="00AF49E0" w:rsidP="007030D4">
      <w:pPr>
        <w:spacing w:line="276" w:lineRule="auto"/>
        <w:contextualSpacing/>
        <w:jc w:val="both"/>
        <w:rPr>
          <w:rFonts w:asciiTheme="minorHAnsi" w:eastAsia="Calibri" w:hAnsiTheme="minorHAnsi"/>
          <w:lang w:val="sq-AL"/>
        </w:rPr>
      </w:pPr>
    </w:p>
    <w:p w:rsidR="00AF49E0" w:rsidRDefault="00AF49E0" w:rsidP="007030D4">
      <w:pPr>
        <w:spacing w:line="276" w:lineRule="auto"/>
        <w:contextualSpacing/>
        <w:jc w:val="both"/>
        <w:rPr>
          <w:rFonts w:asciiTheme="minorHAnsi" w:eastAsia="Calibri" w:hAnsiTheme="minorHAnsi"/>
          <w:lang w:val="sq-AL"/>
        </w:rPr>
      </w:pPr>
    </w:p>
    <w:p w:rsidR="00AF49E0" w:rsidRDefault="00AF49E0" w:rsidP="007030D4">
      <w:pPr>
        <w:spacing w:line="276" w:lineRule="auto"/>
        <w:contextualSpacing/>
        <w:jc w:val="both"/>
        <w:rPr>
          <w:rFonts w:asciiTheme="minorHAnsi" w:eastAsia="Calibri" w:hAnsiTheme="minorHAnsi"/>
          <w:lang w:val="sq-AL"/>
        </w:rPr>
      </w:pPr>
    </w:p>
    <w:p w:rsidR="00AF49E0" w:rsidRPr="00BB7F2F" w:rsidRDefault="00AF49E0" w:rsidP="007030D4">
      <w:pPr>
        <w:spacing w:line="276" w:lineRule="auto"/>
        <w:contextualSpacing/>
        <w:jc w:val="both"/>
        <w:rPr>
          <w:rFonts w:asciiTheme="minorHAnsi" w:eastAsia="Calibri" w:hAnsiTheme="minorHAnsi"/>
          <w:lang w:val="sq-AL"/>
        </w:rPr>
      </w:pPr>
    </w:p>
    <w:p w:rsidR="006308E8" w:rsidRPr="00BB7F2F" w:rsidRDefault="006308E8" w:rsidP="006308E8">
      <w:pPr>
        <w:spacing w:before="120" w:after="120" w:line="276" w:lineRule="auto"/>
        <w:jc w:val="both"/>
        <w:rPr>
          <w:rFonts w:asciiTheme="minorHAnsi" w:hAnsiTheme="minorHAnsi"/>
          <w:b/>
          <w:noProof/>
          <w:color w:val="0070C0"/>
          <w:lang w:val="sq-AL"/>
        </w:rPr>
      </w:pPr>
      <w:bookmarkStart w:id="167" w:name="_Toc10033298"/>
      <w:bookmarkStart w:id="168" w:name="_Toc10721434"/>
      <w:bookmarkStart w:id="169" w:name="_Toc11134229"/>
      <w:r w:rsidRPr="00BB7F2F">
        <w:rPr>
          <w:rFonts w:asciiTheme="minorHAnsi" w:hAnsiTheme="minorHAnsi"/>
          <w:b/>
          <w:noProof/>
          <w:color w:val="0070C0"/>
          <w:lang w:val="sq-AL"/>
        </w:rPr>
        <w:lastRenderedPageBreak/>
        <w:t>TURIZMI DHE MJEDISI</w:t>
      </w:r>
      <w:bookmarkEnd w:id="167"/>
      <w:bookmarkEnd w:id="168"/>
      <w:bookmarkEnd w:id="169"/>
    </w:p>
    <w:p w:rsidR="007030D4" w:rsidRDefault="006308E8" w:rsidP="006308E8">
      <w:pPr>
        <w:spacing w:line="276" w:lineRule="auto"/>
        <w:jc w:val="both"/>
        <w:rPr>
          <w:rFonts w:asciiTheme="minorHAnsi" w:hAnsiTheme="minorHAnsi"/>
          <w:color w:val="000000"/>
          <w:lang w:val="sq-AL"/>
        </w:rPr>
      </w:pPr>
      <w:r w:rsidRPr="00BB7F2F">
        <w:rPr>
          <w:rFonts w:asciiTheme="minorHAnsi" w:hAnsiTheme="minorHAnsi"/>
          <w:color w:val="000000"/>
          <w:lang w:val="sq-AL"/>
        </w:rPr>
        <w:t>Performanca e treguesve buxhetorë për tre programet kryesore në Ministrinë e Mjedisit dhe Turizmit paraqitet si më poshtë:</w:t>
      </w:r>
      <w:r w:rsidRPr="00BB7F2F">
        <w:rPr>
          <w:rFonts w:asciiTheme="minorHAnsi" w:hAnsiTheme="minorHAnsi"/>
          <w:color w:val="000000"/>
          <w:lang w:val="sq-AL"/>
        </w:rPr>
        <w:tab/>
      </w:r>
      <w:r w:rsidRPr="00BB7F2F">
        <w:rPr>
          <w:rFonts w:asciiTheme="minorHAnsi" w:hAnsiTheme="minorHAnsi"/>
          <w:color w:val="000000"/>
          <w:lang w:val="sq-AL"/>
        </w:rPr>
        <w:tab/>
      </w:r>
    </w:p>
    <w:p w:rsidR="00524EBF" w:rsidRDefault="00524EBF" w:rsidP="006308E8">
      <w:pPr>
        <w:spacing w:line="276" w:lineRule="auto"/>
        <w:jc w:val="both"/>
        <w:rPr>
          <w:rFonts w:asciiTheme="minorHAnsi" w:hAnsiTheme="minorHAnsi"/>
          <w:color w:val="000000"/>
          <w:lang w:val="sq-AL"/>
        </w:rPr>
      </w:pPr>
    </w:p>
    <w:p w:rsidR="006308E8" w:rsidRPr="00BB7F2F" w:rsidRDefault="00524EBF" w:rsidP="00524EBF">
      <w:pPr>
        <w:pStyle w:val="Caption"/>
        <w:spacing w:after="0"/>
        <w:rPr>
          <w:rFonts w:asciiTheme="minorHAnsi" w:hAnsiTheme="minorHAnsi"/>
          <w:b w:val="0"/>
          <w:bCs w:val="0"/>
          <w:i/>
          <w:iCs/>
          <w:lang w:val="sq-AL"/>
        </w:rPr>
      </w:pPr>
      <w:bookmarkStart w:id="170" w:name="_Toc44404433"/>
      <w:r w:rsidRPr="00524EBF">
        <w:rPr>
          <w:rFonts w:asciiTheme="minorHAnsi" w:hAnsiTheme="minorHAnsi"/>
          <w:b w:val="0"/>
          <w:bCs w:val="0"/>
          <w:i/>
          <w:noProof/>
          <w:color w:val="auto"/>
          <w:sz w:val="24"/>
          <w:szCs w:val="24"/>
        </w:rPr>
        <w:t xml:space="preserve">Tabela </w:t>
      </w:r>
      <w:r w:rsidRPr="00524EBF">
        <w:rPr>
          <w:rFonts w:asciiTheme="minorHAnsi" w:hAnsiTheme="minorHAnsi"/>
          <w:b w:val="0"/>
          <w:bCs w:val="0"/>
          <w:i/>
          <w:noProof/>
          <w:color w:val="auto"/>
          <w:sz w:val="24"/>
          <w:szCs w:val="24"/>
        </w:rPr>
        <w:fldChar w:fldCharType="begin"/>
      </w:r>
      <w:r w:rsidRPr="00524EBF">
        <w:rPr>
          <w:rFonts w:asciiTheme="minorHAnsi" w:hAnsiTheme="minorHAnsi"/>
          <w:b w:val="0"/>
          <w:bCs w:val="0"/>
          <w:i/>
          <w:noProof/>
          <w:color w:val="auto"/>
          <w:sz w:val="24"/>
          <w:szCs w:val="24"/>
        </w:rPr>
        <w:instrText xml:space="preserve"> SEQ Tabela \* ARABIC </w:instrText>
      </w:r>
      <w:r w:rsidRPr="00524EBF">
        <w:rPr>
          <w:rFonts w:asciiTheme="minorHAnsi" w:hAnsiTheme="minorHAnsi"/>
          <w:b w:val="0"/>
          <w:bCs w:val="0"/>
          <w:i/>
          <w:noProof/>
          <w:color w:val="auto"/>
          <w:sz w:val="24"/>
          <w:szCs w:val="24"/>
        </w:rPr>
        <w:fldChar w:fldCharType="separate"/>
      </w:r>
      <w:r w:rsidR="00C342E2">
        <w:rPr>
          <w:rFonts w:asciiTheme="minorHAnsi" w:hAnsiTheme="minorHAnsi"/>
          <w:b w:val="0"/>
          <w:bCs w:val="0"/>
          <w:i/>
          <w:noProof/>
          <w:color w:val="auto"/>
          <w:sz w:val="24"/>
          <w:szCs w:val="24"/>
        </w:rPr>
        <w:t>32</w:t>
      </w:r>
      <w:r w:rsidRPr="00524EBF">
        <w:rPr>
          <w:rFonts w:asciiTheme="minorHAnsi" w:hAnsiTheme="minorHAnsi"/>
          <w:b w:val="0"/>
          <w:bCs w:val="0"/>
          <w:i/>
          <w:noProof/>
          <w:color w:val="auto"/>
          <w:sz w:val="24"/>
          <w:szCs w:val="24"/>
        </w:rPr>
        <w:fldChar w:fldCharType="end"/>
      </w:r>
      <w:r w:rsidRPr="00524EBF">
        <w:rPr>
          <w:rFonts w:asciiTheme="minorHAnsi" w:hAnsiTheme="minorHAnsi"/>
          <w:b w:val="0"/>
          <w:bCs w:val="0"/>
          <w:i/>
          <w:noProof/>
          <w:color w:val="auto"/>
          <w:sz w:val="24"/>
          <w:szCs w:val="24"/>
        </w:rPr>
        <w:t>: TURIZMI DHE MJEDISI</w:t>
      </w:r>
      <w:bookmarkEnd w:id="170"/>
      <w:r w:rsidR="006308E8" w:rsidRPr="00BB7F2F">
        <w:rPr>
          <w:rFonts w:asciiTheme="minorHAnsi" w:hAnsiTheme="minorHAnsi"/>
          <w:color w:val="000000"/>
          <w:lang w:val="sq-AL"/>
        </w:rPr>
        <w:tab/>
        <w:t xml:space="preserve"> </w:t>
      </w:r>
      <w:r w:rsidR="006308E8" w:rsidRPr="00BB7F2F">
        <w:rPr>
          <w:rFonts w:asciiTheme="minorHAnsi" w:hAnsiTheme="minorHAnsi"/>
          <w:color w:val="000000"/>
          <w:lang w:val="sq-AL"/>
        </w:rPr>
        <w:tab/>
      </w:r>
      <w:r w:rsidR="006308E8" w:rsidRPr="00BB7F2F">
        <w:rPr>
          <w:rFonts w:asciiTheme="minorHAnsi" w:hAnsiTheme="minorHAnsi"/>
          <w:color w:val="000000"/>
          <w:lang w:val="sq-AL"/>
        </w:rPr>
        <w:tab/>
      </w:r>
      <w:r w:rsidR="006308E8" w:rsidRPr="00BB7F2F">
        <w:rPr>
          <w:rFonts w:asciiTheme="minorHAnsi" w:hAnsiTheme="minorHAnsi"/>
          <w:color w:val="000000"/>
          <w:lang w:val="sq-AL"/>
        </w:rPr>
        <w:tab/>
      </w:r>
      <w:r w:rsidR="006308E8" w:rsidRPr="00BB7F2F">
        <w:rPr>
          <w:rFonts w:asciiTheme="minorHAnsi" w:hAnsiTheme="minorHAnsi"/>
          <w:color w:val="000000"/>
          <w:lang w:val="sq-AL"/>
        </w:rPr>
        <w:tab/>
      </w:r>
      <w:r w:rsidR="006308E8" w:rsidRPr="00BB7F2F">
        <w:rPr>
          <w:rFonts w:asciiTheme="minorHAnsi" w:hAnsiTheme="minorHAnsi"/>
          <w:color w:val="000000"/>
          <w:lang w:val="sq-AL"/>
        </w:rPr>
        <w:tab/>
      </w:r>
      <w:r w:rsidR="006308E8" w:rsidRPr="00BB7F2F">
        <w:rPr>
          <w:rFonts w:asciiTheme="minorHAnsi" w:hAnsiTheme="minorHAnsi"/>
          <w:color w:val="000000"/>
          <w:lang w:val="sq-AL"/>
        </w:rPr>
        <w:tab/>
      </w:r>
      <w:r w:rsidR="006308E8" w:rsidRPr="00BB7F2F">
        <w:rPr>
          <w:rFonts w:asciiTheme="minorHAnsi" w:hAnsiTheme="minorHAnsi"/>
          <w:b w:val="0"/>
          <w:bCs w:val="0"/>
          <w:i/>
          <w:iCs/>
          <w:lang w:val="sq-AL"/>
        </w:rPr>
        <w:t xml:space="preserve"> </w:t>
      </w:r>
    </w:p>
    <w:p w:rsidR="006308E8" w:rsidRPr="00BB7F2F" w:rsidRDefault="007030D4" w:rsidP="006308E8">
      <w:pPr>
        <w:spacing w:line="276" w:lineRule="auto"/>
        <w:jc w:val="right"/>
        <w:rPr>
          <w:rFonts w:asciiTheme="minorHAnsi" w:hAnsiTheme="minorHAnsi"/>
          <w:color w:val="000000"/>
          <w:lang w:val="sq-AL"/>
        </w:rPr>
      </w:pPr>
      <w:r>
        <w:rPr>
          <w:rFonts w:asciiTheme="minorHAnsi" w:hAnsiTheme="minorHAnsi"/>
          <w:bCs/>
          <w:i/>
          <w:iCs/>
          <w:lang w:val="sq-AL"/>
        </w:rPr>
        <w:t>N</w:t>
      </w:r>
      <w:r w:rsidR="006308E8" w:rsidRPr="00BB7F2F">
        <w:rPr>
          <w:rFonts w:asciiTheme="minorHAnsi" w:hAnsiTheme="minorHAnsi"/>
          <w:bCs/>
          <w:i/>
          <w:iCs/>
          <w:lang w:val="sq-AL"/>
        </w:rPr>
        <w:t>ë mijë lekë</w:t>
      </w:r>
    </w:p>
    <w:tbl>
      <w:tblPr>
        <w:tblStyle w:val="ListTable3-Accent52"/>
        <w:tblW w:w="5000" w:type="pct"/>
        <w:tblLayout w:type="fixed"/>
        <w:tblLook w:val="01E0" w:firstRow="1" w:lastRow="1" w:firstColumn="1" w:lastColumn="1" w:noHBand="0" w:noVBand="0"/>
      </w:tblPr>
      <w:tblGrid>
        <w:gridCol w:w="538"/>
        <w:gridCol w:w="2188"/>
        <w:gridCol w:w="1185"/>
        <w:gridCol w:w="1518"/>
        <w:gridCol w:w="1272"/>
        <w:gridCol w:w="1180"/>
        <w:gridCol w:w="963"/>
        <w:gridCol w:w="1002"/>
      </w:tblGrid>
      <w:tr w:rsidR="006308E8" w:rsidRPr="002124D1" w:rsidTr="00121650">
        <w:trPr>
          <w:cnfStyle w:val="100000000000" w:firstRow="1" w:lastRow="0" w:firstColumn="0" w:lastColumn="0" w:oddVBand="0" w:evenVBand="0" w:oddHBand="0" w:evenHBand="0" w:firstRowFirstColumn="0" w:firstRowLastColumn="0" w:lastRowFirstColumn="0" w:lastRowLastColumn="0"/>
          <w:trHeight w:val="179"/>
        </w:trPr>
        <w:tc>
          <w:tcPr>
            <w:cnfStyle w:val="001000000100" w:firstRow="0" w:lastRow="0" w:firstColumn="1" w:lastColumn="0" w:oddVBand="0" w:evenVBand="0" w:oddHBand="0" w:evenHBand="0" w:firstRowFirstColumn="1" w:firstRowLastColumn="0" w:lastRowFirstColumn="0" w:lastRowLastColumn="0"/>
            <w:tcW w:w="273" w:type="pct"/>
            <w:vMerge w:val="restart"/>
          </w:tcPr>
          <w:p w:rsidR="006308E8" w:rsidRPr="002124D1" w:rsidRDefault="006308E8" w:rsidP="00121650">
            <w:pPr>
              <w:spacing w:line="276" w:lineRule="auto"/>
              <w:jc w:val="center"/>
              <w:rPr>
                <w:rFonts w:asciiTheme="minorHAnsi" w:hAnsiTheme="minorHAnsi"/>
                <w:b w:val="0"/>
                <w:sz w:val="18"/>
                <w:szCs w:val="16"/>
                <w:lang w:val="sq-AL"/>
              </w:rPr>
            </w:pPr>
            <w:r w:rsidRPr="002124D1">
              <w:rPr>
                <w:rFonts w:asciiTheme="minorHAnsi" w:hAnsiTheme="minorHAnsi"/>
                <w:b w:val="0"/>
                <w:sz w:val="18"/>
                <w:szCs w:val="16"/>
                <w:lang w:val="sq-AL"/>
              </w:rPr>
              <w:t>NR</w:t>
            </w:r>
          </w:p>
        </w:tc>
        <w:tc>
          <w:tcPr>
            <w:cnfStyle w:val="000010000000" w:firstRow="0" w:lastRow="0" w:firstColumn="0" w:lastColumn="0" w:oddVBand="1" w:evenVBand="0" w:oddHBand="0" w:evenHBand="0" w:firstRowFirstColumn="0" w:firstRowLastColumn="0" w:lastRowFirstColumn="0" w:lastRowLastColumn="0"/>
            <w:tcW w:w="1111" w:type="pct"/>
            <w:vMerge w:val="restart"/>
          </w:tcPr>
          <w:p w:rsidR="006308E8" w:rsidRPr="002124D1" w:rsidRDefault="006308E8" w:rsidP="00121650">
            <w:pPr>
              <w:spacing w:line="276" w:lineRule="auto"/>
              <w:jc w:val="center"/>
              <w:rPr>
                <w:rFonts w:asciiTheme="minorHAnsi" w:hAnsiTheme="minorHAnsi"/>
                <w:b w:val="0"/>
                <w:sz w:val="18"/>
                <w:szCs w:val="16"/>
                <w:lang w:val="sq-AL"/>
              </w:rPr>
            </w:pPr>
            <w:r w:rsidRPr="002124D1">
              <w:rPr>
                <w:rFonts w:asciiTheme="minorHAnsi" w:hAnsiTheme="minorHAnsi"/>
                <w:b w:val="0"/>
                <w:sz w:val="18"/>
                <w:szCs w:val="16"/>
                <w:lang w:val="sq-AL"/>
              </w:rPr>
              <w:t>Emërtimi i Programit</w:t>
            </w:r>
          </w:p>
        </w:tc>
        <w:tc>
          <w:tcPr>
            <w:tcW w:w="1373" w:type="pct"/>
            <w:gridSpan w:val="2"/>
          </w:tcPr>
          <w:p w:rsidR="006308E8" w:rsidRPr="002124D1" w:rsidRDefault="006308E8" w:rsidP="00121650">
            <w:pPr>
              <w:spacing w:line="276" w:lineRule="auto"/>
              <w:ind w:left="84"/>
              <w:jc w:val="center"/>
              <w:cnfStyle w:val="100000000000" w:firstRow="1" w:lastRow="0" w:firstColumn="0" w:lastColumn="0" w:oddVBand="0" w:evenVBand="0" w:oddHBand="0" w:evenHBand="0" w:firstRowFirstColumn="0" w:firstRowLastColumn="0" w:lastRowFirstColumn="0" w:lastRowLastColumn="0"/>
              <w:rPr>
                <w:rFonts w:asciiTheme="minorHAnsi" w:hAnsiTheme="minorHAnsi"/>
                <w:b w:val="0"/>
                <w:sz w:val="18"/>
                <w:szCs w:val="16"/>
                <w:lang w:val="sq-AL"/>
              </w:rPr>
            </w:pPr>
            <w:r w:rsidRPr="002124D1">
              <w:rPr>
                <w:rFonts w:asciiTheme="minorHAnsi" w:hAnsiTheme="minorHAnsi"/>
                <w:b w:val="0"/>
                <w:sz w:val="18"/>
                <w:szCs w:val="16"/>
                <w:lang w:val="sq-AL"/>
              </w:rPr>
              <w:t>Plani 2020</w:t>
            </w:r>
          </w:p>
        </w:tc>
        <w:tc>
          <w:tcPr>
            <w:cnfStyle w:val="000010000000" w:firstRow="0" w:lastRow="0" w:firstColumn="0" w:lastColumn="0" w:oddVBand="1" w:evenVBand="0" w:oddHBand="0" w:evenHBand="0" w:firstRowFirstColumn="0" w:firstRowLastColumn="0" w:lastRowFirstColumn="0" w:lastRowLastColumn="0"/>
            <w:tcW w:w="1245" w:type="pct"/>
            <w:gridSpan w:val="2"/>
          </w:tcPr>
          <w:p w:rsidR="006308E8" w:rsidRPr="002124D1" w:rsidRDefault="006308E8" w:rsidP="00121650">
            <w:pPr>
              <w:spacing w:line="276" w:lineRule="auto"/>
              <w:jc w:val="center"/>
              <w:rPr>
                <w:rFonts w:asciiTheme="minorHAnsi" w:hAnsiTheme="minorHAnsi"/>
                <w:b w:val="0"/>
                <w:sz w:val="18"/>
                <w:szCs w:val="16"/>
                <w:lang w:val="sq-AL"/>
              </w:rPr>
            </w:pPr>
            <w:r w:rsidRPr="002124D1">
              <w:rPr>
                <w:rFonts w:asciiTheme="minorHAnsi" w:hAnsiTheme="minorHAnsi"/>
                <w:b w:val="0"/>
                <w:sz w:val="18"/>
                <w:szCs w:val="16"/>
                <w:lang w:val="sq-AL"/>
              </w:rPr>
              <w:t>Fakti 4M 2020</w:t>
            </w:r>
          </w:p>
        </w:tc>
        <w:tc>
          <w:tcPr>
            <w:cnfStyle w:val="000100001000" w:firstRow="0" w:lastRow="0" w:firstColumn="0" w:lastColumn="1" w:oddVBand="0" w:evenVBand="0" w:oddHBand="0" w:evenHBand="0" w:firstRowFirstColumn="0" w:firstRowLastColumn="1" w:lastRowFirstColumn="0" w:lastRowLastColumn="0"/>
            <w:tcW w:w="998" w:type="pct"/>
            <w:gridSpan w:val="2"/>
          </w:tcPr>
          <w:p w:rsidR="006308E8" w:rsidRPr="002124D1" w:rsidRDefault="006308E8" w:rsidP="00121650">
            <w:pPr>
              <w:spacing w:line="276" w:lineRule="auto"/>
              <w:jc w:val="center"/>
              <w:rPr>
                <w:rFonts w:asciiTheme="minorHAnsi" w:hAnsiTheme="minorHAnsi"/>
                <w:b w:val="0"/>
                <w:sz w:val="18"/>
                <w:szCs w:val="16"/>
                <w:lang w:val="sq-AL"/>
              </w:rPr>
            </w:pPr>
            <w:r w:rsidRPr="002124D1">
              <w:rPr>
                <w:rFonts w:asciiTheme="minorHAnsi" w:hAnsiTheme="minorHAnsi"/>
                <w:b w:val="0"/>
                <w:bCs w:val="0"/>
                <w:sz w:val="18"/>
                <w:szCs w:val="16"/>
                <w:lang w:val="sq-AL"/>
              </w:rPr>
              <w:t>Përqindja  e realizimit</w:t>
            </w:r>
          </w:p>
        </w:tc>
      </w:tr>
      <w:tr w:rsidR="006308E8" w:rsidRPr="002124D1" w:rsidTr="00121650">
        <w:trPr>
          <w:cnfStyle w:val="000000100000" w:firstRow="0" w:lastRow="0" w:firstColumn="0" w:lastColumn="0" w:oddVBand="0" w:evenVBand="0" w:oddHBand="1" w:evenHBand="0" w:firstRowFirstColumn="0" w:firstRowLastColumn="0" w:lastRowFirstColumn="0" w:lastRowLastColumn="0"/>
          <w:trHeight w:val="89"/>
        </w:trPr>
        <w:tc>
          <w:tcPr>
            <w:cnfStyle w:val="001000000000" w:firstRow="0" w:lastRow="0" w:firstColumn="1" w:lastColumn="0" w:oddVBand="0" w:evenVBand="0" w:oddHBand="0" w:evenHBand="0" w:firstRowFirstColumn="0" w:firstRowLastColumn="0" w:lastRowFirstColumn="0" w:lastRowLastColumn="0"/>
            <w:tcW w:w="273" w:type="pct"/>
            <w:vMerge/>
          </w:tcPr>
          <w:p w:rsidR="006308E8" w:rsidRPr="002124D1" w:rsidRDefault="006308E8" w:rsidP="00121650">
            <w:pPr>
              <w:spacing w:line="276" w:lineRule="auto"/>
              <w:jc w:val="center"/>
              <w:rPr>
                <w:rFonts w:asciiTheme="minorHAnsi" w:hAnsiTheme="minorHAnsi"/>
                <w:b w:val="0"/>
                <w:sz w:val="18"/>
                <w:szCs w:val="16"/>
                <w:lang w:val="sq-AL"/>
              </w:rPr>
            </w:pPr>
          </w:p>
        </w:tc>
        <w:tc>
          <w:tcPr>
            <w:cnfStyle w:val="000010000000" w:firstRow="0" w:lastRow="0" w:firstColumn="0" w:lastColumn="0" w:oddVBand="1" w:evenVBand="0" w:oddHBand="0" w:evenHBand="0" w:firstRowFirstColumn="0" w:firstRowLastColumn="0" w:lastRowFirstColumn="0" w:lastRowLastColumn="0"/>
            <w:tcW w:w="1111" w:type="pct"/>
            <w:vMerge/>
          </w:tcPr>
          <w:p w:rsidR="006308E8" w:rsidRPr="002124D1" w:rsidRDefault="006308E8" w:rsidP="00121650">
            <w:pPr>
              <w:spacing w:line="276" w:lineRule="auto"/>
              <w:jc w:val="center"/>
              <w:rPr>
                <w:rFonts w:asciiTheme="minorHAnsi" w:hAnsiTheme="minorHAnsi"/>
                <w:b/>
                <w:sz w:val="18"/>
                <w:szCs w:val="16"/>
                <w:lang w:val="sq-AL"/>
              </w:rPr>
            </w:pPr>
          </w:p>
        </w:tc>
        <w:tc>
          <w:tcPr>
            <w:tcW w:w="602" w:type="pct"/>
          </w:tcPr>
          <w:p w:rsidR="006308E8" w:rsidRPr="002124D1" w:rsidRDefault="006308E8" w:rsidP="00121650">
            <w:pPr>
              <w:spacing w:line="276" w:lineRule="auto"/>
              <w:ind w:left="85"/>
              <w:cnfStyle w:val="000000100000" w:firstRow="0" w:lastRow="0" w:firstColumn="0" w:lastColumn="0" w:oddVBand="0" w:evenVBand="0" w:oddHBand="1" w:evenHBand="0" w:firstRowFirstColumn="0" w:firstRowLastColumn="0" w:lastRowFirstColumn="0" w:lastRowLastColumn="0"/>
              <w:rPr>
                <w:rFonts w:asciiTheme="minorHAnsi" w:hAnsiTheme="minorHAnsi"/>
                <w:b/>
                <w:sz w:val="18"/>
                <w:szCs w:val="16"/>
                <w:lang w:val="sq-AL"/>
              </w:rPr>
            </w:pPr>
            <w:r w:rsidRPr="002124D1">
              <w:rPr>
                <w:rFonts w:asciiTheme="minorHAnsi" w:hAnsiTheme="minorHAnsi"/>
                <w:b/>
                <w:sz w:val="18"/>
                <w:szCs w:val="16"/>
                <w:lang w:val="sq-AL"/>
              </w:rPr>
              <w:t>Korrente</w:t>
            </w:r>
          </w:p>
        </w:tc>
        <w:tc>
          <w:tcPr>
            <w:cnfStyle w:val="000010000000" w:firstRow="0" w:lastRow="0" w:firstColumn="0" w:lastColumn="0" w:oddVBand="1" w:evenVBand="0" w:oddHBand="0" w:evenHBand="0" w:firstRowFirstColumn="0" w:firstRowLastColumn="0" w:lastRowFirstColumn="0" w:lastRowLastColumn="0"/>
            <w:tcW w:w="771" w:type="pct"/>
          </w:tcPr>
          <w:p w:rsidR="006308E8" w:rsidRPr="002124D1" w:rsidRDefault="006308E8" w:rsidP="00121650">
            <w:pPr>
              <w:spacing w:line="276" w:lineRule="auto"/>
              <w:ind w:left="85"/>
              <w:jc w:val="center"/>
              <w:rPr>
                <w:rFonts w:asciiTheme="minorHAnsi" w:hAnsiTheme="minorHAnsi"/>
                <w:b/>
                <w:sz w:val="18"/>
                <w:szCs w:val="16"/>
                <w:lang w:val="sq-AL"/>
              </w:rPr>
            </w:pPr>
            <w:r w:rsidRPr="002124D1">
              <w:rPr>
                <w:rFonts w:asciiTheme="minorHAnsi" w:hAnsiTheme="minorHAnsi"/>
                <w:b/>
                <w:sz w:val="18"/>
                <w:szCs w:val="16"/>
                <w:lang w:val="sq-AL"/>
              </w:rPr>
              <w:t>Investime</w:t>
            </w:r>
          </w:p>
        </w:tc>
        <w:tc>
          <w:tcPr>
            <w:tcW w:w="646" w:type="pct"/>
          </w:tcPr>
          <w:p w:rsidR="006308E8" w:rsidRPr="002124D1" w:rsidRDefault="006308E8" w:rsidP="00121650">
            <w:pPr>
              <w:spacing w:line="276"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b/>
                <w:sz w:val="18"/>
                <w:szCs w:val="16"/>
                <w:lang w:val="sq-AL"/>
              </w:rPr>
            </w:pPr>
            <w:r w:rsidRPr="002124D1">
              <w:rPr>
                <w:rFonts w:asciiTheme="minorHAnsi" w:hAnsiTheme="minorHAnsi"/>
                <w:b/>
                <w:sz w:val="18"/>
                <w:szCs w:val="16"/>
                <w:lang w:val="sq-AL"/>
              </w:rPr>
              <w:t>Korrente</w:t>
            </w:r>
          </w:p>
        </w:tc>
        <w:tc>
          <w:tcPr>
            <w:cnfStyle w:val="000010000000" w:firstRow="0" w:lastRow="0" w:firstColumn="0" w:lastColumn="0" w:oddVBand="1" w:evenVBand="0" w:oddHBand="0" w:evenHBand="0" w:firstRowFirstColumn="0" w:firstRowLastColumn="0" w:lastRowFirstColumn="0" w:lastRowLastColumn="0"/>
            <w:tcW w:w="599" w:type="pct"/>
          </w:tcPr>
          <w:p w:rsidR="006308E8" w:rsidRPr="002124D1" w:rsidRDefault="006308E8" w:rsidP="00121650">
            <w:pPr>
              <w:spacing w:line="276" w:lineRule="auto"/>
              <w:jc w:val="center"/>
              <w:rPr>
                <w:rFonts w:asciiTheme="minorHAnsi" w:hAnsiTheme="minorHAnsi"/>
                <w:b/>
                <w:sz w:val="18"/>
                <w:szCs w:val="16"/>
                <w:lang w:val="sq-AL"/>
              </w:rPr>
            </w:pPr>
            <w:r w:rsidRPr="002124D1">
              <w:rPr>
                <w:rFonts w:asciiTheme="minorHAnsi" w:hAnsiTheme="minorHAnsi"/>
                <w:b/>
                <w:sz w:val="18"/>
                <w:szCs w:val="16"/>
                <w:lang w:val="sq-AL"/>
              </w:rPr>
              <w:t>Investime</w:t>
            </w:r>
          </w:p>
        </w:tc>
        <w:tc>
          <w:tcPr>
            <w:tcW w:w="489" w:type="pct"/>
          </w:tcPr>
          <w:p w:rsidR="006308E8" w:rsidRPr="002124D1" w:rsidRDefault="006308E8" w:rsidP="00121650">
            <w:pPr>
              <w:spacing w:line="276"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b/>
                <w:sz w:val="18"/>
                <w:szCs w:val="16"/>
                <w:lang w:val="sq-AL"/>
              </w:rPr>
            </w:pPr>
            <w:r w:rsidRPr="002124D1">
              <w:rPr>
                <w:rFonts w:asciiTheme="minorHAnsi" w:hAnsiTheme="minorHAnsi"/>
                <w:b/>
                <w:sz w:val="18"/>
                <w:szCs w:val="16"/>
                <w:lang w:val="sq-AL"/>
              </w:rPr>
              <w:t>Korrente</w:t>
            </w:r>
          </w:p>
        </w:tc>
        <w:tc>
          <w:tcPr>
            <w:cnfStyle w:val="000100000000" w:firstRow="0" w:lastRow="0" w:firstColumn="0" w:lastColumn="1" w:oddVBand="0" w:evenVBand="0" w:oddHBand="0" w:evenHBand="0" w:firstRowFirstColumn="0" w:firstRowLastColumn="0" w:lastRowFirstColumn="0" w:lastRowLastColumn="0"/>
            <w:tcW w:w="509" w:type="pct"/>
          </w:tcPr>
          <w:p w:rsidR="006308E8" w:rsidRPr="002124D1" w:rsidRDefault="006308E8" w:rsidP="00121650">
            <w:pPr>
              <w:spacing w:line="276" w:lineRule="auto"/>
              <w:jc w:val="center"/>
              <w:rPr>
                <w:rFonts w:asciiTheme="minorHAnsi" w:hAnsiTheme="minorHAnsi"/>
                <w:b w:val="0"/>
                <w:sz w:val="18"/>
                <w:szCs w:val="16"/>
                <w:lang w:val="sq-AL"/>
              </w:rPr>
            </w:pPr>
            <w:r w:rsidRPr="002124D1">
              <w:rPr>
                <w:rFonts w:asciiTheme="minorHAnsi" w:hAnsiTheme="minorHAnsi"/>
                <w:b w:val="0"/>
                <w:sz w:val="18"/>
                <w:szCs w:val="16"/>
                <w:lang w:val="sq-AL"/>
              </w:rPr>
              <w:t>Investime</w:t>
            </w:r>
          </w:p>
        </w:tc>
      </w:tr>
      <w:tr w:rsidR="006308E8" w:rsidRPr="002124D1" w:rsidTr="00121650">
        <w:tc>
          <w:tcPr>
            <w:cnfStyle w:val="001000000000" w:firstRow="0" w:lastRow="0" w:firstColumn="1" w:lastColumn="0" w:oddVBand="0" w:evenVBand="0" w:oddHBand="0" w:evenHBand="0" w:firstRowFirstColumn="0" w:firstRowLastColumn="0" w:lastRowFirstColumn="0" w:lastRowLastColumn="0"/>
            <w:tcW w:w="273" w:type="pct"/>
          </w:tcPr>
          <w:p w:rsidR="006308E8" w:rsidRPr="002124D1" w:rsidRDefault="006308E8" w:rsidP="00121650">
            <w:pPr>
              <w:spacing w:line="276" w:lineRule="auto"/>
              <w:rPr>
                <w:rFonts w:asciiTheme="minorHAnsi" w:hAnsiTheme="minorHAnsi"/>
                <w:sz w:val="18"/>
                <w:szCs w:val="16"/>
                <w:lang w:val="sq-AL"/>
              </w:rPr>
            </w:pPr>
            <w:r w:rsidRPr="002124D1">
              <w:rPr>
                <w:rFonts w:asciiTheme="minorHAnsi" w:hAnsiTheme="minorHAnsi"/>
                <w:sz w:val="18"/>
                <w:szCs w:val="16"/>
                <w:lang w:val="sq-AL"/>
              </w:rPr>
              <w:t xml:space="preserve"> 1.</w:t>
            </w:r>
          </w:p>
        </w:tc>
        <w:tc>
          <w:tcPr>
            <w:cnfStyle w:val="000010000000" w:firstRow="0" w:lastRow="0" w:firstColumn="0" w:lastColumn="0" w:oddVBand="1" w:evenVBand="0" w:oddHBand="0" w:evenHBand="0" w:firstRowFirstColumn="0" w:firstRowLastColumn="0" w:lastRowFirstColumn="0" w:lastRowLastColumn="0"/>
            <w:tcW w:w="1111" w:type="pct"/>
          </w:tcPr>
          <w:p w:rsidR="006308E8" w:rsidRPr="002124D1" w:rsidRDefault="006308E8" w:rsidP="00121650">
            <w:pPr>
              <w:spacing w:line="276" w:lineRule="auto"/>
              <w:rPr>
                <w:rFonts w:asciiTheme="minorHAnsi" w:hAnsiTheme="minorHAnsi"/>
                <w:sz w:val="18"/>
                <w:szCs w:val="16"/>
                <w:lang w:val="sq-AL"/>
              </w:rPr>
            </w:pPr>
            <w:r w:rsidRPr="002124D1">
              <w:rPr>
                <w:rFonts w:asciiTheme="minorHAnsi" w:hAnsiTheme="minorHAnsi"/>
                <w:sz w:val="18"/>
                <w:szCs w:val="16"/>
                <w:lang w:val="sq-AL"/>
              </w:rPr>
              <w:t>Mbrojtja e Mjedisit</w:t>
            </w:r>
          </w:p>
        </w:tc>
        <w:tc>
          <w:tcPr>
            <w:tcW w:w="602" w:type="pct"/>
            <w:shd w:val="clear" w:color="auto" w:fill="FFFFFF" w:themeFill="background1"/>
          </w:tcPr>
          <w:p w:rsidR="006308E8" w:rsidRPr="002124D1" w:rsidRDefault="006308E8" w:rsidP="00121650">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16"/>
                <w:lang w:val="sq-AL"/>
              </w:rPr>
            </w:pPr>
            <w:r w:rsidRPr="002124D1">
              <w:rPr>
                <w:rFonts w:asciiTheme="minorHAnsi" w:hAnsiTheme="minorHAnsi"/>
                <w:sz w:val="18"/>
                <w:szCs w:val="16"/>
                <w:lang w:val="sq-AL"/>
              </w:rPr>
              <w:t>459,820</w:t>
            </w:r>
          </w:p>
        </w:tc>
        <w:tc>
          <w:tcPr>
            <w:cnfStyle w:val="000010000000" w:firstRow="0" w:lastRow="0" w:firstColumn="0" w:lastColumn="0" w:oddVBand="1" w:evenVBand="0" w:oddHBand="0" w:evenHBand="0" w:firstRowFirstColumn="0" w:firstRowLastColumn="0" w:lastRowFirstColumn="0" w:lastRowLastColumn="0"/>
            <w:tcW w:w="771" w:type="pct"/>
          </w:tcPr>
          <w:p w:rsidR="006308E8" w:rsidRPr="002124D1" w:rsidRDefault="006308E8" w:rsidP="00121650">
            <w:pPr>
              <w:spacing w:line="276" w:lineRule="auto"/>
              <w:jc w:val="center"/>
              <w:rPr>
                <w:rFonts w:asciiTheme="minorHAnsi" w:hAnsiTheme="minorHAnsi"/>
                <w:sz w:val="18"/>
                <w:szCs w:val="16"/>
                <w:lang w:val="sq-AL"/>
              </w:rPr>
            </w:pPr>
            <w:r w:rsidRPr="002124D1">
              <w:rPr>
                <w:rFonts w:asciiTheme="minorHAnsi" w:hAnsiTheme="minorHAnsi"/>
                <w:sz w:val="18"/>
                <w:szCs w:val="16"/>
                <w:lang w:val="sq-AL"/>
              </w:rPr>
              <w:t>198,288</w:t>
            </w:r>
          </w:p>
        </w:tc>
        <w:tc>
          <w:tcPr>
            <w:tcW w:w="646" w:type="pct"/>
          </w:tcPr>
          <w:p w:rsidR="006308E8" w:rsidRPr="002124D1" w:rsidRDefault="006308E8" w:rsidP="00121650">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16"/>
                <w:lang w:val="sq-AL"/>
              </w:rPr>
            </w:pPr>
            <w:r w:rsidRPr="002124D1">
              <w:rPr>
                <w:rFonts w:asciiTheme="minorHAnsi" w:hAnsiTheme="minorHAnsi"/>
                <w:sz w:val="18"/>
                <w:szCs w:val="16"/>
                <w:lang w:val="sq-AL"/>
              </w:rPr>
              <w:t>117,065</w:t>
            </w:r>
          </w:p>
        </w:tc>
        <w:tc>
          <w:tcPr>
            <w:cnfStyle w:val="000010000000" w:firstRow="0" w:lastRow="0" w:firstColumn="0" w:lastColumn="0" w:oddVBand="1" w:evenVBand="0" w:oddHBand="0" w:evenHBand="0" w:firstRowFirstColumn="0" w:firstRowLastColumn="0" w:lastRowFirstColumn="0" w:lastRowLastColumn="0"/>
            <w:tcW w:w="599" w:type="pct"/>
          </w:tcPr>
          <w:p w:rsidR="006308E8" w:rsidRPr="002124D1" w:rsidRDefault="006308E8" w:rsidP="00121650">
            <w:pPr>
              <w:spacing w:line="276" w:lineRule="auto"/>
              <w:jc w:val="center"/>
              <w:rPr>
                <w:rFonts w:asciiTheme="minorHAnsi" w:hAnsiTheme="minorHAnsi"/>
                <w:sz w:val="18"/>
                <w:szCs w:val="16"/>
                <w:lang w:val="sq-AL"/>
              </w:rPr>
            </w:pPr>
            <w:r w:rsidRPr="002124D1">
              <w:rPr>
                <w:rFonts w:asciiTheme="minorHAnsi" w:hAnsiTheme="minorHAnsi"/>
                <w:sz w:val="18"/>
                <w:szCs w:val="16"/>
                <w:lang w:val="sq-AL"/>
              </w:rPr>
              <w:t>3,626</w:t>
            </w:r>
          </w:p>
        </w:tc>
        <w:tc>
          <w:tcPr>
            <w:tcW w:w="489" w:type="pct"/>
          </w:tcPr>
          <w:p w:rsidR="006308E8" w:rsidRPr="002124D1" w:rsidRDefault="006308E8" w:rsidP="00121650">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b/>
                <w:sz w:val="18"/>
                <w:szCs w:val="16"/>
                <w:lang w:val="sq-AL"/>
              </w:rPr>
            </w:pPr>
            <w:r w:rsidRPr="002124D1">
              <w:rPr>
                <w:rFonts w:asciiTheme="minorHAnsi" w:hAnsiTheme="minorHAnsi"/>
                <w:b/>
                <w:sz w:val="18"/>
                <w:szCs w:val="16"/>
                <w:lang w:val="sq-AL"/>
              </w:rPr>
              <w:t>18%</w:t>
            </w:r>
          </w:p>
        </w:tc>
        <w:tc>
          <w:tcPr>
            <w:cnfStyle w:val="000100000000" w:firstRow="0" w:lastRow="0" w:firstColumn="0" w:lastColumn="1" w:oddVBand="0" w:evenVBand="0" w:oddHBand="0" w:evenHBand="0" w:firstRowFirstColumn="0" w:firstRowLastColumn="0" w:lastRowFirstColumn="0" w:lastRowLastColumn="0"/>
            <w:tcW w:w="509" w:type="pct"/>
          </w:tcPr>
          <w:p w:rsidR="006308E8" w:rsidRPr="002124D1" w:rsidRDefault="006308E8" w:rsidP="00121650">
            <w:pPr>
              <w:spacing w:line="276" w:lineRule="auto"/>
              <w:jc w:val="center"/>
              <w:rPr>
                <w:rFonts w:asciiTheme="minorHAnsi" w:hAnsiTheme="minorHAnsi"/>
                <w:sz w:val="18"/>
                <w:szCs w:val="16"/>
                <w:lang w:val="sq-AL"/>
              </w:rPr>
            </w:pPr>
            <w:r w:rsidRPr="002124D1">
              <w:rPr>
                <w:rFonts w:asciiTheme="minorHAnsi" w:hAnsiTheme="minorHAnsi"/>
                <w:sz w:val="18"/>
                <w:szCs w:val="16"/>
                <w:lang w:val="sq-AL"/>
              </w:rPr>
              <w:t>2%</w:t>
            </w:r>
          </w:p>
        </w:tc>
      </w:tr>
      <w:tr w:rsidR="006308E8" w:rsidRPr="002124D1" w:rsidTr="00121650">
        <w:trPr>
          <w:cnfStyle w:val="000000100000" w:firstRow="0" w:lastRow="0" w:firstColumn="0" w:lastColumn="0" w:oddVBand="0" w:evenVBand="0" w:oddHBand="1" w:evenHBand="0" w:firstRowFirstColumn="0" w:firstRowLastColumn="0" w:lastRowFirstColumn="0" w:lastRowLastColumn="0"/>
          <w:trHeight w:val="224"/>
        </w:trPr>
        <w:tc>
          <w:tcPr>
            <w:cnfStyle w:val="001000000000" w:firstRow="0" w:lastRow="0" w:firstColumn="1" w:lastColumn="0" w:oddVBand="0" w:evenVBand="0" w:oddHBand="0" w:evenHBand="0" w:firstRowFirstColumn="0" w:firstRowLastColumn="0" w:lastRowFirstColumn="0" w:lastRowLastColumn="0"/>
            <w:tcW w:w="273" w:type="pct"/>
          </w:tcPr>
          <w:p w:rsidR="006308E8" w:rsidRPr="002124D1" w:rsidRDefault="006308E8" w:rsidP="00121650">
            <w:pPr>
              <w:spacing w:line="276" w:lineRule="auto"/>
              <w:rPr>
                <w:rFonts w:asciiTheme="minorHAnsi" w:hAnsiTheme="minorHAnsi"/>
                <w:sz w:val="18"/>
                <w:szCs w:val="16"/>
                <w:lang w:val="sq-AL"/>
              </w:rPr>
            </w:pPr>
          </w:p>
        </w:tc>
        <w:tc>
          <w:tcPr>
            <w:cnfStyle w:val="000010000000" w:firstRow="0" w:lastRow="0" w:firstColumn="0" w:lastColumn="0" w:oddVBand="1" w:evenVBand="0" w:oddHBand="0" w:evenHBand="0" w:firstRowFirstColumn="0" w:firstRowLastColumn="0" w:lastRowFirstColumn="0" w:lastRowLastColumn="0"/>
            <w:tcW w:w="1111" w:type="pct"/>
          </w:tcPr>
          <w:p w:rsidR="006308E8" w:rsidRPr="002124D1" w:rsidRDefault="006308E8" w:rsidP="00121650">
            <w:pPr>
              <w:spacing w:line="276" w:lineRule="auto"/>
              <w:ind w:left="65"/>
              <w:contextualSpacing/>
              <w:rPr>
                <w:rFonts w:asciiTheme="minorHAnsi" w:hAnsiTheme="minorHAnsi"/>
                <w:sz w:val="18"/>
                <w:szCs w:val="16"/>
                <w:lang w:val="sq-AL"/>
              </w:rPr>
            </w:pPr>
            <w:r w:rsidRPr="002124D1">
              <w:rPr>
                <w:rFonts w:asciiTheme="minorHAnsi" w:hAnsiTheme="minorHAnsi"/>
                <w:sz w:val="18"/>
                <w:szCs w:val="16"/>
                <w:lang w:val="sq-AL"/>
              </w:rPr>
              <w:t>Financimi i huaj</w:t>
            </w:r>
          </w:p>
        </w:tc>
        <w:tc>
          <w:tcPr>
            <w:tcW w:w="602" w:type="pct"/>
          </w:tcPr>
          <w:p w:rsidR="006308E8" w:rsidRPr="002124D1" w:rsidRDefault="006308E8" w:rsidP="00121650">
            <w:pPr>
              <w:spacing w:line="276"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16"/>
                <w:lang w:val="sq-AL"/>
              </w:rPr>
            </w:pPr>
          </w:p>
        </w:tc>
        <w:tc>
          <w:tcPr>
            <w:cnfStyle w:val="000010000000" w:firstRow="0" w:lastRow="0" w:firstColumn="0" w:lastColumn="0" w:oddVBand="1" w:evenVBand="0" w:oddHBand="0" w:evenHBand="0" w:firstRowFirstColumn="0" w:firstRowLastColumn="0" w:lastRowFirstColumn="0" w:lastRowLastColumn="0"/>
            <w:tcW w:w="771" w:type="pct"/>
          </w:tcPr>
          <w:p w:rsidR="006308E8" w:rsidRPr="002124D1" w:rsidRDefault="006308E8" w:rsidP="00121650">
            <w:pPr>
              <w:spacing w:line="276" w:lineRule="auto"/>
              <w:jc w:val="center"/>
              <w:rPr>
                <w:rFonts w:asciiTheme="minorHAnsi" w:hAnsiTheme="minorHAnsi"/>
                <w:sz w:val="18"/>
                <w:szCs w:val="16"/>
                <w:lang w:val="sq-AL"/>
              </w:rPr>
            </w:pPr>
            <w:r w:rsidRPr="002124D1">
              <w:rPr>
                <w:rFonts w:asciiTheme="minorHAnsi" w:hAnsiTheme="minorHAnsi"/>
                <w:sz w:val="18"/>
                <w:szCs w:val="16"/>
                <w:lang w:val="sq-AL"/>
              </w:rPr>
              <w:t>290,000</w:t>
            </w:r>
          </w:p>
        </w:tc>
        <w:tc>
          <w:tcPr>
            <w:tcW w:w="646" w:type="pct"/>
          </w:tcPr>
          <w:p w:rsidR="006308E8" w:rsidRPr="002124D1" w:rsidRDefault="006308E8" w:rsidP="00121650">
            <w:pPr>
              <w:spacing w:line="276"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16"/>
                <w:lang w:val="sq-AL"/>
              </w:rPr>
            </w:pPr>
          </w:p>
        </w:tc>
        <w:tc>
          <w:tcPr>
            <w:cnfStyle w:val="000010000000" w:firstRow="0" w:lastRow="0" w:firstColumn="0" w:lastColumn="0" w:oddVBand="1" w:evenVBand="0" w:oddHBand="0" w:evenHBand="0" w:firstRowFirstColumn="0" w:firstRowLastColumn="0" w:lastRowFirstColumn="0" w:lastRowLastColumn="0"/>
            <w:tcW w:w="599" w:type="pct"/>
          </w:tcPr>
          <w:p w:rsidR="006308E8" w:rsidRPr="002124D1" w:rsidRDefault="006308E8" w:rsidP="00121650">
            <w:pPr>
              <w:spacing w:line="276" w:lineRule="auto"/>
              <w:jc w:val="center"/>
              <w:rPr>
                <w:rFonts w:asciiTheme="minorHAnsi" w:hAnsiTheme="minorHAnsi"/>
                <w:sz w:val="18"/>
                <w:szCs w:val="16"/>
                <w:lang w:val="sq-AL"/>
              </w:rPr>
            </w:pPr>
            <w:r w:rsidRPr="002124D1">
              <w:rPr>
                <w:rFonts w:asciiTheme="minorHAnsi" w:hAnsiTheme="minorHAnsi"/>
                <w:sz w:val="18"/>
                <w:szCs w:val="16"/>
                <w:lang w:val="sq-AL"/>
              </w:rPr>
              <w:t>70,459</w:t>
            </w:r>
          </w:p>
        </w:tc>
        <w:tc>
          <w:tcPr>
            <w:tcW w:w="489" w:type="pct"/>
          </w:tcPr>
          <w:p w:rsidR="006308E8" w:rsidRPr="002124D1" w:rsidRDefault="006308E8" w:rsidP="00121650">
            <w:pPr>
              <w:spacing w:line="276"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16"/>
                <w:lang w:val="sq-AL"/>
              </w:rPr>
            </w:pPr>
          </w:p>
        </w:tc>
        <w:tc>
          <w:tcPr>
            <w:cnfStyle w:val="000100000000" w:firstRow="0" w:lastRow="0" w:firstColumn="0" w:lastColumn="1" w:oddVBand="0" w:evenVBand="0" w:oddHBand="0" w:evenHBand="0" w:firstRowFirstColumn="0" w:firstRowLastColumn="0" w:lastRowFirstColumn="0" w:lastRowLastColumn="0"/>
            <w:tcW w:w="509" w:type="pct"/>
          </w:tcPr>
          <w:p w:rsidR="006308E8" w:rsidRPr="002124D1" w:rsidRDefault="006308E8" w:rsidP="00121650">
            <w:pPr>
              <w:spacing w:line="276" w:lineRule="auto"/>
              <w:jc w:val="center"/>
              <w:rPr>
                <w:rFonts w:asciiTheme="minorHAnsi" w:hAnsiTheme="minorHAnsi"/>
                <w:sz w:val="18"/>
                <w:szCs w:val="16"/>
                <w:lang w:val="sq-AL"/>
              </w:rPr>
            </w:pPr>
            <w:r w:rsidRPr="002124D1">
              <w:rPr>
                <w:rFonts w:asciiTheme="minorHAnsi" w:hAnsiTheme="minorHAnsi"/>
                <w:sz w:val="18"/>
                <w:szCs w:val="16"/>
                <w:lang w:val="sq-AL"/>
              </w:rPr>
              <w:t>24%</w:t>
            </w:r>
          </w:p>
        </w:tc>
      </w:tr>
      <w:tr w:rsidR="006308E8" w:rsidRPr="002124D1" w:rsidTr="00121650">
        <w:trPr>
          <w:trHeight w:val="116"/>
        </w:trPr>
        <w:tc>
          <w:tcPr>
            <w:cnfStyle w:val="001000000000" w:firstRow="0" w:lastRow="0" w:firstColumn="1" w:lastColumn="0" w:oddVBand="0" w:evenVBand="0" w:oddHBand="0" w:evenHBand="0" w:firstRowFirstColumn="0" w:firstRowLastColumn="0" w:lastRowFirstColumn="0" w:lastRowLastColumn="0"/>
            <w:tcW w:w="273" w:type="pct"/>
          </w:tcPr>
          <w:p w:rsidR="006308E8" w:rsidRPr="002124D1" w:rsidRDefault="006308E8" w:rsidP="00121650">
            <w:pPr>
              <w:spacing w:line="276" w:lineRule="auto"/>
              <w:rPr>
                <w:rFonts w:asciiTheme="minorHAnsi" w:hAnsiTheme="minorHAnsi"/>
                <w:sz w:val="18"/>
                <w:szCs w:val="16"/>
                <w:lang w:val="sq-AL"/>
              </w:rPr>
            </w:pPr>
            <w:r w:rsidRPr="002124D1">
              <w:rPr>
                <w:rFonts w:asciiTheme="minorHAnsi" w:hAnsiTheme="minorHAnsi"/>
                <w:sz w:val="18"/>
                <w:szCs w:val="16"/>
                <w:lang w:val="sq-AL"/>
              </w:rPr>
              <w:t xml:space="preserve"> 2.</w:t>
            </w:r>
          </w:p>
        </w:tc>
        <w:tc>
          <w:tcPr>
            <w:cnfStyle w:val="000010000000" w:firstRow="0" w:lastRow="0" w:firstColumn="0" w:lastColumn="0" w:oddVBand="1" w:evenVBand="0" w:oddHBand="0" w:evenHBand="0" w:firstRowFirstColumn="0" w:firstRowLastColumn="0" w:lastRowFirstColumn="0" w:lastRowLastColumn="0"/>
            <w:tcW w:w="1111" w:type="pct"/>
          </w:tcPr>
          <w:p w:rsidR="006308E8" w:rsidRPr="002124D1" w:rsidRDefault="006308E8" w:rsidP="00121650">
            <w:pPr>
              <w:spacing w:line="276" w:lineRule="auto"/>
              <w:rPr>
                <w:rFonts w:asciiTheme="minorHAnsi" w:hAnsiTheme="minorHAnsi"/>
                <w:sz w:val="18"/>
                <w:szCs w:val="16"/>
                <w:lang w:val="sq-AL"/>
              </w:rPr>
            </w:pPr>
            <w:r w:rsidRPr="002124D1">
              <w:rPr>
                <w:rFonts w:asciiTheme="minorHAnsi" w:hAnsiTheme="minorHAnsi"/>
                <w:sz w:val="18"/>
                <w:szCs w:val="16"/>
                <w:lang w:val="sq-AL"/>
              </w:rPr>
              <w:t>Administrimi i Pyjeve</w:t>
            </w:r>
          </w:p>
        </w:tc>
        <w:tc>
          <w:tcPr>
            <w:tcW w:w="602" w:type="pct"/>
          </w:tcPr>
          <w:p w:rsidR="006308E8" w:rsidRPr="002124D1" w:rsidRDefault="006308E8" w:rsidP="00121650">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16"/>
                <w:lang w:val="sq-AL"/>
              </w:rPr>
            </w:pPr>
            <w:r w:rsidRPr="002124D1">
              <w:rPr>
                <w:rFonts w:asciiTheme="minorHAnsi" w:hAnsiTheme="minorHAnsi"/>
                <w:sz w:val="18"/>
                <w:szCs w:val="16"/>
                <w:lang w:val="sq-AL"/>
              </w:rPr>
              <w:t>400,100</w:t>
            </w:r>
          </w:p>
        </w:tc>
        <w:tc>
          <w:tcPr>
            <w:cnfStyle w:val="000010000000" w:firstRow="0" w:lastRow="0" w:firstColumn="0" w:lastColumn="0" w:oddVBand="1" w:evenVBand="0" w:oddHBand="0" w:evenHBand="0" w:firstRowFirstColumn="0" w:firstRowLastColumn="0" w:lastRowFirstColumn="0" w:lastRowLastColumn="0"/>
            <w:tcW w:w="771" w:type="pct"/>
          </w:tcPr>
          <w:p w:rsidR="006308E8" w:rsidRPr="002124D1" w:rsidRDefault="006308E8" w:rsidP="00121650">
            <w:pPr>
              <w:spacing w:line="276" w:lineRule="auto"/>
              <w:jc w:val="center"/>
              <w:rPr>
                <w:rFonts w:asciiTheme="minorHAnsi" w:hAnsiTheme="minorHAnsi"/>
                <w:sz w:val="18"/>
                <w:szCs w:val="16"/>
                <w:lang w:val="sq-AL"/>
              </w:rPr>
            </w:pPr>
            <w:r w:rsidRPr="002124D1">
              <w:rPr>
                <w:rFonts w:asciiTheme="minorHAnsi" w:hAnsiTheme="minorHAnsi"/>
                <w:sz w:val="18"/>
                <w:szCs w:val="16"/>
                <w:lang w:val="sq-AL"/>
              </w:rPr>
              <w:t>89,812</w:t>
            </w:r>
          </w:p>
        </w:tc>
        <w:tc>
          <w:tcPr>
            <w:tcW w:w="646" w:type="pct"/>
          </w:tcPr>
          <w:p w:rsidR="006308E8" w:rsidRPr="002124D1" w:rsidRDefault="006308E8" w:rsidP="00121650">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16"/>
                <w:lang w:val="sq-AL"/>
              </w:rPr>
            </w:pPr>
            <w:r w:rsidRPr="002124D1">
              <w:rPr>
                <w:rFonts w:asciiTheme="minorHAnsi" w:hAnsiTheme="minorHAnsi"/>
                <w:sz w:val="18"/>
                <w:szCs w:val="16"/>
                <w:lang w:val="sq-AL"/>
              </w:rPr>
              <w:t>115,558</w:t>
            </w:r>
          </w:p>
        </w:tc>
        <w:tc>
          <w:tcPr>
            <w:cnfStyle w:val="000010000000" w:firstRow="0" w:lastRow="0" w:firstColumn="0" w:lastColumn="0" w:oddVBand="1" w:evenVBand="0" w:oddHBand="0" w:evenHBand="0" w:firstRowFirstColumn="0" w:firstRowLastColumn="0" w:lastRowFirstColumn="0" w:lastRowLastColumn="0"/>
            <w:tcW w:w="599" w:type="pct"/>
          </w:tcPr>
          <w:p w:rsidR="006308E8" w:rsidRPr="002124D1" w:rsidRDefault="006308E8" w:rsidP="00121650">
            <w:pPr>
              <w:spacing w:line="276" w:lineRule="auto"/>
              <w:jc w:val="center"/>
              <w:rPr>
                <w:rFonts w:asciiTheme="minorHAnsi" w:hAnsiTheme="minorHAnsi"/>
                <w:sz w:val="18"/>
                <w:szCs w:val="16"/>
                <w:lang w:val="sq-AL"/>
              </w:rPr>
            </w:pPr>
            <w:r w:rsidRPr="002124D1">
              <w:rPr>
                <w:rFonts w:asciiTheme="minorHAnsi" w:hAnsiTheme="minorHAnsi"/>
                <w:sz w:val="18"/>
                <w:szCs w:val="16"/>
                <w:lang w:val="sq-AL"/>
              </w:rPr>
              <w:t>-</w:t>
            </w:r>
          </w:p>
        </w:tc>
        <w:tc>
          <w:tcPr>
            <w:tcW w:w="489" w:type="pct"/>
          </w:tcPr>
          <w:p w:rsidR="006308E8" w:rsidRPr="002124D1" w:rsidRDefault="006308E8" w:rsidP="00121650">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b/>
                <w:sz w:val="18"/>
                <w:szCs w:val="16"/>
                <w:lang w:val="sq-AL"/>
              </w:rPr>
            </w:pPr>
            <w:r w:rsidRPr="002124D1">
              <w:rPr>
                <w:rFonts w:asciiTheme="minorHAnsi" w:hAnsiTheme="minorHAnsi"/>
                <w:b/>
                <w:sz w:val="18"/>
                <w:szCs w:val="16"/>
                <w:lang w:val="sq-AL"/>
              </w:rPr>
              <w:t>29%</w:t>
            </w:r>
          </w:p>
        </w:tc>
        <w:tc>
          <w:tcPr>
            <w:cnfStyle w:val="000100000000" w:firstRow="0" w:lastRow="0" w:firstColumn="0" w:lastColumn="1" w:oddVBand="0" w:evenVBand="0" w:oddHBand="0" w:evenHBand="0" w:firstRowFirstColumn="0" w:firstRowLastColumn="0" w:lastRowFirstColumn="0" w:lastRowLastColumn="0"/>
            <w:tcW w:w="509" w:type="pct"/>
          </w:tcPr>
          <w:p w:rsidR="006308E8" w:rsidRPr="002124D1" w:rsidRDefault="006308E8" w:rsidP="00121650">
            <w:pPr>
              <w:spacing w:line="276" w:lineRule="auto"/>
              <w:jc w:val="center"/>
              <w:rPr>
                <w:rFonts w:asciiTheme="minorHAnsi" w:hAnsiTheme="minorHAnsi"/>
                <w:sz w:val="18"/>
                <w:szCs w:val="16"/>
                <w:lang w:val="sq-AL"/>
              </w:rPr>
            </w:pPr>
            <w:r w:rsidRPr="002124D1">
              <w:rPr>
                <w:rFonts w:asciiTheme="minorHAnsi" w:hAnsiTheme="minorHAnsi"/>
                <w:sz w:val="18"/>
                <w:szCs w:val="16"/>
                <w:lang w:val="sq-AL"/>
              </w:rPr>
              <w:t>-</w:t>
            </w:r>
          </w:p>
        </w:tc>
      </w:tr>
      <w:tr w:rsidR="006308E8" w:rsidRPr="002124D1" w:rsidTr="00121650">
        <w:trPr>
          <w:cnfStyle w:val="000000100000" w:firstRow="0" w:lastRow="0" w:firstColumn="0" w:lastColumn="0" w:oddVBand="0" w:evenVBand="0" w:oddHBand="1" w:evenHBand="0" w:firstRowFirstColumn="0" w:firstRowLastColumn="0" w:lastRowFirstColumn="0" w:lastRowLastColumn="0"/>
          <w:trHeight w:val="125"/>
        </w:trPr>
        <w:tc>
          <w:tcPr>
            <w:cnfStyle w:val="001000000000" w:firstRow="0" w:lastRow="0" w:firstColumn="1" w:lastColumn="0" w:oddVBand="0" w:evenVBand="0" w:oddHBand="0" w:evenHBand="0" w:firstRowFirstColumn="0" w:firstRowLastColumn="0" w:lastRowFirstColumn="0" w:lastRowLastColumn="0"/>
            <w:tcW w:w="273" w:type="pct"/>
          </w:tcPr>
          <w:p w:rsidR="006308E8" w:rsidRPr="002124D1" w:rsidRDefault="006308E8" w:rsidP="00121650">
            <w:pPr>
              <w:spacing w:line="276" w:lineRule="auto"/>
              <w:jc w:val="center"/>
              <w:rPr>
                <w:rFonts w:asciiTheme="minorHAnsi" w:hAnsiTheme="minorHAnsi"/>
                <w:b w:val="0"/>
                <w:sz w:val="18"/>
                <w:szCs w:val="16"/>
                <w:lang w:val="sq-AL"/>
              </w:rPr>
            </w:pPr>
          </w:p>
        </w:tc>
        <w:tc>
          <w:tcPr>
            <w:cnfStyle w:val="000010000000" w:firstRow="0" w:lastRow="0" w:firstColumn="0" w:lastColumn="0" w:oddVBand="1" w:evenVBand="0" w:oddHBand="0" w:evenHBand="0" w:firstRowFirstColumn="0" w:firstRowLastColumn="0" w:lastRowFirstColumn="0" w:lastRowLastColumn="0"/>
            <w:tcW w:w="1111" w:type="pct"/>
          </w:tcPr>
          <w:p w:rsidR="006308E8" w:rsidRPr="002124D1" w:rsidRDefault="006308E8" w:rsidP="00121650">
            <w:pPr>
              <w:spacing w:line="276" w:lineRule="auto"/>
              <w:rPr>
                <w:rFonts w:asciiTheme="minorHAnsi" w:hAnsiTheme="minorHAnsi"/>
                <w:b/>
                <w:sz w:val="18"/>
                <w:szCs w:val="16"/>
                <w:lang w:val="sq-AL"/>
              </w:rPr>
            </w:pPr>
            <w:r w:rsidRPr="002124D1">
              <w:rPr>
                <w:rFonts w:asciiTheme="minorHAnsi" w:hAnsiTheme="minorHAnsi"/>
                <w:sz w:val="18"/>
                <w:szCs w:val="16"/>
                <w:lang w:val="sq-AL"/>
              </w:rPr>
              <w:t>Financimi i huaj</w:t>
            </w:r>
          </w:p>
        </w:tc>
        <w:tc>
          <w:tcPr>
            <w:tcW w:w="602" w:type="pct"/>
          </w:tcPr>
          <w:p w:rsidR="006308E8" w:rsidRPr="002124D1" w:rsidRDefault="006308E8" w:rsidP="00121650">
            <w:pPr>
              <w:spacing w:line="276"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b/>
                <w:sz w:val="18"/>
                <w:szCs w:val="16"/>
                <w:lang w:val="sq-AL"/>
              </w:rPr>
            </w:pPr>
          </w:p>
        </w:tc>
        <w:tc>
          <w:tcPr>
            <w:cnfStyle w:val="000010000000" w:firstRow="0" w:lastRow="0" w:firstColumn="0" w:lastColumn="0" w:oddVBand="1" w:evenVBand="0" w:oddHBand="0" w:evenHBand="0" w:firstRowFirstColumn="0" w:firstRowLastColumn="0" w:lastRowFirstColumn="0" w:lastRowLastColumn="0"/>
            <w:tcW w:w="771" w:type="pct"/>
          </w:tcPr>
          <w:p w:rsidR="006308E8" w:rsidRPr="002124D1" w:rsidRDefault="006308E8" w:rsidP="00121650">
            <w:pPr>
              <w:spacing w:line="276" w:lineRule="auto"/>
              <w:jc w:val="center"/>
              <w:rPr>
                <w:rFonts w:asciiTheme="minorHAnsi" w:hAnsiTheme="minorHAnsi"/>
                <w:sz w:val="18"/>
                <w:szCs w:val="16"/>
                <w:lang w:val="sq-AL"/>
              </w:rPr>
            </w:pPr>
            <w:r w:rsidRPr="002124D1">
              <w:rPr>
                <w:rFonts w:asciiTheme="minorHAnsi" w:hAnsiTheme="minorHAnsi"/>
                <w:sz w:val="18"/>
                <w:szCs w:val="16"/>
                <w:lang w:val="sq-AL"/>
              </w:rPr>
              <w:t>50,000</w:t>
            </w:r>
          </w:p>
        </w:tc>
        <w:tc>
          <w:tcPr>
            <w:tcW w:w="646" w:type="pct"/>
          </w:tcPr>
          <w:p w:rsidR="006308E8" w:rsidRPr="002124D1" w:rsidRDefault="006308E8" w:rsidP="00121650">
            <w:pPr>
              <w:spacing w:line="276"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16"/>
                <w:lang w:val="sq-AL"/>
              </w:rPr>
            </w:pPr>
          </w:p>
        </w:tc>
        <w:tc>
          <w:tcPr>
            <w:cnfStyle w:val="000010000000" w:firstRow="0" w:lastRow="0" w:firstColumn="0" w:lastColumn="0" w:oddVBand="1" w:evenVBand="0" w:oddHBand="0" w:evenHBand="0" w:firstRowFirstColumn="0" w:firstRowLastColumn="0" w:lastRowFirstColumn="0" w:lastRowLastColumn="0"/>
            <w:tcW w:w="599" w:type="pct"/>
          </w:tcPr>
          <w:p w:rsidR="006308E8" w:rsidRPr="002124D1" w:rsidRDefault="006308E8" w:rsidP="00121650">
            <w:pPr>
              <w:spacing w:line="276" w:lineRule="auto"/>
              <w:jc w:val="center"/>
              <w:rPr>
                <w:rFonts w:asciiTheme="minorHAnsi" w:hAnsiTheme="minorHAnsi"/>
                <w:sz w:val="18"/>
                <w:szCs w:val="16"/>
                <w:lang w:val="sq-AL"/>
              </w:rPr>
            </w:pPr>
            <w:r w:rsidRPr="002124D1">
              <w:rPr>
                <w:rFonts w:asciiTheme="minorHAnsi" w:hAnsiTheme="minorHAnsi"/>
                <w:sz w:val="18"/>
                <w:szCs w:val="16"/>
                <w:lang w:val="sq-AL"/>
              </w:rPr>
              <w:t>24,702</w:t>
            </w:r>
          </w:p>
        </w:tc>
        <w:tc>
          <w:tcPr>
            <w:tcW w:w="489" w:type="pct"/>
          </w:tcPr>
          <w:p w:rsidR="006308E8" w:rsidRPr="002124D1" w:rsidRDefault="006308E8" w:rsidP="00121650">
            <w:pPr>
              <w:spacing w:line="276"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16"/>
                <w:lang w:val="sq-AL"/>
              </w:rPr>
            </w:pPr>
          </w:p>
        </w:tc>
        <w:tc>
          <w:tcPr>
            <w:cnfStyle w:val="000100000000" w:firstRow="0" w:lastRow="0" w:firstColumn="0" w:lastColumn="1" w:oddVBand="0" w:evenVBand="0" w:oddHBand="0" w:evenHBand="0" w:firstRowFirstColumn="0" w:firstRowLastColumn="0" w:lastRowFirstColumn="0" w:lastRowLastColumn="0"/>
            <w:tcW w:w="509" w:type="pct"/>
          </w:tcPr>
          <w:p w:rsidR="006308E8" w:rsidRPr="002124D1" w:rsidRDefault="006308E8" w:rsidP="00121650">
            <w:pPr>
              <w:spacing w:line="276" w:lineRule="auto"/>
              <w:jc w:val="center"/>
              <w:rPr>
                <w:rFonts w:asciiTheme="minorHAnsi" w:hAnsiTheme="minorHAnsi"/>
                <w:sz w:val="18"/>
                <w:szCs w:val="16"/>
                <w:lang w:val="sq-AL"/>
              </w:rPr>
            </w:pPr>
            <w:r w:rsidRPr="002124D1">
              <w:rPr>
                <w:rFonts w:asciiTheme="minorHAnsi" w:hAnsiTheme="minorHAnsi"/>
                <w:sz w:val="18"/>
                <w:szCs w:val="16"/>
                <w:lang w:val="sq-AL"/>
              </w:rPr>
              <w:t>49%</w:t>
            </w:r>
          </w:p>
        </w:tc>
      </w:tr>
      <w:tr w:rsidR="006308E8" w:rsidRPr="002124D1" w:rsidTr="00121650">
        <w:trPr>
          <w:trHeight w:val="125"/>
        </w:trPr>
        <w:tc>
          <w:tcPr>
            <w:cnfStyle w:val="001000000000" w:firstRow="0" w:lastRow="0" w:firstColumn="1" w:lastColumn="0" w:oddVBand="0" w:evenVBand="0" w:oddHBand="0" w:evenHBand="0" w:firstRowFirstColumn="0" w:firstRowLastColumn="0" w:lastRowFirstColumn="0" w:lastRowLastColumn="0"/>
            <w:tcW w:w="273" w:type="pct"/>
          </w:tcPr>
          <w:p w:rsidR="006308E8" w:rsidRPr="002124D1" w:rsidRDefault="006308E8" w:rsidP="00121650">
            <w:pPr>
              <w:spacing w:line="276" w:lineRule="auto"/>
              <w:jc w:val="center"/>
              <w:rPr>
                <w:rFonts w:asciiTheme="minorHAnsi" w:hAnsiTheme="minorHAnsi"/>
                <w:sz w:val="18"/>
                <w:szCs w:val="16"/>
                <w:lang w:val="sq-AL"/>
              </w:rPr>
            </w:pPr>
            <w:r w:rsidRPr="002124D1">
              <w:rPr>
                <w:rFonts w:asciiTheme="minorHAnsi" w:hAnsiTheme="minorHAnsi"/>
                <w:sz w:val="18"/>
                <w:szCs w:val="16"/>
                <w:lang w:val="sq-AL"/>
              </w:rPr>
              <w:t>3.</w:t>
            </w:r>
          </w:p>
        </w:tc>
        <w:tc>
          <w:tcPr>
            <w:cnfStyle w:val="000010000000" w:firstRow="0" w:lastRow="0" w:firstColumn="0" w:lastColumn="0" w:oddVBand="1" w:evenVBand="0" w:oddHBand="0" w:evenHBand="0" w:firstRowFirstColumn="0" w:firstRowLastColumn="0" w:lastRowFirstColumn="0" w:lastRowLastColumn="0"/>
            <w:tcW w:w="1111" w:type="pct"/>
          </w:tcPr>
          <w:p w:rsidR="006308E8" w:rsidRPr="002124D1" w:rsidRDefault="006308E8" w:rsidP="00121650">
            <w:pPr>
              <w:spacing w:line="276" w:lineRule="auto"/>
              <w:rPr>
                <w:rFonts w:asciiTheme="minorHAnsi" w:hAnsiTheme="minorHAnsi"/>
                <w:sz w:val="18"/>
                <w:szCs w:val="16"/>
                <w:lang w:val="sq-AL"/>
              </w:rPr>
            </w:pPr>
            <w:r w:rsidRPr="002124D1">
              <w:rPr>
                <w:rFonts w:asciiTheme="minorHAnsi" w:hAnsiTheme="minorHAnsi"/>
                <w:sz w:val="18"/>
                <w:szCs w:val="16"/>
                <w:lang w:val="sq-AL"/>
              </w:rPr>
              <w:t>Zhvillimi i Turizmit</w:t>
            </w:r>
          </w:p>
        </w:tc>
        <w:tc>
          <w:tcPr>
            <w:tcW w:w="602" w:type="pct"/>
          </w:tcPr>
          <w:p w:rsidR="006308E8" w:rsidRPr="002124D1" w:rsidRDefault="006308E8" w:rsidP="00121650">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16"/>
                <w:lang w:val="sq-AL"/>
              </w:rPr>
            </w:pPr>
            <w:r w:rsidRPr="002124D1">
              <w:rPr>
                <w:rFonts w:asciiTheme="minorHAnsi" w:hAnsiTheme="minorHAnsi"/>
                <w:sz w:val="18"/>
                <w:szCs w:val="16"/>
                <w:lang w:val="sq-AL"/>
              </w:rPr>
              <w:t>356,830</w:t>
            </w:r>
          </w:p>
        </w:tc>
        <w:tc>
          <w:tcPr>
            <w:cnfStyle w:val="000010000000" w:firstRow="0" w:lastRow="0" w:firstColumn="0" w:lastColumn="0" w:oddVBand="1" w:evenVBand="0" w:oddHBand="0" w:evenHBand="0" w:firstRowFirstColumn="0" w:firstRowLastColumn="0" w:lastRowFirstColumn="0" w:lastRowLastColumn="0"/>
            <w:tcW w:w="771" w:type="pct"/>
          </w:tcPr>
          <w:p w:rsidR="006308E8" w:rsidRPr="002124D1" w:rsidRDefault="006308E8" w:rsidP="00121650">
            <w:pPr>
              <w:spacing w:line="276" w:lineRule="auto"/>
              <w:jc w:val="center"/>
              <w:rPr>
                <w:rFonts w:asciiTheme="minorHAnsi" w:hAnsiTheme="minorHAnsi"/>
                <w:sz w:val="18"/>
                <w:szCs w:val="16"/>
                <w:lang w:val="sq-AL"/>
              </w:rPr>
            </w:pPr>
            <w:r w:rsidRPr="002124D1">
              <w:rPr>
                <w:rFonts w:asciiTheme="minorHAnsi" w:hAnsiTheme="minorHAnsi"/>
                <w:sz w:val="18"/>
                <w:szCs w:val="16"/>
                <w:lang w:val="sq-AL"/>
              </w:rPr>
              <w:t>265,500</w:t>
            </w:r>
          </w:p>
        </w:tc>
        <w:tc>
          <w:tcPr>
            <w:tcW w:w="646" w:type="pct"/>
          </w:tcPr>
          <w:p w:rsidR="006308E8" w:rsidRPr="002124D1" w:rsidRDefault="006308E8" w:rsidP="00121650">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16"/>
                <w:lang w:val="sq-AL"/>
              </w:rPr>
            </w:pPr>
            <w:r w:rsidRPr="002124D1">
              <w:rPr>
                <w:rFonts w:asciiTheme="minorHAnsi" w:hAnsiTheme="minorHAnsi"/>
                <w:sz w:val="18"/>
                <w:szCs w:val="16"/>
                <w:lang w:val="sq-AL"/>
              </w:rPr>
              <w:t>186,622</w:t>
            </w:r>
          </w:p>
        </w:tc>
        <w:tc>
          <w:tcPr>
            <w:cnfStyle w:val="000010000000" w:firstRow="0" w:lastRow="0" w:firstColumn="0" w:lastColumn="0" w:oddVBand="1" w:evenVBand="0" w:oddHBand="0" w:evenHBand="0" w:firstRowFirstColumn="0" w:firstRowLastColumn="0" w:lastRowFirstColumn="0" w:lastRowLastColumn="0"/>
            <w:tcW w:w="599" w:type="pct"/>
          </w:tcPr>
          <w:p w:rsidR="006308E8" w:rsidRPr="002124D1" w:rsidRDefault="006308E8" w:rsidP="00121650">
            <w:pPr>
              <w:spacing w:line="276" w:lineRule="auto"/>
              <w:jc w:val="center"/>
              <w:rPr>
                <w:rFonts w:asciiTheme="minorHAnsi" w:hAnsiTheme="minorHAnsi"/>
                <w:sz w:val="18"/>
                <w:szCs w:val="16"/>
                <w:lang w:val="sq-AL"/>
              </w:rPr>
            </w:pPr>
            <w:r w:rsidRPr="002124D1">
              <w:rPr>
                <w:rFonts w:asciiTheme="minorHAnsi" w:hAnsiTheme="minorHAnsi"/>
                <w:sz w:val="18"/>
                <w:szCs w:val="16"/>
                <w:lang w:val="sq-AL"/>
              </w:rPr>
              <w:t>28</w:t>
            </w:r>
          </w:p>
        </w:tc>
        <w:tc>
          <w:tcPr>
            <w:tcW w:w="489" w:type="pct"/>
          </w:tcPr>
          <w:p w:rsidR="006308E8" w:rsidRPr="002124D1" w:rsidRDefault="006308E8" w:rsidP="00121650">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b/>
                <w:sz w:val="18"/>
                <w:szCs w:val="16"/>
                <w:lang w:val="sq-AL"/>
              </w:rPr>
            </w:pPr>
            <w:r w:rsidRPr="002124D1">
              <w:rPr>
                <w:rFonts w:asciiTheme="minorHAnsi" w:hAnsiTheme="minorHAnsi"/>
                <w:b/>
                <w:sz w:val="18"/>
                <w:szCs w:val="16"/>
                <w:lang w:val="sq-AL"/>
              </w:rPr>
              <w:t>52%</w:t>
            </w:r>
          </w:p>
        </w:tc>
        <w:tc>
          <w:tcPr>
            <w:cnfStyle w:val="000100000000" w:firstRow="0" w:lastRow="0" w:firstColumn="0" w:lastColumn="1" w:oddVBand="0" w:evenVBand="0" w:oddHBand="0" w:evenHBand="0" w:firstRowFirstColumn="0" w:firstRowLastColumn="0" w:lastRowFirstColumn="0" w:lastRowLastColumn="0"/>
            <w:tcW w:w="509" w:type="pct"/>
          </w:tcPr>
          <w:p w:rsidR="006308E8" w:rsidRPr="002124D1" w:rsidRDefault="006308E8" w:rsidP="00121650">
            <w:pPr>
              <w:spacing w:line="276" w:lineRule="auto"/>
              <w:jc w:val="center"/>
              <w:rPr>
                <w:rFonts w:asciiTheme="minorHAnsi" w:hAnsiTheme="minorHAnsi"/>
                <w:sz w:val="18"/>
                <w:szCs w:val="16"/>
                <w:lang w:val="sq-AL"/>
              </w:rPr>
            </w:pPr>
            <w:r w:rsidRPr="002124D1">
              <w:rPr>
                <w:rFonts w:asciiTheme="minorHAnsi" w:hAnsiTheme="minorHAnsi"/>
                <w:sz w:val="18"/>
                <w:szCs w:val="16"/>
                <w:lang w:val="sq-AL"/>
              </w:rPr>
              <w:t>-</w:t>
            </w:r>
          </w:p>
        </w:tc>
      </w:tr>
      <w:tr w:rsidR="006308E8" w:rsidRPr="002124D1" w:rsidTr="00121650">
        <w:trPr>
          <w:cnfStyle w:val="010000000000" w:firstRow="0" w:lastRow="1" w:firstColumn="0" w:lastColumn="0" w:oddVBand="0" w:evenVBand="0" w:oddHBand="0" w:evenHBand="0" w:firstRowFirstColumn="0" w:firstRowLastColumn="0" w:lastRowFirstColumn="0" w:lastRowLastColumn="0"/>
          <w:trHeight w:val="125"/>
        </w:trPr>
        <w:tc>
          <w:tcPr>
            <w:cnfStyle w:val="001000000001" w:firstRow="0" w:lastRow="0" w:firstColumn="1" w:lastColumn="0" w:oddVBand="0" w:evenVBand="0" w:oddHBand="0" w:evenHBand="0" w:firstRowFirstColumn="0" w:firstRowLastColumn="0" w:lastRowFirstColumn="1" w:lastRowLastColumn="0"/>
            <w:tcW w:w="273" w:type="pct"/>
          </w:tcPr>
          <w:p w:rsidR="006308E8" w:rsidRPr="002124D1" w:rsidRDefault="006308E8" w:rsidP="00121650">
            <w:pPr>
              <w:spacing w:line="276" w:lineRule="auto"/>
              <w:jc w:val="center"/>
              <w:rPr>
                <w:rFonts w:asciiTheme="minorHAnsi" w:hAnsiTheme="minorHAnsi"/>
                <w:b w:val="0"/>
                <w:sz w:val="18"/>
                <w:szCs w:val="16"/>
                <w:lang w:val="sq-AL"/>
              </w:rPr>
            </w:pPr>
          </w:p>
        </w:tc>
        <w:tc>
          <w:tcPr>
            <w:cnfStyle w:val="000010000000" w:firstRow="0" w:lastRow="0" w:firstColumn="0" w:lastColumn="0" w:oddVBand="1" w:evenVBand="0" w:oddHBand="0" w:evenHBand="0" w:firstRowFirstColumn="0" w:firstRowLastColumn="0" w:lastRowFirstColumn="0" w:lastRowLastColumn="0"/>
            <w:tcW w:w="1111" w:type="pct"/>
          </w:tcPr>
          <w:p w:rsidR="006308E8" w:rsidRPr="002124D1" w:rsidRDefault="006308E8" w:rsidP="00121650">
            <w:pPr>
              <w:spacing w:line="276" w:lineRule="auto"/>
              <w:rPr>
                <w:rFonts w:asciiTheme="minorHAnsi" w:hAnsiTheme="minorHAnsi"/>
                <w:b w:val="0"/>
                <w:sz w:val="18"/>
                <w:szCs w:val="16"/>
                <w:lang w:val="sq-AL"/>
              </w:rPr>
            </w:pPr>
            <w:r w:rsidRPr="002124D1">
              <w:rPr>
                <w:rFonts w:asciiTheme="minorHAnsi" w:hAnsiTheme="minorHAnsi"/>
                <w:b w:val="0"/>
                <w:sz w:val="18"/>
                <w:szCs w:val="16"/>
                <w:lang w:val="sq-AL"/>
              </w:rPr>
              <w:t>Financimi i huaj</w:t>
            </w:r>
          </w:p>
        </w:tc>
        <w:tc>
          <w:tcPr>
            <w:tcW w:w="602" w:type="pct"/>
          </w:tcPr>
          <w:p w:rsidR="006308E8" w:rsidRPr="002124D1" w:rsidRDefault="006308E8" w:rsidP="00121650">
            <w:pPr>
              <w:spacing w:line="276" w:lineRule="auto"/>
              <w:jc w:val="center"/>
              <w:cnfStyle w:val="010000000000" w:firstRow="0" w:lastRow="1" w:firstColumn="0" w:lastColumn="0" w:oddVBand="0" w:evenVBand="0" w:oddHBand="0" w:evenHBand="0" w:firstRowFirstColumn="0" w:firstRowLastColumn="0" w:lastRowFirstColumn="0" w:lastRowLastColumn="0"/>
              <w:rPr>
                <w:rFonts w:asciiTheme="minorHAnsi" w:hAnsiTheme="minorHAnsi"/>
                <w:b w:val="0"/>
                <w:sz w:val="18"/>
                <w:szCs w:val="16"/>
                <w:lang w:val="sq-AL"/>
              </w:rPr>
            </w:pPr>
          </w:p>
        </w:tc>
        <w:tc>
          <w:tcPr>
            <w:cnfStyle w:val="000010000000" w:firstRow="0" w:lastRow="0" w:firstColumn="0" w:lastColumn="0" w:oddVBand="1" w:evenVBand="0" w:oddHBand="0" w:evenHBand="0" w:firstRowFirstColumn="0" w:firstRowLastColumn="0" w:lastRowFirstColumn="0" w:lastRowLastColumn="0"/>
            <w:tcW w:w="771" w:type="pct"/>
          </w:tcPr>
          <w:p w:rsidR="006308E8" w:rsidRPr="002124D1" w:rsidRDefault="006308E8" w:rsidP="00121650">
            <w:pPr>
              <w:spacing w:line="276" w:lineRule="auto"/>
              <w:jc w:val="center"/>
              <w:rPr>
                <w:rFonts w:asciiTheme="minorHAnsi" w:hAnsiTheme="minorHAnsi"/>
                <w:b w:val="0"/>
                <w:sz w:val="18"/>
                <w:szCs w:val="16"/>
                <w:lang w:val="sq-AL"/>
              </w:rPr>
            </w:pPr>
            <w:r w:rsidRPr="002124D1">
              <w:rPr>
                <w:rFonts w:asciiTheme="minorHAnsi" w:hAnsiTheme="minorHAnsi"/>
                <w:b w:val="0"/>
                <w:sz w:val="18"/>
                <w:szCs w:val="16"/>
                <w:lang w:val="sq-AL"/>
              </w:rPr>
              <w:t>50,000</w:t>
            </w:r>
          </w:p>
        </w:tc>
        <w:tc>
          <w:tcPr>
            <w:tcW w:w="646" w:type="pct"/>
          </w:tcPr>
          <w:p w:rsidR="006308E8" w:rsidRPr="002124D1" w:rsidRDefault="006308E8" w:rsidP="00121650">
            <w:pPr>
              <w:spacing w:line="276" w:lineRule="auto"/>
              <w:jc w:val="center"/>
              <w:cnfStyle w:val="010000000000" w:firstRow="0" w:lastRow="1" w:firstColumn="0" w:lastColumn="0" w:oddVBand="0" w:evenVBand="0" w:oddHBand="0" w:evenHBand="0" w:firstRowFirstColumn="0" w:firstRowLastColumn="0" w:lastRowFirstColumn="0" w:lastRowLastColumn="0"/>
              <w:rPr>
                <w:rFonts w:asciiTheme="minorHAnsi" w:hAnsiTheme="minorHAnsi"/>
                <w:sz w:val="18"/>
                <w:szCs w:val="16"/>
                <w:lang w:val="sq-AL"/>
              </w:rPr>
            </w:pPr>
          </w:p>
        </w:tc>
        <w:tc>
          <w:tcPr>
            <w:cnfStyle w:val="000010000000" w:firstRow="0" w:lastRow="0" w:firstColumn="0" w:lastColumn="0" w:oddVBand="1" w:evenVBand="0" w:oddHBand="0" w:evenHBand="0" w:firstRowFirstColumn="0" w:firstRowLastColumn="0" w:lastRowFirstColumn="0" w:lastRowLastColumn="0"/>
            <w:tcW w:w="599" w:type="pct"/>
          </w:tcPr>
          <w:p w:rsidR="006308E8" w:rsidRPr="002124D1" w:rsidRDefault="006308E8" w:rsidP="00121650">
            <w:pPr>
              <w:spacing w:line="276" w:lineRule="auto"/>
              <w:jc w:val="center"/>
              <w:rPr>
                <w:rFonts w:asciiTheme="minorHAnsi" w:hAnsiTheme="minorHAnsi"/>
                <w:sz w:val="18"/>
                <w:szCs w:val="16"/>
                <w:lang w:val="sq-AL"/>
              </w:rPr>
            </w:pPr>
            <w:r w:rsidRPr="002124D1">
              <w:rPr>
                <w:rFonts w:asciiTheme="minorHAnsi" w:hAnsiTheme="minorHAnsi"/>
                <w:sz w:val="18"/>
                <w:szCs w:val="16"/>
                <w:lang w:val="sq-AL"/>
              </w:rPr>
              <w:t>-</w:t>
            </w:r>
          </w:p>
        </w:tc>
        <w:tc>
          <w:tcPr>
            <w:tcW w:w="489" w:type="pct"/>
          </w:tcPr>
          <w:p w:rsidR="006308E8" w:rsidRPr="002124D1" w:rsidRDefault="006308E8" w:rsidP="00121650">
            <w:pPr>
              <w:spacing w:line="276" w:lineRule="auto"/>
              <w:cnfStyle w:val="010000000000" w:firstRow="0" w:lastRow="1" w:firstColumn="0" w:lastColumn="0" w:oddVBand="0" w:evenVBand="0" w:oddHBand="0" w:evenHBand="0" w:firstRowFirstColumn="0" w:firstRowLastColumn="0" w:lastRowFirstColumn="0" w:lastRowLastColumn="0"/>
              <w:rPr>
                <w:rFonts w:asciiTheme="minorHAnsi" w:hAnsiTheme="minorHAnsi"/>
                <w:sz w:val="18"/>
                <w:szCs w:val="16"/>
                <w:lang w:val="sq-AL"/>
              </w:rPr>
            </w:pPr>
          </w:p>
        </w:tc>
        <w:tc>
          <w:tcPr>
            <w:cnfStyle w:val="000100000010" w:firstRow="0" w:lastRow="0" w:firstColumn="0" w:lastColumn="1" w:oddVBand="0" w:evenVBand="0" w:oddHBand="0" w:evenHBand="0" w:firstRowFirstColumn="0" w:firstRowLastColumn="0" w:lastRowFirstColumn="0" w:lastRowLastColumn="1"/>
            <w:tcW w:w="509" w:type="pct"/>
          </w:tcPr>
          <w:p w:rsidR="006308E8" w:rsidRPr="002124D1" w:rsidRDefault="006308E8" w:rsidP="00121650">
            <w:pPr>
              <w:spacing w:line="276" w:lineRule="auto"/>
              <w:rPr>
                <w:rFonts w:asciiTheme="minorHAnsi" w:hAnsiTheme="minorHAnsi"/>
                <w:sz w:val="18"/>
                <w:szCs w:val="16"/>
                <w:lang w:val="sq-AL"/>
              </w:rPr>
            </w:pPr>
            <w:r w:rsidRPr="002124D1">
              <w:rPr>
                <w:rFonts w:asciiTheme="minorHAnsi" w:hAnsiTheme="minorHAnsi"/>
                <w:sz w:val="18"/>
                <w:szCs w:val="16"/>
                <w:lang w:val="sq-AL"/>
              </w:rPr>
              <w:t>-</w:t>
            </w:r>
          </w:p>
        </w:tc>
      </w:tr>
    </w:tbl>
    <w:p w:rsidR="006308E8" w:rsidRPr="00BB7F2F" w:rsidRDefault="006308E8" w:rsidP="006308E8">
      <w:pPr>
        <w:spacing w:before="240" w:after="120" w:line="276" w:lineRule="auto"/>
        <w:contextualSpacing/>
        <w:jc w:val="both"/>
        <w:rPr>
          <w:rFonts w:asciiTheme="minorHAnsi" w:eastAsia="MS Mincho" w:hAnsiTheme="minorHAnsi"/>
          <w:b/>
          <w:sz w:val="16"/>
          <w:szCs w:val="16"/>
          <w:lang w:val="sq-AL"/>
        </w:rPr>
      </w:pPr>
    </w:p>
    <w:p w:rsidR="006308E8" w:rsidRPr="00BB7F2F" w:rsidRDefault="006308E8" w:rsidP="002124D1">
      <w:pPr>
        <w:spacing w:line="276" w:lineRule="auto"/>
        <w:contextualSpacing/>
        <w:jc w:val="both"/>
        <w:rPr>
          <w:rFonts w:asciiTheme="minorHAnsi" w:eastAsia="MS Mincho" w:hAnsiTheme="minorHAnsi"/>
          <w:lang w:val="sq-AL"/>
        </w:rPr>
      </w:pPr>
      <w:r w:rsidRPr="00BB7F2F">
        <w:rPr>
          <w:rFonts w:asciiTheme="minorHAnsi" w:eastAsia="MS Mincho" w:hAnsiTheme="minorHAnsi"/>
          <w:b/>
          <w:lang w:val="sq-AL"/>
        </w:rPr>
        <w:t>Në programin “Mbrojtja e Mjedisit</w:t>
      </w:r>
      <w:r w:rsidRPr="00BB7F2F">
        <w:rPr>
          <w:rFonts w:asciiTheme="minorHAnsi" w:eastAsia="MS Mincho" w:hAnsiTheme="minorHAnsi"/>
          <w:lang w:val="sq-AL"/>
        </w:rPr>
        <w:t xml:space="preserve">” për 4 Mujorin e parë të vitit 2020, fondet janë realizuar në nivelin 26 % kundrejt fondeve vjetore te planifikuara. </w:t>
      </w:r>
    </w:p>
    <w:p w:rsidR="006308E8" w:rsidRPr="00BB7F2F" w:rsidRDefault="006308E8" w:rsidP="00503465">
      <w:pPr>
        <w:pStyle w:val="ListParagraph"/>
        <w:numPr>
          <w:ilvl w:val="0"/>
          <w:numId w:val="36"/>
        </w:numPr>
        <w:spacing w:after="120" w:line="276" w:lineRule="auto"/>
        <w:jc w:val="both"/>
        <w:rPr>
          <w:rFonts w:asciiTheme="minorHAnsi" w:eastAsia="MS Mincho" w:hAnsiTheme="minorHAnsi"/>
          <w:lang w:val="sq-AL"/>
        </w:rPr>
      </w:pPr>
      <w:r w:rsidRPr="00BB7F2F">
        <w:rPr>
          <w:rFonts w:asciiTheme="minorHAnsi" w:eastAsia="MS Mincho" w:hAnsiTheme="minorHAnsi"/>
          <w:lang w:val="sq-AL"/>
        </w:rPr>
        <w:t xml:space="preserve">Produkti </w:t>
      </w:r>
      <w:r w:rsidRPr="00BB7F2F">
        <w:rPr>
          <w:rFonts w:asciiTheme="minorHAnsi" w:eastAsia="MS Mincho" w:hAnsiTheme="minorHAnsi"/>
          <w:i/>
          <w:lang w:val="sq-AL"/>
        </w:rPr>
        <w:t>“Inspektime te kryera”,</w:t>
      </w:r>
      <w:r w:rsidRPr="00BB7F2F">
        <w:rPr>
          <w:rFonts w:asciiTheme="minorHAnsi" w:eastAsia="MS Mincho" w:hAnsiTheme="minorHAnsi"/>
          <w:lang w:val="sq-AL"/>
        </w:rPr>
        <w:t xml:space="preserve"> është realizuar në masën  71% përgjatë 4 mujorit, kundrejt fondeve të planifikuara për vitin 2020. </w:t>
      </w:r>
    </w:p>
    <w:p w:rsidR="006308E8" w:rsidRPr="00BB7F2F" w:rsidRDefault="006308E8" w:rsidP="00503465">
      <w:pPr>
        <w:pStyle w:val="ListParagraph"/>
        <w:numPr>
          <w:ilvl w:val="0"/>
          <w:numId w:val="36"/>
        </w:numPr>
        <w:spacing w:before="240" w:after="120" w:line="276" w:lineRule="auto"/>
        <w:jc w:val="both"/>
        <w:rPr>
          <w:rFonts w:asciiTheme="minorHAnsi" w:eastAsia="MS Mincho" w:hAnsiTheme="minorHAnsi"/>
          <w:lang w:val="sq-AL"/>
        </w:rPr>
      </w:pPr>
      <w:r w:rsidRPr="00BB7F2F">
        <w:rPr>
          <w:rFonts w:asciiTheme="minorHAnsi" w:eastAsia="MS Mincho" w:hAnsiTheme="minorHAnsi"/>
          <w:lang w:val="sq-AL"/>
        </w:rPr>
        <w:t xml:space="preserve">Produkti </w:t>
      </w:r>
      <w:r w:rsidRPr="00BB7F2F">
        <w:rPr>
          <w:rFonts w:asciiTheme="minorHAnsi" w:eastAsia="MS Mincho" w:hAnsiTheme="minorHAnsi"/>
          <w:i/>
          <w:lang w:val="sq-AL"/>
        </w:rPr>
        <w:t>“Raporte monitorimi”</w:t>
      </w:r>
      <w:r w:rsidRPr="00BB7F2F">
        <w:rPr>
          <w:rFonts w:asciiTheme="minorHAnsi" w:eastAsia="MS Mincho" w:hAnsiTheme="minorHAnsi"/>
          <w:lang w:val="sq-AL"/>
        </w:rPr>
        <w:t xml:space="preserve"> është realizuar në masën  11% përgjatë 4 mujorit, kundrejt fondeve të planifikuara për vitin 2020. </w:t>
      </w:r>
    </w:p>
    <w:p w:rsidR="006308E8" w:rsidRPr="00BB7F2F" w:rsidRDefault="006308E8" w:rsidP="00503465">
      <w:pPr>
        <w:pStyle w:val="ListParagraph"/>
        <w:numPr>
          <w:ilvl w:val="0"/>
          <w:numId w:val="36"/>
        </w:numPr>
        <w:spacing w:before="240" w:after="120" w:line="276" w:lineRule="auto"/>
        <w:jc w:val="both"/>
        <w:rPr>
          <w:rFonts w:asciiTheme="minorHAnsi" w:eastAsia="MS Mincho" w:hAnsiTheme="minorHAnsi"/>
          <w:lang w:val="sq-AL"/>
        </w:rPr>
      </w:pPr>
      <w:r w:rsidRPr="00BB7F2F">
        <w:rPr>
          <w:rFonts w:asciiTheme="minorHAnsi" w:eastAsia="MS Mincho" w:hAnsiTheme="minorHAnsi"/>
          <w:lang w:val="sq-AL"/>
        </w:rPr>
        <w:t xml:space="preserve">Produkti </w:t>
      </w:r>
      <w:r w:rsidRPr="00BB7F2F">
        <w:rPr>
          <w:rFonts w:asciiTheme="minorHAnsi" w:eastAsia="MS Mincho" w:hAnsiTheme="minorHAnsi"/>
          <w:i/>
          <w:lang w:val="sq-AL"/>
        </w:rPr>
        <w:t>“Dosje te  shqyrtuara per perftimin e lejeve te mjedisit”</w:t>
      </w:r>
      <w:r w:rsidRPr="00BB7F2F">
        <w:rPr>
          <w:rFonts w:asciiTheme="minorHAnsi" w:eastAsia="MS Mincho" w:hAnsiTheme="minorHAnsi"/>
          <w:lang w:val="sq-AL"/>
        </w:rPr>
        <w:t xml:space="preserve"> është realizuar në masën  15% përgjatë 4 mujorit, kundrejt fondeve të planifikuara për vitin 2020. </w:t>
      </w:r>
    </w:p>
    <w:p w:rsidR="006308E8" w:rsidRPr="00BB7F2F" w:rsidRDefault="006308E8" w:rsidP="002124D1">
      <w:pPr>
        <w:spacing w:line="276" w:lineRule="auto"/>
        <w:contextualSpacing/>
        <w:jc w:val="both"/>
        <w:rPr>
          <w:rFonts w:asciiTheme="minorHAnsi" w:eastAsia="MS Mincho" w:hAnsiTheme="minorHAnsi"/>
          <w:lang w:val="sq-AL"/>
        </w:rPr>
      </w:pPr>
      <w:r w:rsidRPr="00BB7F2F">
        <w:rPr>
          <w:rFonts w:asciiTheme="minorHAnsi" w:eastAsia="MS Mincho" w:hAnsiTheme="minorHAnsi"/>
          <w:b/>
          <w:lang w:val="sq-AL"/>
        </w:rPr>
        <w:t>Në programin “Administrimi i Pyjeve</w:t>
      </w:r>
      <w:r w:rsidRPr="00BB7F2F">
        <w:rPr>
          <w:rFonts w:asciiTheme="minorHAnsi" w:eastAsia="MS Mincho" w:hAnsiTheme="minorHAnsi"/>
          <w:lang w:val="sq-AL"/>
        </w:rPr>
        <w:t xml:space="preserve">” për 4 Mujorin e parë të vitit 2020, fondet janë realizuar në nivelin 29 % kundrejt fondeve vjetore te planifikuara. Produktet, të cilët kanë kontribuar në realizimin e qëllimit të programit paraqiten si vijon: </w:t>
      </w:r>
    </w:p>
    <w:p w:rsidR="006308E8" w:rsidRPr="00BB7F2F" w:rsidRDefault="006308E8" w:rsidP="00503465">
      <w:pPr>
        <w:pStyle w:val="ListParagraph"/>
        <w:numPr>
          <w:ilvl w:val="0"/>
          <w:numId w:val="37"/>
        </w:numPr>
        <w:spacing w:after="120" w:line="276" w:lineRule="auto"/>
        <w:jc w:val="both"/>
        <w:rPr>
          <w:rFonts w:asciiTheme="minorHAnsi" w:eastAsia="MS Mincho" w:hAnsiTheme="minorHAnsi"/>
          <w:lang w:val="sq-AL"/>
        </w:rPr>
      </w:pPr>
      <w:r w:rsidRPr="00BB7F2F">
        <w:rPr>
          <w:rFonts w:asciiTheme="minorHAnsi" w:eastAsia="MS Mincho" w:hAnsiTheme="minorHAnsi"/>
          <w:lang w:val="sq-AL"/>
        </w:rPr>
        <w:t xml:space="preserve">Produkti </w:t>
      </w:r>
      <w:r w:rsidRPr="00BB7F2F">
        <w:rPr>
          <w:rFonts w:asciiTheme="minorHAnsi" w:eastAsia="MS Mincho" w:hAnsiTheme="minorHAnsi"/>
          <w:i/>
          <w:lang w:val="sq-AL"/>
        </w:rPr>
        <w:t>“Raporte monitorimi në Zonat e Mbrojtura”,</w:t>
      </w:r>
      <w:r w:rsidRPr="00BB7F2F">
        <w:rPr>
          <w:rFonts w:asciiTheme="minorHAnsi" w:eastAsia="MS Mincho" w:hAnsiTheme="minorHAnsi"/>
          <w:lang w:val="sq-AL"/>
        </w:rPr>
        <w:t xml:space="preserve"> është realizuar në masën  18% përgjatë 4 mujorit, kundrejt fondeve të planifikuara për vitin 2020. </w:t>
      </w:r>
    </w:p>
    <w:p w:rsidR="006308E8" w:rsidRPr="00BB7F2F" w:rsidRDefault="006308E8" w:rsidP="00503465">
      <w:pPr>
        <w:pStyle w:val="ListParagraph"/>
        <w:numPr>
          <w:ilvl w:val="0"/>
          <w:numId w:val="37"/>
        </w:numPr>
        <w:spacing w:before="240" w:after="120" w:line="276" w:lineRule="auto"/>
        <w:jc w:val="both"/>
        <w:rPr>
          <w:rFonts w:asciiTheme="minorHAnsi" w:eastAsia="MS Mincho" w:hAnsiTheme="minorHAnsi"/>
          <w:lang w:val="sq-AL"/>
        </w:rPr>
      </w:pPr>
      <w:r w:rsidRPr="00BB7F2F">
        <w:rPr>
          <w:rFonts w:asciiTheme="minorHAnsi" w:eastAsia="MS Mincho" w:hAnsiTheme="minorHAnsi"/>
          <w:lang w:val="sq-AL"/>
        </w:rPr>
        <w:t xml:space="preserve">Produkti </w:t>
      </w:r>
      <w:r w:rsidRPr="00BB7F2F">
        <w:rPr>
          <w:rFonts w:asciiTheme="minorHAnsi" w:eastAsia="MS Mincho" w:hAnsiTheme="minorHAnsi"/>
          <w:i/>
          <w:lang w:val="sq-AL"/>
        </w:rPr>
        <w:t>“Objekte te administruara nga Agjencia Kombëtare e Zonave të Mbrojtura”</w:t>
      </w:r>
      <w:r w:rsidRPr="00BB7F2F">
        <w:rPr>
          <w:rFonts w:asciiTheme="minorHAnsi" w:eastAsia="MS Mincho" w:hAnsiTheme="minorHAnsi"/>
          <w:lang w:val="sq-AL"/>
        </w:rPr>
        <w:t xml:space="preserve"> është realizuar në masën  8% përgjatë 4 mujorit, kundrejt fondeve të planifikuara për vitin 2020. </w:t>
      </w:r>
    </w:p>
    <w:p w:rsidR="006308E8" w:rsidRPr="00BB7F2F" w:rsidRDefault="006308E8" w:rsidP="00503465">
      <w:pPr>
        <w:pStyle w:val="ListParagraph"/>
        <w:numPr>
          <w:ilvl w:val="0"/>
          <w:numId w:val="37"/>
        </w:numPr>
        <w:spacing w:before="240" w:after="120" w:line="276" w:lineRule="auto"/>
        <w:jc w:val="both"/>
        <w:rPr>
          <w:rFonts w:asciiTheme="minorHAnsi" w:eastAsia="MS Mincho" w:hAnsiTheme="minorHAnsi"/>
          <w:lang w:val="sq-AL"/>
        </w:rPr>
      </w:pPr>
      <w:r w:rsidRPr="00BB7F2F">
        <w:rPr>
          <w:rFonts w:asciiTheme="minorHAnsi" w:eastAsia="MS Mincho" w:hAnsiTheme="minorHAnsi"/>
          <w:lang w:val="sq-AL"/>
        </w:rPr>
        <w:t xml:space="preserve">Produkti </w:t>
      </w:r>
      <w:r w:rsidRPr="00BB7F2F">
        <w:rPr>
          <w:rFonts w:asciiTheme="minorHAnsi" w:eastAsia="MS Mincho" w:hAnsiTheme="minorHAnsi"/>
          <w:i/>
          <w:lang w:val="sq-AL"/>
        </w:rPr>
        <w:t>“Inspektime te kryera”</w:t>
      </w:r>
      <w:r w:rsidRPr="00BB7F2F">
        <w:rPr>
          <w:rFonts w:asciiTheme="minorHAnsi" w:eastAsia="MS Mincho" w:hAnsiTheme="minorHAnsi"/>
          <w:lang w:val="sq-AL"/>
        </w:rPr>
        <w:t xml:space="preserve"> është realizuar në masën  66% përgjatë 4 mujorit, kundrejt fondeve të planifikuara për vitin 2020. </w:t>
      </w:r>
    </w:p>
    <w:p w:rsidR="006308E8" w:rsidRPr="00BB7F2F" w:rsidRDefault="006308E8" w:rsidP="002124D1">
      <w:pPr>
        <w:spacing w:before="240" w:line="276" w:lineRule="auto"/>
        <w:contextualSpacing/>
        <w:jc w:val="both"/>
        <w:rPr>
          <w:rFonts w:asciiTheme="minorHAnsi" w:eastAsia="MS Mincho" w:hAnsiTheme="minorHAnsi"/>
          <w:lang w:val="sq-AL"/>
        </w:rPr>
      </w:pPr>
      <w:r w:rsidRPr="00BB7F2F">
        <w:rPr>
          <w:rFonts w:asciiTheme="minorHAnsi" w:eastAsia="MS Mincho" w:hAnsiTheme="minorHAnsi"/>
          <w:b/>
          <w:lang w:val="sq-AL"/>
        </w:rPr>
        <w:t>Në programin “Zhvillimi i Turizmit</w:t>
      </w:r>
      <w:r w:rsidRPr="00BB7F2F">
        <w:rPr>
          <w:rFonts w:asciiTheme="minorHAnsi" w:eastAsia="MS Mincho" w:hAnsiTheme="minorHAnsi"/>
          <w:lang w:val="sq-AL"/>
        </w:rPr>
        <w:t>” për 4 Mujorin e parë të vitit 2020, fondet janë realizuar në nivelin 52% kundrejt fondeve vjetore te planifikuara. Produktet të cilët kanë kontribuar në realizimin e objektivave të këtij programi paraqiten si vijon:</w:t>
      </w:r>
    </w:p>
    <w:p w:rsidR="006308E8" w:rsidRPr="00BB7F2F" w:rsidRDefault="006308E8" w:rsidP="00503465">
      <w:pPr>
        <w:pStyle w:val="ListParagraph"/>
        <w:numPr>
          <w:ilvl w:val="0"/>
          <w:numId w:val="38"/>
        </w:numPr>
        <w:spacing w:after="120" w:line="276" w:lineRule="auto"/>
        <w:jc w:val="both"/>
        <w:rPr>
          <w:rFonts w:asciiTheme="minorHAnsi" w:eastAsia="MS Mincho" w:hAnsiTheme="minorHAnsi"/>
          <w:lang w:val="sq-AL"/>
        </w:rPr>
      </w:pPr>
      <w:r w:rsidRPr="00BB7F2F">
        <w:rPr>
          <w:rFonts w:asciiTheme="minorHAnsi" w:eastAsia="MS Mincho" w:hAnsiTheme="minorHAnsi"/>
          <w:lang w:val="sq-AL"/>
        </w:rPr>
        <w:t xml:space="preserve">Produkti </w:t>
      </w:r>
      <w:r w:rsidRPr="00BB7F2F">
        <w:rPr>
          <w:rFonts w:asciiTheme="minorHAnsi" w:eastAsia="MS Mincho" w:hAnsiTheme="minorHAnsi"/>
          <w:i/>
          <w:lang w:val="sq-AL"/>
        </w:rPr>
        <w:t>“Monitorime të kryera përgjatë gjithë vijës bregdetare”,</w:t>
      </w:r>
      <w:r w:rsidRPr="00BB7F2F">
        <w:rPr>
          <w:rFonts w:asciiTheme="minorHAnsi" w:eastAsia="MS Mincho" w:hAnsiTheme="minorHAnsi"/>
          <w:lang w:val="sq-AL"/>
        </w:rPr>
        <w:t xml:space="preserve"> është realizuar në masën  68% përgjatë 4 mujorit, kundrejt fondeve të planifikuara për vitin 2020. </w:t>
      </w:r>
    </w:p>
    <w:p w:rsidR="002124D1" w:rsidRDefault="006308E8" w:rsidP="006308E8">
      <w:pPr>
        <w:pStyle w:val="ListParagraph"/>
        <w:numPr>
          <w:ilvl w:val="0"/>
          <w:numId w:val="38"/>
        </w:numPr>
        <w:spacing w:before="240" w:after="120" w:line="276" w:lineRule="auto"/>
        <w:jc w:val="both"/>
        <w:rPr>
          <w:rFonts w:asciiTheme="minorHAnsi" w:eastAsia="MS Mincho" w:hAnsiTheme="minorHAnsi"/>
          <w:lang w:val="sq-AL"/>
        </w:rPr>
      </w:pPr>
      <w:r w:rsidRPr="00BB7F2F">
        <w:rPr>
          <w:rFonts w:asciiTheme="minorHAnsi" w:eastAsia="MS Mincho" w:hAnsiTheme="minorHAnsi"/>
          <w:lang w:val="sq-AL"/>
        </w:rPr>
        <w:t xml:space="preserve">Produkti </w:t>
      </w:r>
      <w:r w:rsidRPr="00BB7F2F">
        <w:rPr>
          <w:rFonts w:asciiTheme="minorHAnsi" w:eastAsia="MS Mincho" w:hAnsiTheme="minorHAnsi"/>
          <w:i/>
          <w:lang w:val="sq-AL"/>
        </w:rPr>
        <w:t>“Turizëm i promovuar”</w:t>
      </w:r>
      <w:r w:rsidRPr="00BB7F2F">
        <w:rPr>
          <w:rFonts w:asciiTheme="minorHAnsi" w:eastAsia="MS Mincho" w:hAnsiTheme="minorHAnsi"/>
          <w:lang w:val="sq-AL"/>
        </w:rPr>
        <w:t xml:space="preserve"> është realizuar në masën  18% përgjatë 4 mujorit, kundrejt fondeve të planifikuara për vitin 2020. </w:t>
      </w:r>
    </w:p>
    <w:p w:rsidR="007030D4" w:rsidRDefault="007030D4" w:rsidP="007030D4">
      <w:pPr>
        <w:pStyle w:val="ListParagraph"/>
        <w:spacing w:before="240" w:after="120" w:line="276" w:lineRule="auto"/>
        <w:jc w:val="both"/>
        <w:rPr>
          <w:rFonts w:asciiTheme="minorHAnsi" w:eastAsia="MS Mincho" w:hAnsiTheme="minorHAnsi"/>
          <w:lang w:val="sq-AL"/>
        </w:rPr>
      </w:pPr>
    </w:p>
    <w:p w:rsidR="00AF49E0" w:rsidRDefault="00AF49E0" w:rsidP="007030D4">
      <w:pPr>
        <w:pStyle w:val="ListParagraph"/>
        <w:spacing w:before="240" w:after="120" w:line="276" w:lineRule="auto"/>
        <w:jc w:val="both"/>
        <w:rPr>
          <w:rFonts w:asciiTheme="minorHAnsi" w:eastAsia="MS Mincho" w:hAnsiTheme="minorHAnsi"/>
          <w:lang w:val="sq-AL"/>
        </w:rPr>
      </w:pPr>
    </w:p>
    <w:p w:rsidR="00AF49E0" w:rsidRDefault="00AF49E0" w:rsidP="007030D4">
      <w:pPr>
        <w:pStyle w:val="ListParagraph"/>
        <w:spacing w:before="240" w:after="120" w:line="276" w:lineRule="auto"/>
        <w:jc w:val="both"/>
        <w:rPr>
          <w:rFonts w:asciiTheme="minorHAnsi" w:eastAsia="MS Mincho" w:hAnsiTheme="minorHAnsi"/>
          <w:lang w:val="sq-AL"/>
        </w:rPr>
      </w:pPr>
    </w:p>
    <w:p w:rsidR="00AF49E0" w:rsidRPr="007030D4" w:rsidRDefault="00AF49E0" w:rsidP="007030D4">
      <w:pPr>
        <w:pStyle w:val="ListParagraph"/>
        <w:spacing w:before="240" w:after="120" w:line="276" w:lineRule="auto"/>
        <w:jc w:val="both"/>
        <w:rPr>
          <w:rFonts w:asciiTheme="minorHAnsi" w:eastAsia="MS Mincho" w:hAnsiTheme="minorHAnsi"/>
          <w:lang w:val="sq-AL"/>
        </w:rPr>
      </w:pPr>
    </w:p>
    <w:p w:rsidR="006308E8" w:rsidRPr="00BB7F2F" w:rsidRDefault="006308E8" w:rsidP="006308E8">
      <w:pPr>
        <w:spacing w:before="120" w:after="120" w:line="276" w:lineRule="auto"/>
        <w:jc w:val="both"/>
        <w:rPr>
          <w:rFonts w:asciiTheme="minorHAnsi" w:hAnsiTheme="minorHAnsi"/>
          <w:b/>
          <w:noProof/>
          <w:color w:val="0070C0"/>
          <w:lang w:val="sq-AL"/>
        </w:rPr>
      </w:pPr>
      <w:bookmarkStart w:id="171" w:name="_Toc10033302"/>
      <w:bookmarkStart w:id="172" w:name="_Toc10721438"/>
      <w:bookmarkStart w:id="173" w:name="_Toc11134230"/>
      <w:r w:rsidRPr="00BB7F2F">
        <w:rPr>
          <w:rFonts w:asciiTheme="minorHAnsi" w:hAnsiTheme="minorHAnsi"/>
          <w:b/>
          <w:noProof/>
          <w:color w:val="0070C0"/>
          <w:lang w:val="sq-AL"/>
        </w:rPr>
        <w:lastRenderedPageBreak/>
        <w:t>DREJTËSIA</w:t>
      </w:r>
      <w:bookmarkEnd w:id="171"/>
      <w:bookmarkEnd w:id="172"/>
      <w:bookmarkEnd w:id="173"/>
    </w:p>
    <w:p w:rsidR="006308E8" w:rsidRDefault="006308E8" w:rsidP="006308E8">
      <w:pPr>
        <w:spacing w:line="276" w:lineRule="auto"/>
        <w:jc w:val="both"/>
        <w:rPr>
          <w:rFonts w:asciiTheme="minorHAnsi" w:eastAsia="MS Mincho" w:hAnsiTheme="minorHAnsi"/>
          <w:color w:val="000000"/>
          <w:lang w:val="sq-AL"/>
        </w:rPr>
      </w:pPr>
      <w:r w:rsidRPr="00BB7F2F">
        <w:rPr>
          <w:rFonts w:asciiTheme="minorHAnsi" w:eastAsia="MS Mincho" w:hAnsiTheme="minorHAnsi"/>
          <w:color w:val="000000"/>
          <w:lang w:val="sq-AL"/>
        </w:rPr>
        <w:t>Performanca e treguesve buxhetorë për nëntë programet në Ministrinë Drejtësisë, paraqitet si mëposhtë:</w:t>
      </w:r>
    </w:p>
    <w:p w:rsidR="007030D4" w:rsidRDefault="00524EBF" w:rsidP="00AF49E0">
      <w:pPr>
        <w:pStyle w:val="Caption"/>
        <w:spacing w:after="0"/>
        <w:rPr>
          <w:rFonts w:asciiTheme="minorHAnsi" w:hAnsiTheme="minorHAnsi"/>
          <w:i/>
          <w:color w:val="000000"/>
          <w:sz w:val="22"/>
          <w:lang w:val="sq-AL"/>
        </w:rPr>
      </w:pPr>
      <w:bookmarkStart w:id="174" w:name="_Toc44404434"/>
      <w:r w:rsidRPr="00524EBF">
        <w:rPr>
          <w:rFonts w:asciiTheme="minorHAnsi" w:hAnsiTheme="minorHAnsi"/>
          <w:b w:val="0"/>
          <w:bCs w:val="0"/>
          <w:i/>
          <w:noProof/>
          <w:color w:val="auto"/>
          <w:sz w:val="24"/>
          <w:szCs w:val="24"/>
        </w:rPr>
        <w:t xml:space="preserve">Tabela </w:t>
      </w:r>
      <w:r w:rsidRPr="00524EBF">
        <w:rPr>
          <w:rFonts w:asciiTheme="minorHAnsi" w:hAnsiTheme="minorHAnsi"/>
          <w:b w:val="0"/>
          <w:bCs w:val="0"/>
          <w:i/>
          <w:noProof/>
          <w:color w:val="auto"/>
          <w:sz w:val="24"/>
          <w:szCs w:val="24"/>
        </w:rPr>
        <w:fldChar w:fldCharType="begin"/>
      </w:r>
      <w:r w:rsidRPr="00524EBF">
        <w:rPr>
          <w:rFonts w:asciiTheme="minorHAnsi" w:hAnsiTheme="minorHAnsi"/>
          <w:b w:val="0"/>
          <w:bCs w:val="0"/>
          <w:i/>
          <w:noProof/>
          <w:color w:val="auto"/>
          <w:sz w:val="24"/>
          <w:szCs w:val="24"/>
        </w:rPr>
        <w:instrText xml:space="preserve"> SEQ Tabela \* ARABIC </w:instrText>
      </w:r>
      <w:r w:rsidRPr="00524EBF">
        <w:rPr>
          <w:rFonts w:asciiTheme="minorHAnsi" w:hAnsiTheme="minorHAnsi"/>
          <w:b w:val="0"/>
          <w:bCs w:val="0"/>
          <w:i/>
          <w:noProof/>
          <w:color w:val="auto"/>
          <w:sz w:val="24"/>
          <w:szCs w:val="24"/>
        </w:rPr>
        <w:fldChar w:fldCharType="separate"/>
      </w:r>
      <w:r w:rsidR="00C342E2">
        <w:rPr>
          <w:rFonts w:asciiTheme="minorHAnsi" w:hAnsiTheme="minorHAnsi"/>
          <w:b w:val="0"/>
          <w:bCs w:val="0"/>
          <w:i/>
          <w:noProof/>
          <w:color w:val="auto"/>
          <w:sz w:val="24"/>
          <w:szCs w:val="24"/>
        </w:rPr>
        <w:t>33</w:t>
      </w:r>
      <w:r w:rsidRPr="00524EBF">
        <w:rPr>
          <w:rFonts w:asciiTheme="minorHAnsi" w:hAnsiTheme="minorHAnsi"/>
          <w:b w:val="0"/>
          <w:bCs w:val="0"/>
          <w:i/>
          <w:noProof/>
          <w:color w:val="auto"/>
          <w:sz w:val="24"/>
          <w:szCs w:val="24"/>
        </w:rPr>
        <w:fldChar w:fldCharType="end"/>
      </w:r>
      <w:r>
        <w:rPr>
          <w:rFonts w:asciiTheme="minorHAnsi" w:hAnsiTheme="minorHAnsi"/>
          <w:b w:val="0"/>
          <w:bCs w:val="0"/>
          <w:i/>
          <w:noProof/>
          <w:color w:val="auto"/>
          <w:sz w:val="24"/>
          <w:szCs w:val="24"/>
        </w:rPr>
        <w:t>:</w:t>
      </w:r>
      <w:r w:rsidRPr="00524EBF">
        <w:rPr>
          <w:rFonts w:asciiTheme="minorHAnsi" w:hAnsiTheme="minorHAnsi"/>
          <w:b w:val="0"/>
          <w:bCs w:val="0"/>
          <w:i/>
          <w:noProof/>
          <w:color w:val="auto"/>
          <w:sz w:val="24"/>
          <w:szCs w:val="24"/>
        </w:rPr>
        <w:t xml:space="preserve"> </w:t>
      </w:r>
      <w:r>
        <w:rPr>
          <w:rFonts w:asciiTheme="minorHAnsi" w:hAnsiTheme="minorHAnsi"/>
          <w:b w:val="0"/>
          <w:bCs w:val="0"/>
          <w:i/>
          <w:noProof/>
          <w:color w:val="auto"/>
          <w:sz w:val="24"/>
          <w:szCs w:val="24"/>
        </w:rPr>
        <w:t>D</w:t>
      </w:r>
      <w:r w:rsidRPr="00524EBF">
        <w:rPr>
          <w:rFonts w:asciiTheme="minorHAnsi" w:hAnsiTheme="minorHAnsi"/>
          <w:b w:val="0"/>
          <w:bCs w:val="0"/>
          <w:i/>
          <w:noProof/>
          <w:color w:val="auto"/>
          <w:sz w:val="24"/>
          <w:szCs w:val="24"/>
        </w:rPr>
        <w:t>rejtësia</w:t>
      </w:r>
      <w:bookmarkEnd w:id="174"/>
    </w:p>
    <w:p w:rsidR="006308E8" w:rsidRPr="002124D1" w:rsidRDefault="006308E8" w:rsidP="00AF49E0">
      <w:pPr>
        <w:ind w:left="2880" w:firstLine="720"/>
        <w:jc w:val="right"/>
        <w:rPr>
          <w:rFonts w:asciiTheme="minorHAnsi" w:hAnsiTheme="minorHAnsi"/>
          <w:i/>
          <w:color w:val="000000"/>
          <w:sz w:val="22"/>
          <w:lang w:val="sq-AL"/>
        </w:rPr>
      </w:pPr>
      <w:r w:rsidRPr="002124D1">
        <w:rPr>
          <w:rFonts w:asciiTheme="minorHAnsi" w:hAnsiTheme="minorHAnsi"/>
          <w:i/>
          <w:color w:val="000000"/>
          <w:sz w:val="22"/>
          <w:lang w:val="sq-AL"/>
        </w:rPr>
        <w:t>Në mijë lekë</w:t>
      </w:r>
    </w:p>
    <w:tbl>
      <w:tblPr>
        <w:tblStyle w:val="ListTable3-Accent522"/>
        <w:tblW w:w="10909" w:type="dxa"/>
        <w:jc w:val="center"/>
        <w:tblLook w:val="0000" w:firstRow="0" w:lastRow="0" w:firstColumn="0" w:lastColumn="0" w:noHBand="0" w:noVBand="0"/>
      </w:tblPr>
      <w:tblGrid>
        <w:gridCol w:w="505"/>
        <w:gridCol w:w="3538"/>
        <w:gridCol w:w="1273"/>
        <w:gridCol w:w="1297"/>
        <w:gridCol w:w="1172"/>
        <w:gridCol w:w="1136"/>
        <w:gridCol w:w="954"/>
        <w:gridCol w:w="1034"/>
      </w:tblGrid>
      <w:tr w:rsidR="006308E8" w:rsidRPr="002124D1" w:rsidTr="002124D1">
        <w:trPr>
          <w:cnfStyle w:val="000000100000" w:firstRow="0" w:lastRow="0" w:firstColumn="0" w:lastColumn="0" w:oddVBand="0" w:evenVBand="0" w:oddHBand="1" w:evenHBand="0" w:firstRowFirstColumn="0" w:firstRowLastColumn="0" w:lastRowFirstColumn="0" w:lastRowLastColumn="0"/>
          <w:trHeight w:val="144"/>
          <w:jc w:val="center"/>
        </w:trPr>
        <w:tc>
          <w:tcPr>
            <w:cnfStyle w:val="000010000000" w:firstRow="0" w:lastRow="0" w:firstColumn="0" w:lastColumn="0" w:oddVBand="1" w:evenVBand="0" w:oddHBand="0" w:evenHBand="0" w:firstRowFirstColumn="0" w:firstRowLastColumn="0" w:lastRowFirstColumn="0" w:lastRowLastColumn="0"/>
            <w:tcW w:w="505" w:type="dxa"/>
            <w:vMerge w:val="restart"/>
            <w:shd w:val="clear" w:color="auto" w:fill="B6DDE8" w:themeFill="accent5" w:themeFillTint="66"/>
          </w:tcPr>
          <w:p w:rsidR="006308E8" w:rsidRPr="002124D1" w:rsidRDefault="006308E8" w:rsidP="00AF49E0">
            <w:pPr>
              <w:jc w:val="both"/>
              <w:rPr>
                <w:rFonts w:asciiTheme="minorHAnsi" w:hAnsiTheme="minorHAnsi"/>
                <w:bCs/>
                <w:sz w:val="20"/>
                <w:lang w:val="sq-AL"/>
              </w:rPr>
            </w:pPr>
          </w:p>
          <w:p w:rsidR="006308E8" w:rsidRPr="002124D1" w:rsidRDefault="006308E8" w:rsidP="00AF49E0">
            <w:pPr>
              <w:jc w:val="both"/>
              <w:rPr>
                <w:rFonts w:asciiTheme="minorHAnsi" w:hAnsiTheme="minorHAnsi"/>
                <w:bCs/>
                <w:sz w:val="20"/>
                <w:lang w:val="sq-AL"/>
              </w:rPr>
            </w:pPr>
            <w:r w:rsidRPr="002124D1">
              <w:rPr>
                <w:rFonts w:asciiTheme="minorHAnsi" w:hAnsiTheme="minorHAnsi"/>
                <w:bCs/>
                <w:sz w:val="20"/>
                <w:lang w:val="sq-AL"/>
              </w:rPr>
              <w:t>NR</w:t>
            </w:r>
          </w:p>
        </w:tc>
        <w:tc>
          <w:tcPr>
            <w:tcW w:w="3538" w:type="dxa"/>
            <w:vMerge w:val="restart"/>
            <w:shd w:val="clear" w:color="auto" w:fill="B6DDE8" w:themeFill="accent5" w:themeFillTint="66"/>
          </w:tcPr>
          <w:p w:rsidR="006308E8" w:rsidRPr="002124D1" w:rsidRDefault="006308E8" w:rsidP="00AF49E0">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bCs/>
                <w:sz w:val="20"/>
                <w:szCs w:val="16"/>
                <w:lang w:val="sq-AL"/>
              </w:rPr>
            </w:pPr>
          </w:p>
          <w:p w:rsidR="006308E8" w:rsidRPr="002124D1" w:rsidRDefault="006308E8" w:rsidP="00AF49E0">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bCs/>
                <w:sz w:val="20"/>
                <w:szCs w:val="16"/>
                <w:lang w:val="sq-AL"/>
              </w:rPr>
            </w:pPr>
            <w:r w:rsidRPr="002124D1">
              <w:rPr>
                <w:rFonts w:asciiTheme="minorHAnsi" w:hAnsiTheme="minorHAnsi"/>
                <w:bCs/>
                <w:sz w:val="20"/>
                <w:szCs w:val="16"/>
                <w:lang w:val="sq-AL"/>
              </w:rPr>
              <w:t>Emërtimi i Programit</w:t>
            </w:r>
          </w:p>
        </w:tc>
        <w:tc>
          <w:tcPr>
            <w:cnfStyle w:val="000010000000" w:firstRow="0" w:lastRow="0" w:firstColumn="0" w:lastColumn="0" w:oddVBand="1" w:evenVBand="0" w:oddHBand="0" w:evenHBand="0" w:firstRowFirstColumn="0" w:firstRowLastColumn="0" w:lastRowFirstColumn="0" w:lastRowLastColumn="0"/>
            <w:tcW w:w="2570" w:type="dxa"/>
            <w:gridSpan w:val="2"/>
            <w:shd w:val="clear" w:color="auto" w:fill="B6DDE8" w:themeFill="accent5" w:themeFillTint="66"/>
          </w:tcPr>
          <w:p w:rsidR="006308E8" w:rsidRPr="002124D1" w:rsidRDefault="006308E8" w:rsidP="00AF49E0">
            <w:pPr>
              <w:jc w:val="center"/>
              <w:rPr>
                <w:rFonts w:asciiTheme="minorHAnsi" w:hAnsiTheme="minorHAnsi"/>
                <w:bCs/>
                <w:sz w:val="20"/>
                <w:szCs w:val="16"/>
                <w:lang w:val="sq-AL"/>
              </w:rPr>
            </w:pPr>
            <w:r w:rsidRPr="002124D1">
              <w:rPr>
                <w:rFonts w:asciiTheme="minorHAnsi" w:hAnsiTheme="minorHAnsi"/>
                <w:bCs/>
                <w:sz w:val="20"/>
                <w:szCs w:val="16"/>
                <w:lang w:val="sq-AL"/>
              </w:rPr>
              <w:t>Plani 2020</w:t>
            </w:r>
          </w:p>
        </w:tc>
        <w:tc>
          <w:tcPr>
            <w:tcW w:w="2308" w:type="dxa"/>
            <w:gridSpan w:val="2"/>
            <w:shd w:val="clear" w:color="auto" w:fill="B6DDE8" w:themeFill="accent5" w:themeFillTint="66"/>
          </w:tcPr>
          <w:p w:rsidR="006308E8" w:rsidRPr="002124D1" w:rsidRDefault="006308E8" w:rsidP="00AF49E0">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bCs/>
                <w:sz w:val="20"/>
                <w:szCs w:val="16"/>
                <w:lang w:val="sq-AL"/>
              </w:rPr>
            </w:pPr>
            <w:r w:rsidRPr="002124D1">
              <w:rPr>
                <w:rFonts w:asciiTheme="minorHAnsi" w:hAnsiTheme="minorHAnsi"/>
                <w:bCs/>
                <w:sz w:val="20"/>
                <w:szCs w:val="16"/>
                <w:lang w:val="sq-AL"/>
              </w:rPr>
              <w:t>Fakti 2020</w:t>
            </w:r>
          </w:p>
        </w:tc>
        <w:tc>
          <w:tcPr>
            <w:cnfStyle w:val="000010000000" w:firstRow="0" w:lastRow="0" w:firstColumn="0" w:lastColumn="0" w:oddVBand="1" w:evenVBand="0" w:oddHBand="0" w:evenHBand="0" w:firstRowFirstColumn="0" w:firstRowLastColumn="0" w:lastRowFirstColumn="0" w:lastRowLastColumn="0"/>
            <w:tcW w:w="1988" w:type="dxa"/>
            <w:gridSpan w:val="2"/>
            <w:shd w:val="clear" w:color="auto" w:fill="B6DDE8" w:themeFill="accent5" w:themeFillTint="66"/>
          </w:tcPr>
          <w:p w:rsidR="006308E8" w:rsidRPr="002124D1" w:rsidRDefault="006308E8" w:rsidP="00AF49E0">
            <w:pPr>
              <w:jc w:val="both"/>
              <w:rPr>
                <w:rFonts w:asciiTheme="minorHAnsi" w:hAnsiTheme="minorHAnsi"/>
                <w:bCs/>
                <w:sz w:val="20"/>
                <w:szCs w:val="16"/>
                <w:lang w:val="sq-AL"/>
              </w:rPr>
            </w:pPr>
            <w:r w:rsidRPr="002124D1">
              <w:rPr>
                <w:rFonts w:asciiTheme="minorHAnsi" w:hAnsiTheme="minorHAnsi"/>
                <w:bCs/>
                <w:sz w:val="20"/>
                <w:szCs w:val="16"/>
                <w:lang w:val="sq-AL"/>
              </w:rPr>
              <w:t>Përqindja  e realizimit</w:t>
            </w:r>
          </w:p>
        </w:tc>
      </w:tr>
      <w:tr w:rsidR="006308E8" w:rsidRPr="002124D1" w:rsidTr="002124D1">
        <w:trPr>
          <w:trHeight w:val="134"/>
          <w:jc w:val="center"/>
        </w:trPr>
        <w:tc>
          <w:tcPr>
            <w:cnfStyle w:val="000010000000" w:firstRow="0" w:lastRow="0" w:firstColumn="0" w:lastColumn="0" w:oddVBand="1" w:evenVBand="0" w:oddHBand="0" w:evenHBand="0" w:firstRowFirstColumn="0" w:firstRowLastColumn="0" w:lastRowFirstColumn="0" w:lastRowLastColumn="0"/>
            <w:tcW w:w="505" w:type="dxa"/>
            <w:vMerge/>
            <w:shd w:val="clear" w:color="auto" w:fill="B6DDE8" w:themeFill="accent5" w:themeFillTint="66"/>
          </w:tcPr>
          <w:p w:rsidR="006308E8" w:rsidRPr="002124D1" w:rsidRDefault="006308E8" w:rsidP="00AF49E0">
            <w:pPr>
              <w:jc w:val="both"/>
              <w:rPr>
                <w:rFonts w:asciiTheme="minorHAnsi" w:hAnsiTheme="minorHAnsi"/>
                <w:color w:val="FF0000"/>
                <w:sz w:val="20"/>
                <w:lang w:val="sq-AL"/>
              </w:rPr>
            </w:pPr>
          </w:p>
        </w:tc>
        <w:tc>
          <w:tcPr>
            <w:tcW w:w="3538" w:type="dxa"/>
            <w:vMerge/>
            <w:shd w:val="clear" w:color="auto" w:fill="B6DDE8" w:themeFill="accent5" w:themeFillTint="66"/>
          </w:tcPr>
          <w:p w:rsidR="006308E8" w:rsidRPr="002124D1" w:rsidRDefault="006308E8" w:rsidP="00AF49E0">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olor w:val="FF0000"/>
                <w:sz w:val="20"/>
                <w:szCs w:val="16"/>
                <w:lang w:val="sq-AL"/>
              </w:rPr>
            </w:pPr>
          </w:p>
        </w:tc>
        <w:tc>
          <w:tcPr>
            <w:cnfStyle w:val="000010000000" w:firstRow="0" w:lastRow="0" w:firstColumn="0" w:lastColumn="0" w:oddVBand="1" w:evenVBand="0" w:oddHBand="0" w:evenHBand="0" w:firstRowFirstColumn="0" w:firstRowLastColumn="0" w:lastRowFirstColumn="0" w:lastRowLastColumn="0"/>
            <w:tcW w:w="1273" w:type="dxa"/>
            <w:shd w:val="clear" w:color="auto" w:fill="B6DDE8" w:themeFill="accent5" w:themeFillTint="66"/>
          </w:tcPr>
          <w:p w:rsidR="006308E8" w:rsidRPr="002124D1" w:rsidRDefault="006308E8" w:rsidP="00AF49E0">
            <w:pPr>
              <w:jc w:val="both"/>
              <w:rPr>
                <w:rFonts w:asciiTheme="minorHAnsi" w:hAnsiTheme="minorHAnsi"/>
                <w:bCs/>
                <w:sz w:val="20"/>
                <w:szCs w:val="16"/>
                <w:lang w:val="sq-AL"/>
              </w:rPr>
            </w:pPr>
            <w:r w:rsidRPr="002124D1">
              <w:rPr>
                <w:rFonts w:asciiTheme="minorHAnsi" w:hAnsiTheme="minorHAnsi"/>
                <w:bCs/>
                <w:sz w:val="20"/>
                <w:szCs w:val="16"/>
                <w:lang w:val="sq-AL"/>
              </w:rPr>
              <w:t>Korrente</w:t>
            </w:r>
          </w:p>
        </w:tc>
        <w:tc>
          <w:tcPr>
            <w:tcW w:w="1297" w:type="dxa"/>
            <w:shd w:val="clear" w:color="auto" w:fill="B6DDE8" w:themeFill="accent5" w:themeFillTint="66"/>
          </w:tcPr>
          <w:p w:rsidR="006308E8" w:rsidRPr="002124D1" w:rsidRDefault="006308E8" w:rsidP="00AF49E0">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bCs/>
                <w:sz w:val="20"/>
                <w:szCs w:val="16"/>
                <w:lang w:val="sq-AL"/>
              </w:rPr>
            </w:pPr>
            <w:r w:rsidRPr="002124D1">
              <w:rPr>
                <w:rFonts w:asciiTheme="minorHAnsi" w:hAnsiTheme="minorHAnsi"/>
                <w:bCs/>
                <w:sz w:val="20"/>
                <w:szCs w:val="16"/>
                <w:lang w:val="sq-AL"/>
              </w:rPr>
              <w:t>Investime</w:t>
            </w:r>
          </w:p>
        </w:tc>
        <w:tc>
          <w:tcPr>
            <w:cnfStyle w:val="000010000000" w:firstRow="0" w:lastRow="0" w:firstColumn="0" w:lastColumn="0" w:oddVBand="1" w:evenVBand="0" w:oddHBand="0" w:evenHBand="0" w:firstRowFirstColumn="0" w:firstRowLastColumn="0" w:lastRowFirstColumn="0" w:lastRowLastColumn="0"/>
            <w:tcW w:w="1172" w:type="dxa"/>
            <w:shd w:val="clear" w:color="auto" w:fill="B6DDE8" w:themeFill="accent5" w:themeFillTint="66"/>
          </w:tcPr>
          <w:p w:rsidR="006308E8" w:rsidRPr="002124D1" w:rsidRDefault="006308E8" w:rsidP="00AF49E0">
            <w:pPr>
              <w:jc w:val="both"/>
              <w:rPr>
                <w:rFonts w:asciiTheme="minorHAnsi" w:hAnsiTheme="minorHAnsi"/>
                <w:bCs/>
                <w:sz w:val="20"/>
                <w:szCs w:val="16"/>
                <w:lang w:val="sq-AL"/>
              </w:rPr>
            </w:pPr>
            <w:r w:rsidRPr="002124D1">
              <w:rPr>
                <w:rFonts w:asciiTheme="minorHAnsi" w:hAnsiTheme="minorHAnsi"/>
                <w:bCs/>
                <w:sz w:val="20"/>
                <w:szCs w:val="16"/>
                <w:lang w:val="sq-AL"/>
              </w:rPr>
              <w:t>Korrente</w:t>
            </w:r>
          </w:p>
        </w:tc>
        <w:tc>
          <w:tcPr>
            <w:tcW w:w="1136" w:type="dxa"/>
            <w:shd w:val="clear" w:color="auto" w:fill="B6DDE8" w:themeFill="accent5" w:themeFillTint="66"/>
          </w:tcPr>
          <w:p w:rsidR="006308E8" w:rsidRPr="002124D1" w:rsidRDefault="006308E8" w:rsidP="00AF49E0">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bCs/>
                <w:sz w:val="20"/>
                <w:szCs w:val="16"/>
                <w:lang w:val="sq-AL"/>
              </w:rPr>
            </w:pPr>
            <w:r w:rsidRPr="002124D1">
              <w:rPr>
                <w:rFonts w:asciiTheme="minorHAnsi" w:hAnsiTheme="minorHAnsi"/>
                <w:bCs/>
                <w:sz w:val="20"/>
                <w:szCs w:val="16"/>
                <w:lang w:val="sq-AL"/>
              </w:rPr>
              <w:t>Investime</w:t>
            </w:r>
          </w:p>
        </w:tc>
        <w:tc>
          <w:tcPr>
            <w:cnfStyle w:val="000010000000" w:firstRow="0" w:lastRow="0" w:firstColumn="0" w:lastColumn="0" w:oddVBand="1" w:evenVBand="0" w:oddHBand="0" w:evenHBand="0" w:firstRowFirstColumn="0" w:firstRowLastColumn="0" w:lastRowFirstColumn="0" w:lastRowLastColumn="0"/>
            <w:tcW w:w="954" w:type="dxa"/>
            <w:shd w:val="clear" w:color="auto" w:fill="B6DDE8" w:themeFill="accent5" w:themeFillTint="66"/>
          </w:tcPr>
          <w:p w:rsidR="006308E8" w:rsidRPr="002124D1" w:rsidRDefault="006308E8" w:rsidP="00AF49E0">
            <w:pPr>
              <w:jc w:val="both"/>
              <w:rPr>
                <w:rFonts w:asciiTheme="minorHAnsi" w:hAnsiTheme="minorHAnsi"/>
                <w:bCs/>
                <w:sz w:val="20"/>
                <w:szCs w:val="16"/>
                <w:lang w:val="sq-AL"/>
              </w:rPr>
            </w:pPr>
            <w:r w:rsidRPr="002124D1">
              <w:rPr>
                <w:rFonts w:asciiTheme="minorHAnsi" w:hAnsiTheme="minorHAnsi"/>
                <w:bCs/>
                <w:sz w:val="20"/>
                <w:szCs w:val="16"/>
                <w:lang w:val="sq-AL"/>
              </w:rPr>
              <w:t>Korrente</w:t>
            </w:r>
          </w:p>
        </w:tc>
        <w:tc>
          <w:tcPr>
            <w:tcW w:w="1034" w:type="dxa"/>
            <w:shd w:val="clear" w:color="auto" w:fill="B6DDE8" w:themeFill="accent5" w:themeFillTint="66"/>
          </w:tcPr>
          <w:p w:rsidR="006308E8" w:rsidRPr="002124D1" w:rsidRDefault="006308E8" w:rsidP="00AF49E0">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bCs/>
                <w:sz w:val="20"/>
                <w:szCs w:val="16"/>
                <w:lang w:val="sq-AL"/>
              </w:rPr>
            </w:pPr>
            <w:r w:rsidRPr="002124D1">
              <w:rPr>
                <w:rFonts w:asciiTheme="minorHAnsi" w:hAnsiTheme="minorHAnsi"/>
                <w:bCs/>
                <w:sz w:val="20"/>
                <w:szCs w:val="16"/>
                <w:lang w:val="sq-AL"/>
              </w:rPr>
              <w:t>Investime</w:t>
            </w:r>
          </w:p>
        </w:tc>
      </w:tr>
      <w:tr w:rsidR="006308E8" w:rsidRPr="002124D1" w:rsidTr="002124D1">
        <w:trPr>
          <w:cnfStyle w:val="000000100000" w:firstRow="0" w:lastRow="0" w:firstColumn="0" w:lastColumn="0" w:oddVBand="0" w:evenVBand="0" w:oddHBand="1" w:evenHBand="0" w:firstRowFirstColumn="0" w:firstRowLastColumn="0" w:lastRowFirstColumn="0" w:lastRowLastColumn="0"/>
          <w:trHeight w:val="341"/>
          <w:jc w:val="center"/>
        </w:trPr>
        <w:tc>
          <w:tcPr>
            <w:cnfStyle w:val="000010000000" w:firstRow="0" w:lastRow="0" w:firstColumn="0" w:lastColumn="0" w:oddVBand="1" w:evenVBand="0" w:oddHBand="0" w:evenHBand="0" w:firstRowFirstColumn="0" w:firstRowLastColumn="0" w:lastRowFirstColumn="0" w:lastRowLastColumn="0"/>
            <w:tcW w:w="505" w:type="dxa"/>
          </w:tcPr>
          <w:p w:rsidR="006308E8" w:rsidRPr="002124D1" w:rsidRDefault="006308E8" w:rsidP="00AF49E0">
            <w:pPr>
              <w:jc w:val="both"/>
              <w:rPr>
                <w:rFonts w:asciiTheme="minorHAnsi" w:hAnsiTheme="minorHAnsi"/>
                <w:sz w:val="20"/>
                <w:lang w:val="sq-AL"/>
              </w:rPr>
            </w:pPr>
            <w:r w:rsidRPr="002124D1">
              <w:rPr>
                <w:rFonts w:asciiTheme="minorHAnsi" w:hAnsiTheme="minorHAnsi"/>
                <w:sz w:val="20"/>
                <w:lang w:val="sq-AL"/>
              </w:rPr>
              <w:t>1.</w:t>
            </w:r>
          </w:p>
        </w:tc>
        <w:tc>
          <w:tcPr>
            <w:tcW w:w="3538" w:type="dxa"/>
          </w:tcPr>
          <w:p w:rsidR="006308E8" w:rsidRPr="002124D1" w:rsidRDefault="006308E8" w:rsidP="00AF49E0">
            <w:pPr>
              <w:cnfStyle w:val="000000100000" w:firstRow="0" w:lastRow="0" w:firstColumn="0" w:lastColumn="0" w:oddVBand="0" w:evenVBand="0" w:oddHBand="1" w:evenHBand="0" w:firstRowFirstColumn="0" w:firstRowLastColumn="0" w:lastRowFirstColumn="0" w:lastRowLastColumn="0"/>
              <w:rPr>
                <w:rFonts w:asciiTheme="minorHAnsi" w:eastAsia="Cambria" w:hAnsiTheme="minorHAnsi"/>
                <w:sz w:val="20"/>
                <w:szCs w:val="16"/>
                <w:lang w:val="sq-AL"/>
              </w:rPr>
            </w:pPr>
            <w:r w:rsidRPr="002124D1">
              <w:rPr>
                <w:rFonts w:asciiTheme="minorHAnsi" w:eastAsia="Cambria" w:hAnsiTheme="minorHAnsi"/>
                <w:sz w:val="20"/>
                <w:szCs w:val="16"/>
                <w:lang w:val="sq-AL"/>
              </w:rPr>
              <w:t>Planifikimi, Menaxhimi dhe Administrimi</w:t>
            </w:r>
          </w:p>
        </w:tc>
        <w:tc>
          <w:tcPr>
            <w:cnfStyle w:val="000010000000" w:firstRow="0" w:lastRow="0" w:firstColumn="0" w:lastColumn="0" w:oddVBand="1" w:evenVBand="0" w:oddHBand="0" w:evenHBand="0" w:firstRowFirstColumn="0" w:firstRowLastColumn="0" w:lastRowFirstColumn="0" w:lastRowLastColumn="0"/>
            <w:tcW w:w="1273" w:type="dxa"/>
          </w:tcPr>
          <w:p w:rsidR="006308E8" w:rsidRPr="002124D1" w:rsidRDefault="006308E8" w:rsidP="00AF49E0">
            <w:pPr>
              <w:jc w:val="center"/>
              <w:rPr>
                <w:rFonts w:asciiTheme="minorHAnsi" w:hAnsiTheme="minorHAnsi"/>
                <w:sz w:val="20"/>
                <w:szCs w:val="16"/>
                <w:lang w:val="sq-AL"/>
              </w:rPr>
            </w:pPr>
            <w:r w:rsidRPr="002124D1">
              <w:rPr>
                <w:rFonts w:asciiTheme="minorHAnsi" w:hAnsiTheme="minorHAnsi"/>
                <w:sz w:val="20"/>
                <w:szCs w:val="16"/>
                <w:lang w:val="sq-AL"/>
              </w:rPr>
              <w:t>352,966</w:t>
            </w:r>
          </w:p>
        </w:tc>
        <w:tc>
          <w:tcPr>
            <w:tcW w:w="1297" w:type="dxa"/>
          </w:tcPr>
          <w:p w:rsidR="006308E8" w:rsidRPr="002124D1" w:rsidRDefault="006308E8" w:rsidP="00AF49E0">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sz w:val="20"/>
                <w:szCs w:val="16"/>
                <w:lang w:val="sq-AL"/>
              </w:rPr>
            </w:pPr>
            <w:r w:rsidRPr="002124D1">
              <w:rPr>
                <w:rFonts w:asciiTheme="minorHAnsi" w:hAnsiTheme="minorHAnsi"/>
                <w:sz w:val="20"/>
                <w:szCs w:val="16"/>
                <w:lang w:val="sq-AL"/>
              </w:rPr>
              <w:t>325,300</w:t>
            </w:r>
          </w:p>
        </w:tc>
        <w:tc>
          <w:tcPr>
            <w:cnfStyle w:val="000010000000" w:firstRow="0" w:lastRow="0" w:firstColumn="0" w:lastColumn="0" w:oddVBand="1" w:evenVBand="0" w:oddHBand="0" w:evenHBand="0" w:firstRowFirstColumn="0" w:firstRowLastColumn="0" w:lastRowFirstColumn="0" w:lastRowLastColumn="0"/>
            <w:tcW w:w="1172" w:type="dxa"/>
          </w:tcPr>
          <w:p w:rsidR="006308E8" w:rsidRPr="002124D1" w:rsidRDefault="006308E8" w:rsidP="00AF49E0">
            <w:pPr>
              <w:jc w:val="center"/>
              <w:rPr>
                <w:rFonts w:asciiTheme="minorHAnsi" w:hAnsiTheme="minorHAnsi"/>
                <w:sz w:val="20"/>
                <w:szCs w:val="16"/>
                <w:lang w:val="sq-AL"/>
              </w:rPr>
            </w:pPr>
            <w:r w:rsidRPr="002124D1">
              <w:rPr>
                <w:rFonts w:asciiTheme="minorHAnsi" w:hAnsiTheme="minorHAnsi"/>
                <w:sz w:val="20"/>
                <w:szCs w:val="16"/>
                <w:lang w:val="sq-AL"/>
              </w:rPr>
              <w:t>82,317</w:t>
            </w:r>
          </w:p>
        </w:tc>
        <w:tc>
          <w:tcPr>
            <w:tcW w:w="1136" w:type="dxa"/>
          </w:tcPr>
          <w:p w:rsidR="006308E8" w:rsidRPr="002124D1" w:rsidRDefault="006308E8" w:rsidP="00AF49E0">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sz w:val="20"/>
                <w:szCs w:val="16"/>
                <w:lang w:val="sq-AL"/>
              </w:rPr>
            </w:pPr>
            <w:r w:rsidRPr="002124D1">
              <w:rPr>
                <w:rFonts w:asciiTheme="minorHAnsi" w:hAnsiTheme="minorHAnsi"/>
                <w:sz w:val="20"/>
                <w:szCs w:val="16"/>
                <w:lang w:val="sq-AL"/>
              </w:rPr>
              <w:t>103,609</w:t>
            </w:r>
          </w:p>
        </w:tc>
        <w:tc>
          <w:tcPr>
            <w:cnfStyle w:val="000010000000" w:firstRow="0" w:lastRow="0" w:firstColumn="0" w:lastColumn="0" w:oddVBand="1" w:evenVBand="0" w:oddHBand="0" w:evenHBand="0" w:firstRowFirstColumn="0" w:firstRowLastColumn="0" w:lastRowFirstColumn="0" w:lastRowLastColumn="0"/>
            <w:tcW w:w="954" w:type="dxa"/>
          </w:tcPr>
          <w:p w:rsidR="006308E8" w:rsidRPr="002124D1" w:rsidRDefault="006308E8" w:rsidP="00AF49E0">
            <w:pPr>
              <w:jc w:val="center"/>
              <w:rPr>
                <w:rFonts w:asciiTheme="minorHAnsi" w:hAnsiTheme="minorHAnsi"/>
                <w:sz w:val="20"/>
                <w:szCs w:val="16"/>
                <w:lang w:val="sq-AL"/>
              </w:rPr>
            </w:pPr>
            <w:r w:rsidRPr="002124D1">
              <w:rPr>
                <w:rFonts w:asciiTheme="minorHAnsi" w:hAnsiTheme="minorHAnsi"/>
                <w:sz w:val="20"/>
                <w:szCs w:val="16"/>
                <w:lang w:val="sq-AL"/>
              </w:rPr>
              <w:t>23.3</w:t>
            </w:r>
          </w:p>
        </w:tc>
        <w:tc>
          <w:tcPr>
            <w:tcW w:w="1034" w:type="dxa"/>
          </w:tcPr>
          <w:p w:rsidR="006308E8" w:rsidRPr="002124D1" w:rsidRDefault="006308E8" w:rsidP="00AF49E0">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sz w:val="20"/>
                <w:szCs w:val="16"/>
                <w:lang w:val="sq-AL"/>
              </w:rPr>
            </w:pPr>
            <w:r w:rsidRPr="002124D1">
              <w:rPr>
                <w:rFonts w:asciiTheme="minorHAnsi" w:hAnsiTheme="minorHAnsi"/>
                <w:sz w:val="20"/>
                <w:szCs w:val="16"/>
                <w:lang w:val="sq-AL"/>
              </w:rPr>
              <w:t>31.9</w:t>
            </w:r>
          </w:p>
        </w:tc>
      </w:tr>
      <w:tr w:rsidR="006308E8" w:rsidRPr="002124D1" w:rsidTr="002124D1">
        <w:trPr>
          <w:trHeight w:val="254"/>
          <w:jc w:val="center"/>
        </w:trPr>
        <w:tc>
          <w:tcPr>
            <w:cnfStyle w:val="000010000000" w:firstRow="0" w:lastRow="0" w:firstColumn="0" w:lastColumn="0" w:oddVBand="1" w:evenVBand="0" w:oddHBand="0" w:evenHBand="0" w:firstRowFirstColumn="0" w:firstRowLastColumn="0" w:lastRowFirstColumn="0" w:lastRowLastColumn="0"/>
            <w:tcW w:w="505" w:type="dxa"/>
          </w:tcPr>
          <w:p w:rsidR="006308E8" w:rsidRPr="002124D1" w:rsidRDefault="006308E8" w:rsidP="00AF49E0">
            <w:pPr>
              <w:jc w:val="both"/>
              <w:rPr>
                <w:rFonts w:asciiTheme="minorHAnsi" w:hAnsiTheme="minorHAnsi"/>
                <w:sz w:val="20"/>
                <w:lang w:val="sq-AL"/>
              </w:rPr>
            </w:pPr>
            <w:r w:rsidRPr="002124D1">
              <w:rPr>
                <w:rFonts w:asciiTheme="minorHAnsi" w:hAnsiTheme="minorHAnsi"/>
                <w:sz w:val="20"/>
                <w:lang w:val="sq-AL"/>
              </w:rPr>
              <w:t>2.</w:t>
            </w:r>
          </w:p>
        </w:tc>
        <w:tc>
          <w:tcPr>
            <w:tcW w:w="3538" w:type="dxa"/>
          </w:tcPr>
          <w:p w:rsidR="006308E8" w:rsidRPr="002124D1" w:rsidRDefault="006308E8" w:rsidP="00AF49E0">
            <w:pPr>
              <w:cnfStyle w:val="000000000000" w:firstRow="0" w:lastRow="0" w:firstColumn="0" w:lastColumn="0" w:oddVBand="0" w:evenVBand="0" w:oddHBand="0" w:evenHBand="0" w:firstRowFirstColumn="0" w:firstRowLastColumn="0" w:lastRowFirstColumn="0" w:lastRowLastColumn="0"/>
              <w:rPr>
                <w:rFonts w:asciiTheme="minorHAnsi" w:eastAsia="Cambria" w:hAnsiTheme="minorHAnsi"/>
                <w:sz w:val="20"/>
                <w:szCs w:val="16"/>
                <w:lang w:val="sq-AL"/>
              </w:rPr>
            </w:pPr>
            <w:r w:rsidRPr="002124D1">
              <w:rPr>
                <w:rFonts w:asciiTheme="minorHAnsi" w:eastAsia="Cambria" w:hAnsiTheme="minorHAnsi"/>
                <w:sz w:val="20"/>
                <w:szCs w:val="16"/>
                <w:lang w:val="sq-AL"/>
              </w:rPr>
              <w:t>Publikimet Zyrtare</w:t>
            </w:r>
          </w:p>
        </w:tc>
        <w:tc>
          <w:tcPr>
            <w:cnfStyle w:val="000010000000" w:firstRow="0" w:lastRow="0" w:firstColumn="0" w:lastColumn="0" w:oddVBand="1" w:evenVBand="0" w:oddHBand="0" w:evenHBand="0" w:firstRowFirstColumn="0" w:firstRowLastColumn="0" w:lastRowFirstColumn="0" w:lastRowLastColumn="0"/>
            <w:tcW w:w="1273" w:type="dxa"/>
          </w:tcPr>
          <w:p w:rsidR="006308E8" w:rsidRPr="002124D1" w:rsidRDefault="006308E8" w:rsidP="00AF49E0">
            <w:pPr>
              <w:jc w:val="center"/>
              <w:rPr>
                <w:rFonts w:asciiTheme="minorHAnsi" w:hAnsiTheme="minorHAnsi"/>
                <w:sz w:val="20"/>
                <w:szCs w:val="16"/>
                <w:lang w:val="sq-AL"/>
              </w:rPr>
            </w:pPr>
            <w:r w:rsidRPr="002124D1">
              <w:rPr>
                <w:rFonts w:asciiTheme="minorHAnsi" w:hAnsiTheme="minorHAnsi"/>
                <w:sz w:val="20"/>
                <w:szCs w:val="16"/>
                <w:lang w:val="sq-AL"/>
              </w:rPr>
              <w:t>51,653</w:t>
            </w:r>
          </w:p>
        </w:tc>
        <w:tc>
          <w:tcPr>
            <w:tcW w:w="1297" w:type="dxa"/>
          </w:tcPr>
          <w:p w:rsidR="006308E8" w:rsidRPr="002124D1" w:rsidRDefault="006308E8" w:rsidP="00AF49E0">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16"/>
                <w:lang w:val="sq-AL"/>
              </w:rPr>
            </w:pPr>
            <w:r w:rsidRPr="002124D1">
              <w:rPr>
                <w:rFonts w:asciiTheme="minorHAnsi" w:hAnsiTheme="minorHAnsi"/>
                <w:sz w:val="20"/>
                <w:szCs w:val="16"/>
                <w:lang w:val="sq-AL"/>
              </w:rPr>
              <w:t>5,000</w:t>
            </w:r>
          </w:p>
        </w:tc>
        <w:tc>
          <w:tcPr>
            <w:cnfStyle w:val="000010000000" w:firstRow="0" w:lastRow="0" w:firstColumn="0" w:lastColumn="0" w:oddVBand="1" w:evenVBand="0" w:oddHBand="0" w:evenHBand="0" w:firstRowFirstColumn="0" w:firstRowLastColumn="0" w:lastRowFirstColumn="0" w:lastRowLastColumn="0"/>
            <w:tcW w:w="1172" w:type="dxa"/>
          </w:tcPr>
          <w:p w:rsidR="006308E8" w:rsidRPr="002124D1" w:rsidRDefault="006308E8" w:rsidP="00AF49E0">
            <w:pPr>
              <w:jc w:val="center"/>
              <w:rPr>
                <w:rFonts w:asciiTheme="minorHAnsi" w:hAnsiTheme="minorHAnsi"/>
                <w:sz w:val="20"/>
                <w:szCs w:val="16"/>
                <w:lang w:val="sq-AL"/>
              </w:rPr>
            </w:pPr>
            <w:r w:rsidRPr="002124D1">
              <w:rPr>
                <w:rFonts w:asciiTheme="minorHAnsi" w:hAnsiTheme="minorHAnsi"/>
                <w:sz w:val="20"/>
                <w:szCs w:val="16"/>
                <w:lang w:val="sq-AL"/>
              </w:rPr>
              <w:t>12,595</w:t>
            </w:r>
          </w:p>
        </w:tc>
        <w:tc>
          <w:tcPr>
            <w:tcW w:w="1136" w:type="dxa"/>
          </w:tcPr>
          <w:p w:rsidR="006308E8" w:rsidRPr="002124D1" w:rsidRDefault="006308E8" w:rsidP="00AF49E0">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16"/>
                <w:lang w:val="sq-AL"/>
              </w:rPr>
            </w:pPr>
            <w:r w:rsidRPr="002124D1">
              <w:rPr>
                <w:rFonts w:asciiTheme="minorHAnsi" w:hAnsiTheme="minorHAnsi"/>
                <w:sz w:val="20"/>
                <w:szCs w:val="16"/>
                <w:lang w:val="sq-AL"/>
              </w:rPr>
              <w:t>0</w:t>
            </w:r>
          </w:p>
        </w:tc>
        <w:tc>
          <w:tcPr>
            <w:cnfStyle w:val="000010000000" w:firstRow="0" w:lastRow="0" w:firstColumn="0" w:lastColumn="0" w:oddVBand="1" w:evenVBand="0" w:oddHBand="0" w:evenHBand="0" w:firstRowFirstColumn="0" w:firstRowLastColumn="0" w:lastRowFirstColumn="0" w:lastRowLastColumn="0"/>
            <w:tcW w:w="954" w:type="dxa"/>
          </w:tcPr>
          <w:p w:rsidR="006308E8" w:rsidRPr="002124D1" w:rsidRDefault="006308E8" w:rsidP="00AF49E0">
            <w:pPr>
              <w:jc w:val="center"/>
              <w:rPr>
                <w:rFonts w:asciiTheme="minorHAnsi" w:hAnsiTheme="minorHAnsi"/>
                <w:sz w:val="20"/>
                <w:szCs w:val="16"/>
                <w:lang w:val="sq-AL"/>
              </w:rPr>
            </w:pPr>
            <w:r w:rsidRPr="002124D1">
              <w:rPr>
                <w:rFonts w:asciiTheme="minorHAnsi" w:hAnsiTheme="minorHAnsi"/>
                <w:sz w:val="20"/>
                <w:szCs w:val="16"/>
                <w:lang w:val="sq-AL"/>
              </w:rPr>
              <w:t>24.4</w:t>
            </w:r>
          </w:p>
        </w:tc>
        <w:tc>
          <w:tcPr>
            <w:tcW w:w="1034" w:type="dxa"/>
          </w:tcPr>
          <w:p w:rsidR="006308E8" w:rsidRPr="002124D1" w:rsidRDefault="006308E8" w:rsidP="00AF49E0">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16"/>
                <w:lang w:val="sq-AL"/>
              </w:rPr>
            </w:pPr>
            <w:r w:rsidRPr="002124D1">
              <w:rPr>
                <w:rFonts w:asciiTheme="minorHAnsi" w:hAnsiTheme="minorHAnsi"/>
                <w:sz w:val="20"/>
                <w:szCs w:val="16"/>
                <w:lang w:val="sq-AL"/>
              </w:rPr>
              <w:t>0.0</w:t>
            </w:r>
          </w:p>
        </w:tc>
      </w:tr>
      <w:tr w:rsidR="006308E8" w:rsidRPr="002124D1" w:rsidTr="002124D1">
        <w:trPr>
          <w:cnfStyle w:val="000000100000" w:firstRow="0" w:lastRow="0" w:firstColumn="0" w:lastColumn="0" w:oddVBand="0" w:evenVBand="0" w:oddHBand="1" w:evenHBand="0" w:firstRowFirstColumn="0" w:firstRowLastColumn="0" w:lastRowFirstColumn="0" w:lastRowLastColumn="0"/>
          <w:trHeight w:val="254"/>
          <w:jc w:val="center"/>
        </w:trPr>
        <w:tc>
          <w:tcPr>
            <w:cnfStyle w:val="000010000000" w:firstRow="0" w:lastRow="0" w:firstColumn="0" w:lastColumn="0" w:oddVBand="1" w:evenVBand="0" w:oddHBand="0" w:evenHBand="0" w:firstRowFirstColumn="0" w:firstRowLastColumn="0" w:lastRowFirstColumn="0" w:lastRowLastColumn="0"/>
            <w:tcW w:w="505" w:type="dxa"/>
          </w:tcPr>
          <w:p w:rsidR="006308E8" w:rsidRPr="002124D1" w:rsidRDefault="006308E8" w:rsidP="00AF49E0">
            <w:pPr>
              <w:jc w:val="both"/>
              <w:rPr>
                <w:rFonts w:asciiTheme="minorHAnsi" w:hAnsiTheme="minorHAnsi"/>
                <w:sz w:val="20"/>
                <w:lang w:val="sq-AL"/>
              </w:rPr>
            </w:pPr>
            <w:r w:rsidRPr="002124D1">
              <w:rPr>
                <w:rFonts w:asciiTheme="minorHAnsi" w:hAnsiTheme="minorHAnsi"/>
                <w:sz w:val="20"/>
                <w:lang w:val="sq-AL"/>
              </w:rPr>
              <w:t>3.</w:t>
            </w:r>
          </w:p>
        </w:tc>
        <w:tc>
          <w:tcPr>
            <w:tcW w:w="3538" w:type="dxa"/>
          </w:tcPr>
          <w:p w:rsidR="006308E8" w:rsidRPr="002124D1" w:rsidRDefault="006308E8" w:rsidP="00AF49E0">
            <w:pPr>
              <w:cnfStyle w:val="000000100000" w:firstRow="0" w:lastRow="0" w:firstColumn="0" w:lastColumn="0" w:oddVBand="0" w:evenVBand="0" w:oddHBand="1" w:evenHBand="0" w:firstRowFirstColumn="0" w:firstRowLastColumn="0" w:lastRowFirstColumn="0" w:lastRowLastColumn="0"/>
              <w:rPr>
                <w:rFonts w:asciiTheme="minorHAnsi" w:eastAsia="Cambria" w:hAnsiTheme="minorHAnsi"/>
                <w:sz w:val="20"/>
                <w:szCs w:val="16"/>
                <w:lang w:val="sq-AL"/>
              </w:rPr>
            </w:pPr>
            <w:r w:rsidRPr="002124D1">
              <w:rPr>
                <w:rFonts w:asciiTheme="minorHAnsi" w:eastAsia="Cambria" w:hAnsiTheme="minorHAnsi"/>
                <w:sz w:val="20"/>
                <w:szCs w:val="16"/>
                <w:lang w:val="sq-AL"/>
              </w:rPr>
              <w:t>Mjekësia Ligjore</w:t>
            </w:r>
          </w:p>
        </w:tc>
        <w:tc>
          <w:tcPr>
            <w:cnfStyle w:val="000010000000" w:firstRow="0" w:lastRow="0" w:firstColumn="0" w:lastColumn="0" w:oddVBand="1" w:evenVBand="0" w:oddHBand="0" w:evenHBand="0" w:firstRowFirstColumn="0" w:firstRowLastColumn="0" w:lastRowFirstColumn="0" w:lastRowLastColumn="0"/>
            <w:tcW w:w="1273" w:type="dxa"/>
          </w:tcPr>
          <w:p w:rsidR="006308E8" w:rsidRPr="002124D1" w:rsidRDefault="006308E8" w:rsidP="00AF49E0">
            <w:pPr>
              <w:jc w:val="center"/>
              <w:rPr>
                <w:rFonts w:asciiTheme="minorHAnsi" w:hAnsiTheme="minorHAnsi"/>
                <w:sz w:val="20"/>
                <w:szCs w:val="16"/>
                <w:lang w:val="sq-AL"/>
              </w:rPr>
            </w:pPr>
            <w:r w:rsidRPr="002124D1">
              <w:rPr>
                <w:rFonts w:asciiTheme="minorHAnsi" w:hAnsiTheme="minorHAnsi"/>
                <w:sz w:val="20"/>
                <w:szCs w:val="16"/>
                <w:lang w:val="sq-AL"/>
              </w:rPr>
              <w:t>76,140</w:t>
            </w:r>
          </w:p>
        </w:tc>
        <w:tc>
          <w:tcPr>
            <w:tcW w:w="1297" w:type="dxa"/>
          </w:tcPr>
          <w:p w:rsidR="006308E8" w:rsidRPr="002124D1" w:rsidRDefault="006308E8" w:rsidP="00AF49E0">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sz w:val="20"/>
                <w:szCs w:val="16"/>
                <w:lang w:val="sq-AL"/>
              </w:rPr>
            </w:pPr>
            <w:r w:rsidRPr="002124D1">
              <w:rPr>
                <w:rFonts w:asciiTheme="minorHAnsi" w:hAnsiTheme="minorHAnsi"/>
                <w:sz w:val="20"/>
                <w:szCs w:val="16"/>
                <w:lang w:val="sq-AL"/>
              </w:rPr>
              <w:t>10,000</w:t>
            </w:r>
          </w:p>
        </w:tc>
        <w:tc>
          <w:tcPr>
            <w:cnfStyle w:val="000010000000" w:firstRow="0" w:lastRow="0" w:firstColumn="0" w:lastColumn="0" w:oddVBand="1" w:evenVBand="0" w:oddHBand="0" w:evenHBand="0" w:firstRowFirstColumn="0" w:firstRowLastColumn="0" w:lastRowFirstColumn="0" w:lastRowLastColumn="0"/>
            <w:tcW w:w="1172" w:type="dxa"/>
          </w:tcPr>
          <w:p w:rsidR="006308E8" w:rsidRPr="002124D1" w:rsidRDefault="006308E8" w:rsidP="00AF49E0">
            <w:pPr>
              <w:jc w:val="center"/>
              <w:rPr>
                <w:rFonts w:asciiTheme="minorHAnsi" w:hAnsiTheme="minorHAnsi"/>
                <w:sz w:val="20"/>
                <w:szCs w:val="16"/>
                <w:lang w:val="sq-AL"/>
              </w:rPr>
            </w:pPr>
            <w:r w:rsidRPr="002124D1">
              <w:rPr>
                <w:rFonts w:asciiTheme="minorHAnsi" w:hAnsiTheme="minorHAnsi"/>
                <w:sz w:val="20"/>
                <w:szCs w:val="16"/>
                <w:lang w:val="sq-AL"/>
              </w:rPr>
              <w:t>19,230</w:t>
            </w:r>
          </w:p>
        </w:tc>
        <w:tc>
          <w:tcPr>
            <w:tcW w:w="1136" w:type="dxa"/>
          </w:tcPr>
          <w:p w:rsidR="006308E8" w:rsidRPr="002124D1" w:rsidRDefault="006308E8" w:rsidP="00AF49E0">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sz w:val="20"/>
                <w:szCs w:val="16"/>
                <w:lang w:val="sq-AL"/>
              </w:rPr>
            </w:pPr>
            <w:r w:rsidRPr="002124D1">
              <w:rPr>
                <w:rFonts w:asciiTheme="minorHAnsi" w:hAnsiTheme="minorHAnsi"/>
                <w:sz w:val="20"/>
                <w:szCs w:val="16"/>
                <w:lang w:val="sq-AL"/>
              </w:rPr>
              <w:t>0</w:t>
            </w:r>
          </w:p>
        </w:tc>
        <w:tc>
          <w:tcPr>
            <w:cnfStyle w:val="000010000000" w:firstRow="0" w:lastRow="0" w:firstColumn="0" w:lastColumn="0" w:oddVBand="1" w:evenVBand="0" w:oddHBand="0" w:evenHBand="0" w:firstRowFirstColumn="0" w:firstRowLastColumn="0" w:lastRowFirstColumn="0" w:lastRowLastColumn="0"/>
            <w:tcW w:w="954" w:type="dxa"/>
          </w:tcPr>
          <w:p w:rsidR="006308E8" w:rsidRPr="002124D1" w:rsidRDefault="006308E8" w:rsidP="00AF49E0">
            <w:pPr>
              <w:jc w:val="center"/>
              <w:rPr>
                <w:rFonts w:asciiTheme="minorHAnsi" w:hAnsiTheme="minorHAnsi"/>
                <w:sz w:val="20"/>
                <w:szCs w:val="16"/>
                <w:lang w:val="sq-AL"/>
              </w:rPr>
            </w:pPr>
            <w:r w:rsidRPr="002124D1">
              <w:rPr>
                <w:rFonts w:asciiTheme="minorHAnsi" w:hAnsiTheme="minorHAnsi"/>
                <w:sz w:val="20"/>
                <w:szCs w:val="16"/>
                <w:lang w:val="sq-AL"/>
              </w:rPr>
              <w:t>25.3</w:t>
            </w:r>
          </w:p>
        </w:tc>
        <w:tc>
          <w:tcPr>
            <w:tcW w:w="1034" w:type="dxa"/>
          </w:tcPr>
          <w:p w:rsidR="006308E8" w:rsidRPr="002124D1" w:rsidRDefault="006308E8" w:rsidP="00AF49E0">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sz w:val="20"/>
                <w:szCs w:val="16"/>
                <w:lang w:val="sq-AL"/>
              </w:rPr>
            </w:pPr>
            <w:r w:rsidRPr="002124D1">
              <w:rPr>
                <w:rFonts w:asciiTheme="minorHAnsi" w:hAnsiTheme="minorHAnsi"/>
                <w:sz w:val="20"/>
                <w:szCs w:val="16"/>
                <w:lang w:val="sq-AL"/>
              </w:rPr>
              <w:t>0.0</w:t>
            </w:r>
          </w:p>
        </w:tc>
      </w:tr>
      <w:tr w:rsidR="006308E8" w:rsidRPr="002124D1" w:rsidTr="002124D1">
        <w:trPr>
          <w:trHeight w:val="254"/>
          <w:jc w:val="center"/>
        </w:trPr>
        <w:tc>
          <w:tcPr>
            <w:cnfStyle w:val="000010000000" w:firstRow="0" w:lastRow="0" w:firstColumn="0" w:lastColumn="0" w:oddVBand="1" w:evenVBand="0" w:oddHBand="0" w:evenHBand="0" w:firstRowFirstColumn="0" w:firstRowLastColumn="0" w:lastRowFirstColumn="0" w:lastRowLastColumn="0"/>
            <w:tcW w:w="505" w:type="dxa"/>
          </w:tcPr>
          <w:p w:rsidR="006308E8" w:rsidRPr="002124D1" w:rsidRDefault="006308E8" w:rsidP="00AF49E0">
            <w:pPr>
              <w:jc w:val="both"/>
              <w:rPr>
                <w:rFonts w:asciiTheme="minorHAnsi" w:hAnsiTheme="minorHAnsi"/>
                <w:sz w:val="20"/>
                <w:lang w:val="sq-AL"/>
              </w:rPr>
            </w:pPr>
            <w:r w:rsidRPr="002124D1">
              <w:rPr>
                <w:rFonts w:asciiTheme="minorHAnsi" w:hAnsiTheme="minorHAnsi"/>
                <w:sz w:val="20"/>
                <w:lang w:val="sq-AL"/>
              </w:rPr>
              <w:t>4.</w:t>
            </w:r>
          </w:p>
        </w:tc>
        <w:tc>
          <w:tcPr>
            <w:tcW w:w="3538" w:type="dxa"/>
          </w:tcPr>
          <w:p w:rsidR="006308E8" w:rsidRPr="002124D1" w:rsidRDefault="006308E8" w:rsidP="00AF49E0">
            <w:pPr>
              <w:cnfStyle w:val="000000000000" w:firstRow="0" w:lastRow="0" w:firstColumn="0" w:lastColumn="0" w:oddVBand="0" w:evenVBand="0" w:oddHBand="0" w:evenHBand="0" w:firstRowFirstColumn="0" w:firstRowLastColumn="0" w:lastRowFirstColumn="0" w:lastRowLastColumn="0"/>
              <w:rPr>
                <w:rFonts w:asciiTheme="minorHAnsi" w:eastAsia="Cambria" w:hAnsiTheme="minorHAnsi"/>
                <w:sz w:val="20"/>
                <w:szCs w:val="16"/>
                <w:lang w:val="sq-AL"/>
              </w:rPr>
            </w:pPr>
            <w:r w:rsidRPr="002124D1">
              <w:rPr>
                <w:rFonts w:asciiTheme="minorHAnsi" w:eastAsia="Cambria" w:hAnsiTheme="minorHAnsi"/>
                <w:sz w:val="20"/>
                <w:szCs w:val="16"/>
                <w:lang w:val="sq-AL"/>
              </w:rPr>
              <w:t>Shërbimi për Çështjet e Birësimit</w:t>
            </w:r>
          </w:p>
        </w:tc>
        <w:tc>
          <w:tcPr>
            <w:cnfStyle w:val="000010000000" w:firstRow="0" w:lastRow="0" w:firstColumn="0" w:lastColumn="0" w:oddVBand="1" w:evenVBand="0" w:oddHBand="0" w:evenHBand="0" w:firstRowFirstColumn="0" w:firstRowLastColumn="0" w:lastRowFirstColumn="0" w:lastRowLastColumn="0"/>
            <w:tcW w:w="1273" w:type="dxa"/>
          </w:tcPr>
          <w:p w:rsidR="006308E8" w:rsidRPr="002124D1" w:rsidRDefault="006308E8" w:rsidP="00AF49E0">
            <w:pPr>
              <w:jc w:val="center"/>
              <w:rPr>
                <w:rFonts w:asciiTheme="minorHAnsi" w:hAnsiTheme="minorHAnsi"/>
                <w:sz w:val="20"/>
                <w:szCs w:val="16"/>
                <w:lang w:val="sq-AL"/>
              </w:rPr>
            </w:pPr>
            <w:r w:rsidRPr="002124D1">
              <w:rPr>
                <w:rFonts w:asciiTheme="minorHAnsi" w:hAnsiTheme="minorHAnsi"/>
                <w:sz w:val="20"/>
                <w:szCs w:val="16"/>
                <w:lang w:val="sq-AL"/>
              </w:rPr>
              <w:t>14,450</w:t>
            </w:r>
          </w:p>
        </w:tc>
        <w:tc>
          <w:tcPr>
            <w:tcW w:w="1297" w:type="dxa"/>
          </w:tcPr>
          <w:p w:rsidR="006308E8" w:rsidRPr="002124D1" w:rsidRDefault="006308E8" w:rsidP="00AF49E0">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16"/>
                <w:lang w:val="sq-AL"/>
              </w:rPr>
            </w:pPr>
            <w:r w:rsidRPr="002124D1">
              <w:rPr>
                <w:rFonts w:asciiTheme="minorHAnsi" w:hAnsiTheme="minorHAnsi"/>
                <w:sz w:val="20"/>
                <w:szCs w:val="16"/>
                <w:lang w:val="sq-AL"/>
              </w:rPr>
              <w:t>2,000</w:t>
            </w:r>
          </w:p>
        </w:tc>
        <w:tc>
          <w:tcPr>
            <w:cnfStyle w:val="000010000000" w:firstRow="0" w:lastRow="0" w:firstColumn="0" w:lastColumn="0" w:oddVBand="1" w:evenVBand="0" w:oddHBand="0" w:evenHBand="0" w:firstRowFirstColumn="0" w:firstRowLastColumn="0" w:lastRowFirstColumn="0" w:lastRowLastColumn="0"/>
            <w:tcW w:w="1172" w:type="dxa"/>
          </w:tcPr>
          <w:p w:rsidR="006308E8" w:rsidRPr="002124D1" w:rsidRDefault="006308E8" w:rsidP="00AF49E0">
            <w:pPr>
              <w:jc w:val="center"/>
              <w:rPr>
                <w:rFonts w:asciiTheme="minorHAnsi" w:hAnsiTheme="minorHAnsi"/>
                <w:sz w:val="20"/>
                <w:szCs w:val="16"/>
                <w:lang w:val="sq-AL"/>
              </w:rPr>
            </w:pPr>
            <w:r w:rsidRPr="002124D1">
              <w:rPr>
                <w:rFonts w:asciiTheme="minorHAnsi" w:hAnsiTheme="minorHAnsi"/>
                <w:sz w:val="20"/>
                <w:szCs w:val="16"/>
                <w:lang w:val="sq-AL"/>
              </w:rPr>
              <w:t>2,301</w:t>
            </w:r>
          </w:p>
        </w:tc>
        <w:tc>
          <w:tcPr>
            <w:tcW w:w="1136" w:type="dxa"/>
          </w:tcPr>
          <w:p w:rsidR="006308E8" w:rsidRPr="002124D1" w:rsidRDefault="006308E8" w:rsidP="00AF49E0">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16"/>
                <w:lang w:val="sq-AL"/>
              </w:rPr>
            </w:pPr>
            <w:r w:rsidRPr="002124D1">
              <w:rPr>
                <w:rFonts w:asciiTheme="minorHAnsi" w:hAnsiTheme="minorHAnsi"/>
                <w:sz w:val="20"/>
                <w:szCs w:val="16"/>
                <w:lang w:val="sq-AL"/>
              </w:rPr>
              <w:t>0</w:t>
            </w:r>
          </w:p>
        </w:tc>
        <w:tc>
          <w:tcPr>
            <w:cnfStyle w:val="000010000000" w:firstRow="0" w:lastRow="0" w:firstColumn="0" w:lastColumn="0" w:oddVBand="1" w:evenVBand="0" w:oddHBand="0" w:evenHBand="0" w:firstRowFirstColumn="0" w:firstRowLastColumn="0" w:lastRowFirstColumn="0" w:lastRowLastColumn="0"/>
            <w:tcW w:w="954" w:type="dxa"/>
          </w:tcPr>
          <w:p w:rsidR="006308E8" w:rsidRPr="002124D1" w:rsidRDefault="006308E8" w:rsidP="00AF49E0">
            <w:pPr>
              <w:jc w:val="center"/>
              <w:rPr>
                <w:rFonts w:asciiTheme="minorHAnsi" w:hAnsiTheme="minorHAnsi"/>
                <w:sz w:val="20"/>
                <w:szCs w:val="16"/>
                <w:lang w:val="sq-AL"/>
              </w:rPr>
            </w:pPr>
            <w:r w:rsidRPr="002124D1">
              <w:rPr>
                <w:rFonts w:asciiTheme="minorHAnsi" w:hAnsiTheme="minorHAnsi"/>
                <w:sz w:val="20"/>
                <w:szCs w:val="16"/>
                <w:lang w:val="sq-AL"/>
              </w:rPr>
              <w:t>15.9</w:t>
            </w:r>
          </w:p>
        </w:tc>
        <w:tc>
          <w:tcPr>
            <w:tcW w:w="1034" w:type="dxa"/>
          </w:tcPr>
          <w:p w:rsidR="006308E8" w:rsidRPr="002124D1" w:rsidRDefault="006308E8" w:rsidP="00AF49E0">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16"/>
                <w:lang w:val="sq-AL"/>
              </w:rPr>
            </w:pPr>
            <w:r w:rsidRPr="002124D1">
              <w:rPr>
                <w:rFonts w:asciiTheme="minorHAnsi" w:hAnsiTheme="minorHAnsi"/>
                <w:sz w:val="20"/>
                <w:szCs w:val="16"/>
                <w:lang w:val="sq-AL"/>
              </w:rPr>
              <w:t>0.0</w:t>
            </w:r>
          </w:p>
        </w:tc>
      </w:tr>
      <w:tr w:rsidR="006308E8" w:rsidRPr="002124D1" w:rsidTr="002124D1">
        <w:trPr>
          <w:cnfStyle w:val="000000100000" w:firstRow="0" w:lastRow="0" w:firstColumn="0" w:lastColumn="0" w:oddVBand="0" w:evenVBand="0" w:oddHBand="1" w:evenHBand="0" w:firstRowFirstColumn="0" w:firstRowLastColumn="0" w:lastRowFirstColumn="0" w:lastRowLastColumn="0"/>
          <w:trHeight w:val="254"/>
          <w:jc w:val="center"/>
        </w:trPr>
        <w:tc>
          <w:tcPr>
            <w:cnfStyle w:val="000010000000" w:firstRow="0" w:lastRow="0" w:firstColumn="0" w:lastColumn="0" w:oddVBand="1" w:evenVBand="0" w:oddHBand="0" w:evenHBand="0" w:firstRowFirstColumn="0" w:firstRowLastColumn="0" w:lastRowFirstColumn="0" w:lastRowLastColumn="0"/>
            <w:tcW w:w="505" w:type="dxa"/>
          </w:tcPr>
          <w:p w:rsidR="006308E8" w:rsidRPr="002124D1" w:rsidRDefault="006308E8" w:rsidP="00AF49E0">
            <w:pPr>
              <w:jc w:val="both"/>
              <w:rPr>
                <w:rFonts w:asciiTheme="minorHAnsi" w:hAnsiTheme="minorHAnsi"/>
                <w:sz w:val="20"/>
                <w:lang w:val="sq-AL"/>
              </w:rPr>
            </w:pPr>
            <w:r w:rsidRPr="002124D1">
              <w:rPr>
                <w:rFonts w:asciiTheme="minorHAnsi" w:hAnsiTheme="minorHAnsi"/>
                <w:sz w:val="20"/>
                <w:lang w:val="sq-AL"/>
              </w:rPr>
              <w:t>5.</w:t>
            </w:r>
          </w:p>
        </w:tc>
        <w:tc>
          <w:tcPr>
            <w:tcW w:w="3538" w:type="dxa"/>
          </w:tcPr>
          <w:p w:rsidR="006308E8" w:rsidRPr="002124D1" w:rsidRDefault="006308E8" w:rsidP="00AF49E0">
            <w:pPr>
              <w:cnfStyle w:val="000000100000" w:firstRow="0" w:lastRow="0" w:firstColumn="0" w:lastColumn="0" w:oddVBand="0" w:evenVBand="0" w:oddHBand="1" w:evenHBand="0" w:firstRowFirstColumn="0" w:firstRowLastColumn="0" w:lastRowFirstColumn="0" w:lastRowLastColumn="0"/>
              <w:rPr>
                <w:rFonts w:asciiTheme="minorHAnsi" w:eastAsia="Cambria" w:hAnsiTheme="minorHAnsi"/>
                <w:sz w:val="20"/>
                <w:szCs w:val="16"/>
                <w:lang w:val="sq-AL"/>
              </w:rPr>
            </w:pPr>
            <w:r w:rsidRPr="002124D1">
              <w:rPr>
                <w:rFonts w:asciiTheme="minorHAnsi" w:eastAsia="Cambria" w:hAnsiTheme="minorHAnsi"/>
                <w:sz w:val="20"/>
                <w:szCs w:val="16"/>
                <w:lang w:val="sq-AL"/>
              </w:rPr>
              <w:t>Agjencia e trajtimit të pronave</w:t>
            </w:r>
          </w:p>
        </w:tc>
        <w:tc>
          <w:tcPr>
            <w:cnfStyle w:val="000010000000" w:firstRow="0" w:lastRow="0" w:firstColumn="0" w:lastColumn="0" w:oddVBand="1" w:evenVBand="0" w:oddHBand="0" w:evenHBand="0" w:firstRowFirstColumn="0" w:firstRowLastColumn="0" w:lastRowFirstColumn="0" w:lastRowLastColumn="0"/>
            <w:tcW w:w="1273" w:type="dxa"/>
          </w:tcPr>
          <w:p w:rsidR="006308E8" w:rsidRPr="002124D1" w:rsidRDefault="006308E8" w:rsidP="00AF49E0">
            <w:pPr>
              <w:jc w:val="center"/>
              <w:rPr>
                <w:rFonts w:asciiTheme="minorHAnsi" w:hAnsiTheme="minorHAnsi"/>
                <w:sz w:val="20"/>
                <w:szCs w:val="16"/>
                <w:lang w:val="sq-AL"/>
              </w:rPr>
            </w:pPr>
            <w:r w:rsidRPr="002124D1">
              <w:rPr>
                <w:rFonts w:asciiTheme="minorHAnsi" w:hAnsiTheme="minorHAnsi"/>
                <w:sz w:val="20"/>
                <w:szCs w:val="16"/>
                <w:lang w:val="sq-AL"/>
              </w:rPr>
              <w:t>3,736,496</w:t>
            </w:r>
          </w:p>
        </w:tc>
        <w:tc>
          <w:tcPr>
            <w:tcW w:w="1297" w:type="dxa"/>
          </w:tcPr>
          <w:p w:rsidR="006308E8" w:rsidRPr="002124D1" w:rsidRDefault="006308E8" w:rsidP="00AF49E0">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sz w:val="20"/>
                <w:szCs w:val="16"/>
                <w:lang w:val="sq-AL"/>
              </w:rPr>
            </w:pPr>
            <w:r w:rsidRPr="002124D1">
              <w:rPr>
                <w:rFonts w:asciiTheme="minorHAnsi" w:hAnsiTheme="minorHAnsi"/>
                <w:sz w:val="20"/>
                <w:szCs w:val="16"/>
                <w:lang w:val="sq-AL"/>
              </w:rPr>
              <w:t>1,000</w:t>
            </w:r>
          </w:p>
        </w:tc>
        <w:tc>
          <w:tcPr>
            <w:cnfStyle w:val="000010000000" w:firstRow="0" w:lastRow="0" w:firstColumn="0" w:lastColumn="0" w:oddVBand="1" w:evenVBand="0" w:oddHBand="0" w:evenHBand="0" w:firstRowFirstColumn="0" w:firstRowLastColumn="0" w:lastRowFirstColumn="0" w:lastRowLastColumn="0"/>
            <w:tcW w:w="1172" w:type="dxa"/>
          </w:tcPr>
          <w:p w:rsidR="006308E8" w:rsidRPr="002124D1" w:rsidRDefault="006308E8" w:rsidP="00AF49E0">
            <w:pPr>
              <w:jc w:val="center"/>
              <w:rPr>
                <w:rFonts w:asciiTheme="minorHAnsi" w:hAnsiTheme="minorHAnsi"/>
                <w:sz w:val="20"/>
                <w:szCs w:val="16"/>
                <w:lang w:val="sq-AL"/>
              </w:rPr>
            </w:pPr>
            <w:r w:rsidRPr="002124D1">
              <w:rPr>
                <w:rFonts w:asciiTheme="minorHAnsi" w:hAnsiTheme="minorHAnsi"/>
                <w:sz w:val="20"/>
                <w:szCs w:val="16"/>
                <w:lang w:val="sq-AL"/>
              </w:rPr>
              <w:t>54,840</w:t>
            </w:r>
          </w:p>
        </w:tc>
        <w:tc>
          <w:tcPr>
            <w:tcW w:w="1136" w:type="dxa"/>
          </w:tcPr>
          <w:p w:rsidR="006308E8" w:rsidRPr="002124D1" w:rsidRDefault="006308E8" w:rsidP="00AF49E0">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sz w:val="20"/>
                <w:szCs w:val="16"/>
                <w:lang w:val="sq-AL"/>
              </w:rPr>
            </w:pPr>
            <w:r w:rsidRPr="002124D1">
              <w:rPr>
                <w:rFonts w:asciiTheme="minorHAnsi" w:hAnsiTheme="minorHAnsi"/>
                <w:sz w:val="20"/>
                <w:szCs w:val="16"/>
                <w:lang w:val="sq-AL"/>
              </w:rPr>
              <w:t>0</w:t>
            </w:r>
          </w:p>
        </w:tc>
        <w:tc>
          <w:tcPr>
            <w:cnfStyle w:val="000010000000" w:firstRow="0" w:lastRow="0" w:firstColumn="0" w:lastColumn="0" w:oddVBand="1" w:evenVBand="0" w:oddHBand="0" w:evenHBand="0" w:firstRowFirstColumn="0" w:firstRowLastColumn="0" w:lastRowFirstColumn="0" w:lastRowLastColumn="0"/>
            <w:tcW w:w="954" w:type="dxa"/>
          </w:tcPr>
          <w:p w:rsidR="006308E8" w:rsidRPr="002124D1" w:rsidRDefault="006308E8" w:rsidP="00AF49E0">
            <w:pPr>
              <w:jc w:val="center"/>
              <w:rPr>
                <w:rFonts w:asciiTheme="minorHAnsi" w:hAnsiTheme="minorHAnsi"/>
                <w:sz w:val="20"/>
                <w:szCs w:val="16"/>
                <w:lang w:val="sq-AL"/>
              </w:rPr>
            </w:pPr>
            <w:r w:rsidRPr="002124D1">
              <w:rPr>
                <w:rFonts w:asciiTheme="minorHAnsi" w:hAnsiTheme="minorHAnsi"/>
                <w:sz w:val="20"/>
                <w:szCs w:val="16"/>
                <w:lang w:val="sq-AL"/>
              </w:rPr>
              <w:t>1.5</w:t>
            </w:r>
          </w:p>
        </w:tc>
        <w:tc>
          <w:tcPr>
            <w:tcW w:w="1034" w:type="dxa"/>
          </w:tcPr>
          <w:p w:rsidR="006308E8" w:rsidRPr="002124D1" w:rsidRDefault="006308E8" w:rsidP="00AF49E0">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sz w:val="20"/>
                <w:szCs w:val="16"/>
                <w:lang w:val="sq-AL"/>
              </w:rPr>
            </w:pPr>
            <w:r w:rsidRPr="002124D1">
              <w:rPr>
                <w:rFonts w:asciiTheme="minorHAnsi" w:hAnsiTheme="minorHAnsi"/>
                <w:sz w:val="20"/>
                <w:szCs w:val="16"/>
                <w:lang w:val="sq-AL"/>
              </w:rPr>
              <w:t>0.0</w:t>
            </w:r>
          </w:p>
        </w:tc>
      </w:tr>
      <w:tr w:rsidR="006308E8" w:rsidRPr="002124D1" w:rsidTr="002124D1">
        <w:trPr>
          <w:trHeight w:val="254"/>
          <w:jc w:val="center"/>
        </w:trPr>
        <w:tc>
          <w:tcPr>
            <w:cnfStyle w:val="000010000000" w:firstRow="0" w:lastRow="0" w:firstColumn="0" w:lastColumn="0" w:oddVBand="1" w:evenVBand="0" w:oddHBand="0" w:evenHBand="0" w:firstRowFirstColumn="0" w:firstRowLastColumn="0" w:lastRowFirstColumn="0" w:lastRowLastColumn="0"/>
            <w:tcW w:w="505" w:type="dxa"/>
          </w:tcPr>
          <w:p w:rsidR="006308E8" w:rsidRPr="002124D1" w:rsidRDefault="006308E8" w:rsidP="00AF49E0">
            <w:pPr>
              <w:jc w:val="both"/>
              <w:rPr>
                <w:rFonts w:asciiTheme="minorHAnsi" w:hAnsiTheme="minorHAnsi"/>
                <w:sz w:val="20"/>
                <w:lang w:val="sq-AL"/>
              </w:rPr>
            </w:pPr>
            <w:r w:rsidRPr="002124D1">
              <w:rPr>
                <w:rFonts w:asciiTheme="minorHAnsi" w:hAnsiTheme="minorHAnsi"/>
                <w:sz w:val="20"/>
                <w:lang w:val="sq-AL"/>
              </w:rPr>
              <w:t>6.</w:t>
            </w:r>
          </w:p>
        </w:tc>
        <w:tc>
          <w:tcPr>
            <w:tcW w:w="3538" w:type="dxa"/>
          </w:tcPr>
          <w:p w:rsidR="006308E8" w:rsidRPr="002124D1" w:rsidRDefault="006308E8" w:rsidP="00AF49E0">
            <w:pPr>
              <w:cnfStyle w:val="000000000000" w:firstRow="0" w:lastRow="0" w:firstColumn="0" w:lastColumn="0" w:oddVBand="0" w:evenVBand="0" w:oddHBand="0" w:evenHBand="0" w:firstRowFirstColumn="0" w:firstRowLastColumn="0" w:lastRowFirstColumn="0" w:lastRowLastColumn="0"/>
              <w:rPr>
                <w:rFonts w:asciiTheme="minorHAnsi" w:eastAsia="Cambria" w:hAnsiTheme="minorHAnsi"/>
                <w:sz w:val="20"/>
                <w:szCs w:val="16"/>
                <w:lang w:val="sq-AL"/>
              </w:rPr>
            </w:pPr>
            <w:r w:rsidRPr="002124D1">
              <w:rPr>
                <w:rFonts w:asciiTheme="minorHAnsi" w:eastAsia="Cambria" w:hAnsiTheme="minorHAnsi"/>
                <w:sz w:val="20"/>
                <w:szCs w:val="16"/>
                <w:lang w:val="sq-AL"/>
              </w:rPr>
              <w:t>Ndihma juridike</w:t>
            </w:r>
          </w:p>
        </w:tc>
        <w:tc>
          <w:tcPr>
            <w:cnfStyle w:val="000010000000" w:firstRow="0" w:lastRow="0" w:firstColumn="0" w:lastColumn="0" w:oddVBand="1" w:evenVBand="0" w:oddHBand="0" w:evenHBand="0" w:firstRowFirstColumn="0" w:firstRowLastColumn="0" w:lastRowFirstColumn="0" w:lastRowLastColumn="0"/>
            <w:tcW w:w="1273" w:type="dxa"/>
          </w:tcPr>
          <w:p w:rsidR="006308E8" w:rsidRPr="002124D1" w:rsidRDefault="006308E8" w:rsidP="00AF49E0">
            <w:pPr>
              <w:jc w:val="center"/>
              <w:rPr>
                <w:rFonts w:asciiTheme="minorHAnsi" w:hAnsiTheme="minorHAnsi"/>
                <w:sz w:val="20"/>
                <w:szCs w:val="16"/>
                <w:lang w:val="sq-AL"/>
              </w:rPr>
            </w:pPr>
            <w:r w:rsidRPr="002124D1">
              <w:rPr>
                <w:rFonts w:asciiTheme="minorHAnsi" w:hAnsiTheme="minorHAnsi"/>
                <w:sz w:val="20"/>
                <w:szCs w:val="16"/>
                <w:lang w:val="sq-AL"/>
              </w:rPr>
              <w:t>51,800</w:t>
            </w:r>
          </w:p>
        </w:tc>
        <w:tc>
          <w:tcPr>
            <w:tcW w:w="1297" w:type="dxa"/>
          </w:tcPr>
          <w:p w:rsidR="006308E8" w:rsidRPr="002124D1" w:rsidRDefault="006308E8" w:rsidP="00AF49E0">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16"/>
                <w:lang w:val="sq-AL"/>
              </w:rPr>
            </w:pPr>
          </w:p>
        </w:tc>
        <w:tc>
          <w:tcPr>
            <w:cnfStyle w:val="000010000000" w:firstRow="0" w:lastRow="0" w:firstColumn="0" w:lastColumn="0" w:oddVBand="1" w:evenVBand="0" w:oddHBand="0" w:evenHBand="0" w:firstRowFirstColumn="0" w:firstRowLastColumn="0" w:lastRowFirstColumn="0" w:lastRowLastColumn="0"/>
            <w:tcW w:w="1172" w:type="dxa"/>
          </w:tcPr>
          <w:p w:rsidR="006308E8" w:rsidRPr="002124D1" w:rsidRDefault="006308E8" w:rsidP="00AF49E0">
            <w:pPr>
              <w:jc w:val="center"/>
              <w:rPr>
                <w:rFonts w:asciiTheme="minorHAnsi" w:hAnsiTheme="minorHAnsi"/>
                <w:sz w:val="20"/>
                <w:szCs w:val="16"/>
                <w:lang w:val="sq-AL"/>
              </w:rPr>
            </w:pPr>
            <w:r w:rsidRPr="002124D1">
              <w:rPr>
                <w:rFonts w:asciiTheme="minorHAnsi" w:hAnsiTheme="minorHAnsi"/>
                <w:sz w:val="20"/>
                <w:szCs w:val="16"/>
                <w:lang w:val="sq-AL"/>
              </w:rPr>
              <w:t>4,789</w:t>
            </w:r>
          </w:p>
        </w:tc>
        <w:tc>
          <w:tcPr>
            <w:tcW w:w="1136" w:type="dxa"/>
          </w:tcPr>
          <w:p w:rsidR="006308E8" w:rsidRPr="002124D1" w:rsidRDefault="006308E8" w:rsidP="00AF49E0">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16"/>
                <w:lang w:val="sq-AL"/>
              </w:rPr>
            </w:pPr>
          </w:p>
        </w:tc>
        <w:tc>
          <w:tcPr>
            <w:cnfStyle w:val="000010000000" w:firstRow="0" w:lastRow="0" w:firstColumn="0" w:lastColumn="0" w:oddVBand="1" w:evenVBand="0" w:oddHBand="0" w:evenHBand="0" w:firstRowFirstColumn="0" w:firstRowLastColumn="0" w:lastRowFirstColumn="0" w:lastRowLastColumn="0"/>
            <w:tcW w:w="954" w:type="dxa"/>
          </w:tcPr>
          <w:p w:rsidR="006308E8" w:rsidRPr="002124D1" w:rsidRDefault="006308E8" w:rsidP="00AF49E0">
            <w:pPr>
              <w:jc w:val="center"/>
              <w:rPr>
                <w:rFonts w:asciiTheme="minorHAnsi" w:hAnsiTheme="minorHAnsi"/>
                <w:sz w:val="20"/>
                <w:szCs w:val="16"/>
                <w:lang w:val="sq-AL"/>
              </w:rPr>
            </w:pPr>
            <w:r w:rsidRPr="002124D1">
              <w:rPr>
                <w:rFonts w:asciiTheme="minorHAnsi" w:hAnsiTheme="minorHAnsi"/>
                <w:sz w:val="20"/>
                <w:szCs w:val="16"/>
                <w:lang w:val="sq-AL"/>
              </w:rPr>
              <w:t>9.2</w:t>
            </w:r>
          </w:p>
        </w:tc>
        <w:tc>
          <w:tcPr>
            <w:tcW w:w="1034" w:type="dxa"/>
          </w:tcPr>
          <w:p w:rsidR="006308E8" w:rsidRPr="002124D1" w:rsidRDefault="006308E8" w:rsidP="00AF49E0">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16"/>
                <w:lang w:val="sq-AL"/>
              </w:rPr>
            </w:pPr>
          </w:p>
        </w:tc>
      </w:tr>
      <w:tr w:rsidR="006308E8" w:rsidRPr="002124D1" w:rsidTr="002124D1">
        <w:trPr>
          <w:cnfStyle w:val="000000100000" w:firstRow="0" w:lastRow="0" w:firstColumn="0" w:lastColumn="0" w:oddVBand="0" w:evenVBand="0" w:oddHBand="1" w:evenHBand="0" w:firstRowFirstColumn="0" w:firstRowLastColumn="0" w:lastRowFirstColumn="0" w:lastRowLastColumn="0"/>
          <w:trHeight w:val="254"/>
          <w:jc w:val="center"/>
        </w:trPr>
        <w:tc>
          <w:tcPr>
            <w:cnfStyle w:val="000010000000" w:firstRow="0" w:lastRow="0" w:firstColumn="0" w:lastColumn="0" w:oddVBand="1" w:evenVBand="0" w:oddHBand="0" w:evenHBand="0" w:firstRowFirstColumn="0" w:firstRowLastColumn="0" w:lastRowFirstColumn="0" w:lastRowLastColumn="0"/>
            <w:tcW w:w="505" w:type="dxa"/>
          </w:tcPr>
          <w:p w:rsidR="006308E8" w:rsidRPr="002124D1" w:rsidRDefault="006308E8" w:rsidP="00AF49E0">
            <w:pPr>
              <w:jc w:val="both"/>
              <w:rPr>
                <w:rFonts w:asciiTheme="minorHAnsi" w:hAnsiTheme="minorHAnsi"/>
                <w:sz w:val="20"/>
                <w:lang w:val="sq-AL"/>
              </w:rPr>
            </w:pPr>
            <w:r w:rsidRPr="002124D1">
              <w:rPr>
                <w:rFonts w:asciiTheme="minorHAnsi" w:hAnsiTheme="minorHAnsi"/>
                <w:sz w:val="20"/>
                <w:lang w:val="sq-AL"/>
              </w:rPr>
              <w:t>7.</w:t>
            </w:r>
          </w:p>
        </w:tc>
        <w:tc>
          <w:tcPr>
            <w:tcW w:w="3538" w:type="dxa"/>
          </w:tcPr>
          <w:p w:rsidR="006308E8" w:rsidRPr="002124D1" w:rsidRDefault="006308E8" w:rsidP="00AF49E0">
            <w:pPr>
              <w:cnfStyle w:val="000000100000" w:firstRow="0" w:lastRow="0" w:firstColumn="0" w:lastColumn="0" w:oddVBand="0" w:evenVBand="0" w:oddHBand="1" w:evenHBand="0" w:firstRowFirstColumn="0" w:firstRowLastColumn="0" w:lastRowFirstColumn="0" w:lastRowLastColumn="0"/>
              <w:rPr>
                <w:rFonts w:asciiTheme="minorHAnsi" w:eastAsia="Cambria" w:hAnsiTheme="minorHAnsi"/>
                <w:sz w:val="20"/>
                <w:szCs w:val="16"/>
                <w:lang w:val="sq-AL"/>
              </w:rPr>
            </w:pPr>
            <w:r w:rsidRPr="002124D1">
              <w:rPr>
                <w:rFonts w:asciiTheme="minorHAnsi" w:eastAsia="Cambria" w:hAnsiTheme="minorHAnsi"/>
                <w:sz w:val="20"/>
                <w:szCs w:val="16"/>
                <w:lang w:val="sq-AL"/>
              </w:rPr>
              <w:t>Shërbimi i Përmbarimit gjyqësor</w:t>
            </w:r>
          </w:p>
        </w:tc>
        <w:tc>
          <w:tcPr>
            <w:cnfStyle w:val="000010000000" w:firstRow="0" w:lastRow="0" w:firstColumn="0" w:lastColumn="0" w:oddVBand="1" w:evenVBand="0" w:oddHBand="0" w:evenHBand="0" w:firstRowFirstColumn="0" w:firstRowLastColumn="0" w:lastRowFirstColumn="0" w:lastRowLastColumn="0"/>
            <w:tcW w:w="1273" w:type="dxa"/>
          </w:tcPr>
          <w:p w:rsidR="006308E8" w:rsidRPr="002124D1" w:rsidRDefault="006308E8" w:rsidP="00AF49E0">
            <w:pPr>
              <w:jc w:val="center"/>
              <w:rPr>
                <w:rFonts w:asciiTheme="minorHAnsi" w:hAnsiTheme="minorHAnsi"/>
                <w:sz w:val="20"/>
                <w:szCs w:val="16"/>
                <w:lang w:val="sq-AL"/>
              </w:rPr>
            </w:pPr>
            <w:r w:rsidRPr="002124D1">
              <w:rPr>
                <w:rFonts w:asciiTheme="minorHAnsi" w:hAnsiTheme="minorHAnsi"/>
                <w:sz w:val="20"/>
                <w:szCs w:val="16"/>
                <w:lang w:val="sq-AL"/>
              </w:rPr>
              <w:t>146,550</w:t>
            </w:r>
          </w:p>
        </w:tc>
        <w:tc>
          <w:tcPr>
            <w:tcW w:w="1297" w:type="dxa"/>
          </w:tcPr>
          <w:p w:rsidR="006308E8" w:rsidRPr="002124D1" w:rsidRDefault="006308E8" w:rsidP="00AF49E0">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sz w:val="20"/>
                <w:szCs w:val="16"/>
                <w:lang w:val="sq-AL"/>
              </w:rPr>
            </w:pPr>
          </w:p>
        </w:tc>
        <w:tc>
          <w:tcPr>
            <w:cnfStyle w:val="000010000000" w:firstRow="0" w:lastRow="0" w:firstColumn="0" w:lastColumn="0" w:oddVBand="1" w:evenVBand="0" w:oddHBand="0" w:evenHBand="0" w:firstRowFirstColumn="0" w:firstRowLastColumn="0" w:lastRowFirstColumn="0" w:lastRowLastColumn="0"/>
            <w:tcW w:w="1172" w:type="dxa"/>
          </w:tcPr>
          <w:p w:rsidR="006308E8" w:rsidRPr="002124D1" w:rsidRDefault="006308E8" w:rsidP="00AF49E0">
            <w:pPr>
              <w:jc w:val="center"/>
              <w:rPr>
                <w:rFonts w:asciiTheme="minorHAnsi" w:hAnsiTheme="minorHAnsi"/>
                <w:sz w:val="20"/>
                <w:szCs w:val="16"/>
                <w:lang w:val="sq-AL"/>
              </w:rPr>
            </w:pPr>
            <w:r w:rsidRPr="002124D1">
              <w:rPr>
                <w:rFonts w:asciiTheme="minorHAnsi" w:hAnsiTheme="minorHAnsi"/>
                <w:sz w:val="20"/>
                <w:szCs w:val="16"/>
                <w:lang w:val="sq-AL"/>
              </w:rPr>
              <w:t>38,897</w:t>
            </w:r>
          </w:p>
        </w:tc>
        <w:tc>
          <w:tcPr>
            <w:tcW w:w="1136" w:type="dxa"/>
          </w:tcPr>
          <w:p w:rsidR="006308E8" w:rsidRPr="002124D1" w:rsidRDefault="006308E8" w:rsidP="00AF49E0">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sz w:val="20"/>
                <w:szCs w:val="16"/>
                <w:lang w:val="sq-AL"/>
              </w:rPr>
            </w:pPr>
          </w:p>
        </w:tc>
        <w:tc>
          <w:tcPr>
            <w:cnfStyle w:val="000010000000" w:firstRow="0" w:lastRow="0" w:firstColumn="0" w:lastColumn="0" w:oddVBand="1" w:evenVBand="0" w:oddHBand="0" w:evenHBand="0" w:firstRowFirstColumn="0" w:firstRowLastColumn="0" w:lastRowFirstColumn="0" w:lastRowLastColumn="0"/>
            <w:tcW w:w="954" w:type="dxa"/>
          </w:tcPr>
          <w:p w:rsidR="006308E8" w:rsidRPr="002124D1" w:rsidRDefault="006308E8" w:rsidP="00AF49E0">
            <w:pPr>
              <w:jc w:val="center"/>
              <w:rPr>
                <w:rFonts w:asciiTheme="minorHAnsi" w:hAnsiTheme="minorHAnsi"/>
                <w:sz w:val="20"/>
                <w:szCs w:val="16"/>
                <w:lang w:val="sq-AL"/>
              </w:rPr>
            </w:pPr>
            <w:r w:rsidRPr="002124D1">
              <w:rPr>
                <w:rFonts w:asciiTheme="minorHAnsi" w:hAnsiTheme="minorHAnsi"/>
                <w:sz w:val="20"/>
                <w:szCs w:val="16"/>
                <w:lang w:val="sq-AL"/>
              </w:rPr>
              <w:t>26.5</w:t>
            </w:r>
          </w:p>
        </w:tc>
        <w:tc>
          <w:tcPr>
            <w:tcW w:w="1034" w:type="dxa"/>
          </w:tcPr>
          <w:p w:rsidR="006308E8" w:rsidRPr="002124D1" w:rsidRDefault="006308E8" w:rsidP="00AF49E0">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sz w:val="20"/>
                <w:szCs w:val="16"/>
                <w:lang w:val="sq-AL"/>
              </w:rPr>
            </w:pPr>
          </w:p>
        </w:tc>
      </w:tr>
      <w:tr w:rsidR="006308E8" w:rsidRPr="002124D1" w:rsidTr="002124D1">
        <w:trPr>
          <w:trHeight w:val="254"/>
          <w:jc w:val="center"/>
        </w:trPr>
        <w:tc>
          <w:tcPr>
            <w:cnfStyle w:val="000010000000" w:firstRow="0" w:lastRow="0" w:firstColumn="0" w:lastColumn="0" w:oddVBand="1" w:evenVBand="0" w:oddHBand="0" w:evenHBand="0" w:firstRowFirstColumn="0" w:firstRowLastColumn="0" w:lastRowFirstColumn="0" w:lastRowLastColumn="0"/>
            <w:tcW w:w="505" w:type="dxa"/>
          </w:tcPr>
          <w:p w:rsidR="006308E8" w:rsidRPr="002124D1" w:rsidRDefault="006308E8" w:rsidP="00AF49E0">
            <w:pPr>
              <w:jc w:val="both"/>
              <w:rPr>
                <w:rFonts w:asciiTheme="minorHAnsi" w:hAnsiTheme="minorHAnsi"/>
                <w:sz w:val="20"/>
                <w:lang w:val="sq-AL"/>
              </w:rPr>
            </w:pPr>
            <w:r w:rsidRPr="002124D1">
              <w:rPr>
                <w:rFonts w:asciiTheme="minorHAnsi" w:hAnsiTheme="minorHAnsi"/>
                <w:sz w:val="20"/>
                <w:lang w:val="sq-AL"/>
              </w:rPr>
              <w:t>8.</w:t>
            </w:r>
          </w:p>
        </w:tc>
        <w:tc>
          <w:tcPr>
            <w:tcW w:w="3538" w:type="dxa"/>
          </w:tcPr>
          <w:p w:rsidR="006308E8" w:rsidRPr="002124D1" w:rsidRDefault="006308E8" w:rsidP="00AF49E0">
            <w:pPr>
              <w:cnfStyle w:val="000000000000" w:firstRow="0" w:lastRow="0" w:firstColumn="0" w:lastColumn="0" w:oddVBand="0" w:evenVBand="0" w:oddHBand="0" w:evenHBand="0" w:firstRowFirstColumn="0" w:firstRowLastColumn="0" w:lastRowFirstColumn="0" w:lastRowLastColumn="0"/>
              <w:rPr>
                <w:rFonts w:asciiTheme="minorHAnsi" w:eastAsia="Cambria" w:hAnsiTheme="minorHAnsi"/>
                <w:sz w:val="20"/>
                <w:szCs w:val="16"/>
                <w:lang w:val="sq-AL"/>
              </w:rPr>
            </w:pPr>
            <w:r w:rsidRPr="002124D1">
              <w:rPr>
                <w:rFonts w:asciiTheme="minorHAnsi" w:eastAsia="Cambria" w:hAnsiTheme="minorHAnsi"/>
                <w:sz w:val="20"/>
                <w:szCs w:val="16"/>
                <w:lang w:val="sq-AL"/>
              </w:rPr>
              <w:t>Sistemi i Burgjeve</w:t>
            </w:r>
          </w:p>
        </w:tc>
        <w:tc>
          <w:tcPr>
            <w:cnfStyle w:val="000010000000" w:firstRow="0" w:lastRow="0" w:firstColumn="0" w:lastColumn="0" w:oddVBand="1" w:evenVBand="0" w:oddHBand="0" w:evenHBand="0" w:firstRowFirstColumn="0" w:firstRowLastColumn="0" w:lastRowFirstColumn="0" w:lastRowLastColumn="0"/>
            <w:tcW w:w="1273" w:type="dxa"/>
          </w:tcPr>
          <w:p w:rsidR="006308E8" w:rsidRPr="002124D1" w:rsidRDefault="006308E8" w:rsidP="00AF49E0">
            <w:pPr>
              <w:jc w:val="center"/>
              <w:rPr>
                <w:rFonts w:asciiTheme="minorHAnsi" w:hAnsiTheme="minorHAnsi"/>
                <w:sz w:val="20"/>
                <w:szCs w:val="16"/>
                <w:lang w:val="sq-AL"/>
              </w:rPr>
            </w:pPr>
            <w:r w:rsidRPr="002124D1">
              <w:rPr>
                <w:rFonts w:asciiTheme="minorHAnsi" w:hAnsiTheme="minorHAnsi"/>
                <w:sz w:val="20"/>
                <w:szCs w:val="16"/>
                <w:lang w:val="sq-AL"/>
              </w:rPr>
              <w:t>5,369,416</w:t>
            </w:r>
          </w:p>
        </w:tc>
        <w:tc>
          <w:tcPr>
            <w:tcW w:w="1297" w:type="dxa"/>
          </w:tcPr>
          <w:p w:rsidR="006308E8" w:rsidRPr="002124D1" w:rsidRDefault="006308E8" w:rsidP="00AF49E0">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16"/>
                <w:lang w:val="sq-AL"/>
              </w:rPr>
            </w:pPr>
            <w:r w:rsidRPr="002124D1">
              <w:rPr>
                <w:rFonts w:asciiTheme="minorHAnsi" w:hAnsiTheme="minorHAnsi"/>
                <w:sz w:val="20"/>
                <w:szCs w:val="16"/>
                <w:lang w:val="sq-AL"/>
              </w:rPr>
              <w:t>320,374</w:t>
            </w:r>
          </w:p>
        </w:tc>
        <w:tc>
          <w:tcPr>
            <w:cnfStyle w:val="000010000000" w:firstRow="0" w:lastRow="0" w:firstColumn="0" w:lastColumn="0" w:oddVBand="1" w:evenVBand="0" w:oddHBand="0" w:evenHBand="0" w:firstRowFirstColumn="0" w:firstRowLastColumn="0" w:lastRowFirstColumn="0" w:lastRowLastColumn="0"/>
            <w:tcW w:w="1172" w:type="dxa"/>
          </w:tcPr>
          <w:p w:rsidR="006308E8" w:rsidRPr="002124D1" w:rsidRDefault="006308E8" w:rsidP="00AF49E0">
            <w:pPr>
              <w:jc w:val="center"/>
              <w:rPr>
                <w:rFonts w:asciiTheme="minorHAnsi" w:hAnsiTheme="minorHAnsi"/>
                <w:sz w:val="20"/>
                <w:szCs w:val="16"/>
                <w:lang w:val="sq-AL"/>
              </w:rPr>
            </w:pPr>
            <w:r w:rsidRPr="002124D1">
              <w:rPr>
                <w:rFonts w:asciiTheme="minorHAnsi" w:hAnsiTheme="minorHAnsi"/>
                <w:sz w:val="20"/>
                <w:szCs w:val="16"/>
                <w:lang w:val="sq-AL"/>
              </w:rPr>
              <w:t>1,626,058</w:t>
            </w:r>
          </w:p>
        </w:tc>
        <w:tc>
          <w:tcPr>
            <w:tcW w:w="1136" w:type="dxa"/>
          </w:tcPr>
          <w:p w:rsidR="006308E8" w:rsidRPr="002124D1" w:rsidRDefault="006308E8" w:rsidP="00AF49E0">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16"/>
                <w:lang w:val="sq-AL"/>
              </w:rPr>
            </w:pPr>
            <w:r w:rsidRPr="002124D1">
              <w:rPr>
                <w:rFonts w:asciiTheme="minorHAnsi" w:hAnsiTheme="minorHAnsi"/>
                <w:sz w:val="20"/>
                <w:szCs w:val="16"/>
                <w:lang w:val="sq-AL"/>
              </w:rPr>
              <w:t>156,720</w:t>
            </w:r>
          </w:p>
        </w:tc>
        <w:tc>
          <w:tcPr>
            <w:cnfStyle w:val="000010000000" w:firstRow="0" w:lastRow="0" w:firstColumn="0" w:lastColumn="0" w:oddVBand="1" w:evenVBand="0" w:oddHBand="0" w:evenHBand="0" w:firstRowFirstColumn="0" w:firstRowLastColumn="0" w:lastRowFirstColumn="0" w:lastRowLastColumn="0"/>
            <w:tcW w:w="954" w:type="dxa"/>
          </w:tcPr>
          <w:p w:rsidR="006308E8" w:rsidRPr="002124D1" w:rsidRDefault="006308E8" w:rsidP="00AF49E0">
            <w:pPr>
              <w:jc w:val="center"/>
              <w:rPr>
                <w:rFonts w:asciiTheme="minorHAnsi" w:hAnsiTheme="minorHAnsi"/>
                <w:sz w:val="20"/>
                <w:szCs w:val="16"/>
                <w:lang w:val="sq-AL"/>
              </w:rPr>
            </w:pPr>
            <w:r w:rsidRPr="002124D1">
              <w:rPr>
                <w:rFonts w:asciiTheme="minorHAnsi" w:hAnsiTheme="minorHAnsi"/>
                <w:sz w:val="20"/>
                <w:szCs w:val="16"/>
                <w:lang w:val="sq-AL"/>
              </w:rPr>
              <w:t>30.3</w:t>
            </w:r>
          </w:p>
        </w:tc>
        <w:tc>
          <w:tcPr>
            <w:tcW w:w="1034" w:type="dxa"/>
          </w:tcPr>
          <w:p w:rsidR="006308E8" w:rsidRPr="002124D1" w:rsidRDefault="006308E8" w:rsidP="00AF49E0">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16"/>
                <w:lang w:val="sq-AL"/>
              </w:rPr>
            </w:pPr>
            <w:r w:rsidRPr="002124D1">
              <w:rPr>
                <w:rFonts w:asciiTheme="minorHAnsi" w:hAnsiTheme="minorHAnsi"/>
                <w:sz w:val="20"/>
                <w:szCs w:val="16"/>
                <w:lang w:val="sq-AL"/>
              </w:rPr>
              <w:t>48.9</w:t>
            </w:r>
          </w:p>
        </w:tc>
      </w:tr>
      <w:tr w:rsidR="006308E8" w:rsidRPr="002124D1" w:rsidTr="002124D1">
        <w:trPr>
          <w:cnfStyle w:val="000000100000" w:firstRow="0" w:lastRow="0" w:firstColumn="0" w:lastColumn="0" w:oddVBand="0" w:evenVBand="0" w:oddHBand="1" w:evenHBand="0" w:firstRowFirstColumn="0" w:firstRowLastColumn="0" w:lastRowFirstColumn="0" w:lastRowLastColumn="0"/>
          <w:trHeight w:val="254"/>
          <w:jc w:val="center"/>
        </w:trPr>
        <w:tc>
          <w:tcPr>
            <w:cnfStyle w:val="000010000000" w:firstRow="0" w:lastRow="0" w:firstColumn="0" w:lastColumn="0" w:oddVBand="1" w:evenVBand="0" w:oddHBand="0" w:evenHBand="0" w:firstRowFirstColumn="0" w:firstRowLastColumn="0" w:lastRowFirstColumn="0" w:lastRowLastColumn="0"/>
            <w:tcW w:w="505" w:type="dxa"/>
          </w:tcPr>
          <w:p w:rsidR="006308E8" w:rsidRPr="002124D1" w:rsidRDefault="006308E8" w:rsidP="00AF49E0">
            <w:pPr>
              <w:jc w:val="both"/>
              <w:rPr>
                <w:rFonts w:asciiTheme="minorHAnsi" w:hAnsiTheme="minorHAnsi"/>
                <w:sz w:val="20"/>
                <w:lang w:val="sq-AL"/>
              </w:rPr>
            </w:pPr>
            <w:r w:rsidRPr="002124D1">
              <w:rPr>
                <w:rFonts w:asciiTheme="minorHAnsi" w:hAnsiTheme="minorHAnsi"/>
                <w:sz w:val="20"/>
                <w:lang w:val="sq-AL"/>
              </w:rPr>
              <w:t>9.</w:t>
            </w:r>
          </w:p>
        </w:tc>
        <w:tc>
          <w:tcPr>
            <w:tcW w:w="3538" w:type="dxa"/>
          </w:tcPr>
          <w:p w:rsidR="006308E8" w:rsidRPr="002124D1" w:rsidRDefault="006308E8" w:rsidP="00AF49E0">
            <w:pPr>
              <w:cnfStyle w:val="000000100000" w:firstRow="0" w:lastRow="0" w:firstColumn="0" w:lastColumn="0" w:oddVBand="0" w:evenVBand="0" w:oddHBand="1" w:evenHBand="0" w:firstRowFirstColumn="0" w:firstRowLastColumn="0" w:lastRowFirstColumn="0" w:lastRowLastColumn="0"/>
              <w:rPr>
                <w:rFonts w:asciiTheme="minorHAnsi" w:eastAsia="Cambria" w:hAnsiTheme="minorHAnsi"/>
                <w:sz w:val="20"/>
                <w:szCs w:val="16"/>
                <w:lang w:val="sq-AL"/>
              </w:rPr>
            </w:pPr>
            <w:r w:rsidRPr="002124D1">
              <w:rPr>
                <w:rFonts w:asciiTheme="minorHAnsi" w:eastAsia="Cambria" w:hAnsiTheme="minorHAnsi"/>
                <w:sz w:val="20"/>
                <w:szCs w:val="16"/>
                <w:lang w:val="sq-AL"/>
              </w:rPr>
              <w:t>Shërbimi i Provës</w:t>
            </w:r>
          </w:p>
        </w:tc>
        <w:tc>
          <w:tcPr>
            <w:cnfStyle w:val="000010000000" w:firstRow="0" w:lastRow="0" w:firstColumn="0" w:lastColumn="0" w:oddVBand="1" w:evenVBand="0" w:oddHBand="0" w:evenHBand="0" w:firstRowFirstColumn="0" w:firstRowLastColumn="0" w:lastRowFirstColumn="0" w:lastRowLastColumn="0"/>
            <w:tcW w:w="1273" w:type="dxa"/>
          </w:tcPr>
          <w:p w:rsidR="006308E8" w:rsidRPr="002124D1" w:rsidRDefault="006308E8" w:rsidP="00AF49E0">
            <w:pPr>
              <w:jc w:val="center"/>
              <w:rPr>
                <w:rFonts w:asciiTheme="minorHAnsi" w:hAnsiTheme="minorHAnsi"/>
                <w:sz w:val="20"/>
                <w:szCs w:val="16"/>
                <w:lang w:val="sq-AL"/>
              </w:rPr>
            </w:pPr>
            <w:r w:rsidRPr="002124D1">
              <w:rPr>
                <w:rFonts w:asciiTheme="minorHAnsi" w:hAnsiTheme="minorHAnsi"/>
                <w:sz w:val="20"/>
                <w:szCs w:val="16"/>
                <w:lang w:val="sq-AL"/>
              </w:rPr>
              <w:t>195,970</w:t>
            </w:r>
          </w:p>
        </w:tc>
        <w:tc>
          <w:tcPr>
            <w:tcW w:w="1297" w:type="dxa"/>
          </w:tcPr>
          <w:p w:rsidR="006308E8" w:rsidRPr="002124D1" w:rsidRDefault="006308E8" w:rsidP="00AF49E0">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sz w:val="20"/>
                <w:szCs w:val="16"/>
                <w:lang w:val="sq-AL"/>
              </w:rPr>
            </w:pPr>
            <w:r w:rsidRPr="002124D1">
              <w:rPr>
                <w:rFonts w:asciiTheme="minorHAnsi" w:hAnsiTheme="minorHAnsi"/>
                <w:sz w:val="20"/>
                <w:szCs w:val="16"/>
                <w:lang w:val="sq-AL"/>
              </w:rPr>
              <w:t>500</w:t>
            </w:r>
          </w:p>
        </w:tc>
        <w:tc>
          <w:tcPr>
            <w:cnfStyle w:val="000010000000" w:firstRow="0" w:lastRow="0" w:firstColumn="0" w:lastColumn="0" w:oddVBand="1" w:evenVBand="0" w:oddHBand="0" w:evenHBand="0" w:firstRowFirstColumn="0" w:firstRowLastColumn="0" w:lastRowFirstColumn="0" w:lastRowLastColumn="0"/>
            <w:tcW w:w="1172" w:type="dxa"/>
          </w:tcPr>
          <w:p w:rsidR="006308E8" w:rsidRPr="002124D1" w:rsidRDefault="006308E8" w:rsidP="00AF49E0">
            <w:pPr>
              <w:jc w:val="center"/>
              <w:rPr>
                <w:rFonts w:asciiTheme="minorHAnsi" w:hAnsiTheme="minorHAnsi"/>
                <w:sz w:val="20"/>
                <w:szCs w:val="16"/>
                <w:lang w:val="sq-AL"/>
              </w:rPr>
            </w:pPr>
            <w:r w:rsidRPr="002124D1">
              <w:rPr>
                <w:rFonts w:asciiTheme="minorHAnsi" w:hAnsiTheme="minorHAnsi"/>
                <w:sz w:val="20"/>
                <w:szCs w:val="16"/>
                <w:lang w:val="sq-AL"/>
              </w:rPr>
              <w:t>42,051</w:t>
            </w:r>
          </w:p>
        </w:tc>
        <w:tc>
          <w:tcPr>
            <w:tcW w:w="1136" w:type="dxa"/>
          </w:tcPr>
          <w:p w:rsidR="006308E8" w:rsidRPr="002124D1" w:rsidRDefault="006308E8" w:rsidP="00AF49E0">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sz w:val="20"/>
                <w:szCs w:val="16"/>
                <w:lang w:val="sq-AL"/>
              </w:rPr>
            </w:pPr>
            <w:r w:rsidRPr="002124D1">
              <w:rPr>
                <w:rFonts w:asciiTheme="minorHAnsi" w:hAnsiTheme="minorHAnsi"/>
                <w:sz w:val="20"/>
                <w:szCs w:val="16"/>
                <w:lang w:val="sq-AL"/>
              </w:rPr>
              <w:t>0</w:t>
            </w:r>
          </w:p>
        </w:tc>
        <w:tc>
          <w:tcPr>
            <w:cnfStyle w:val="000010000000" w:firstRow="0" w:lastRow="0" w:firstColumn="0" w:lastColumn="0" w:oddVBand="1" w:evenVBand="0" w:oddHBand="0" w:evenHBand="0" w:firstRowFirstColumn="0" w:firstRowLastColumn="0" w:lastRowFirstColumn="0" w:lastRowLastColumn="0"/>
            <w:tcW w:w="954" w:type="dxa"/>
          </w:tcPr>
          <w:p w:rsidR="006308E8" w:rsidRPr="002124D1" w:rsidRDefault="006308E8" w:rsidP="00AF49E0">
            <w:pPr>
              <w:jc w:val="center"/>
              <w:rPr>
                <w:rFonts w:asciiTheme="minorHAnsi" w:hAnsiTheme="minorHAnsi"/>
                <w:sz w:val="20"/>
                <w:szCs w:val="16"/>
                <w:lang w:val="sq-AL"/>
              </w:rPr>
            </w:pPr>
            <w:r w:rsidRPr="002124D1">
              <w:rPr>
                <w:rFonts w:asciiTheme="minorHAnsi" w:hAnsiTheme="minorHAnsi"/>
                <w:sz w:val="20"/>
                <w:szCs w:val="16"/>
                <w:lang w:val="sq-AL"/>
              </w:rPr>
              <w:t>21.5</w:t>
            </w:r>
          </w:p>
        </w:tc>
        <w:tc>
          <w:tcPr>
            <w:tcW w:w="1034" w:type="dxa"/>
          </w:tcPr>
          <w:p w:rsidR="006308E8" w:rsidRPr="002124D1" w:rsidRDefault="006308E8" w:rsidP="00AF49E0">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sz w:val="20"/>
                <w:szCs w:val="16"/>
                <w:lang w:val="sq-AL"/>
              </w:rPr>
            </w:pPr>
            <w:r w:rsidRPr="002124D1">
              <w:rPr>
                <w:rFonts w:asciiTheme="minorHAnsi" w:hAnsiTheme="minorHAnsi"/>
                <w:sz w:val="20"/>
                <w:szCs w:val="16"/>
                <w:lang w:val="sq-AL"/>
              </w:rPr>
              <w:t>0.0</w:t>
            </w:r>
          </w:p>
        </w:tc>
      </w:tr>
      <w:tr w:rsidR="006308E8" w:rsidRPr="002124D1" w:rsidTr="002124D1">
        <w:trPr>
          <w:trHeight w:val="170"/>
          <w:jc w:val="center"/>
        </w:trPr>
        <w:tc>
          <w:tcPr>
            <w:cnfStyle w:val="000010000000" w:firstRow="0" w:lastRow="0" w:firstColumn="0" w:lastColumn="0" w:oddVBand="1" w:evenVBand="0" w:oddHBand="0" w:evenHBand="0" w:firstRowFirstColumn="0" w:firstRowLastColumn="0" w:lastRowFirstColumn="0" w:lastRowLastColumn="0"/>
            <w:tcW w:w="505" w:type="dxa"/>
          </w:tcPr>
          <w:p w:rsidR="006308E8" w:rsidRPr="002124D1" w:rsidRDefault="006308E8" w:rsidP="00121650">
            <w:pPr>
              <w:spacing w:line="276" w:lineRule="auto"/>
              <w:jc w:val="center"/>
              <w:rPr>
                <w:rFonts w:asciiTheme="minorHAnsi" w:hAnsiTheme="minorHAnsi"/>
                <w:b/>
                <w:sz w:val="20"/>
                <w:lang w:val="sq-AL"/>
              </w:rPr>
            </w:pPr>
          </w:p>
        </w:tc>
        <w:tc>
          <w:tcPr>
            <w:tcW w:w="3538" w:type="dxa"/>
          </w:tcPr>
          <w:p w:rsidR="006308E8" w:rsidRPr="002124D1" w:rsidRDefault="006308E8" w:rsidP="00121650">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b/>
                <w:sz w:val="20"/>
                <w:szCs w:val="16"/>
                <w:lang w:val="sq-AL"/>
              </w:rPr>
            </w:pPr>
            <w:r w:rsidRPr="002124D1">
              <w:rPr>
                <w:rFonts w:asciiTheme="minorHAnsi" w:hAnsiTheme="minorHAnsi"/>
                <w:b/>
                <w:sz w:val="20"/>
                <w:szCs w:val="16"/>
                <w:lang w:val="sq-AL"/>
              </w:rPr>
              <w:t>TOTAL</w:t>
            </w:r>
          </w:p>
        </w:tc>
        <w:tc>
          <w:tcPr>
            <w:cnfStyle w:val="000010000000" w:firstRow="0" w:lastRow="0" w:firstColumn="0" w:lastColumn="0" w:oddVBand="1" w:evenVBand="0" w:oddHBand="0" w:evenHBand="0" w:firstRowFirstColumn="0" w:firstRowLastColumn="0" w:lastRowFirstColumn="0" w:lastRowLastColumn="0"/>
            <w:tcW w:w="1273" w:type="dxa"/>
          </w:tcPr>
          <w:p w:rsidR="006308E8" w:rsidRPr="002124D1" w:rsidRDefault="006308E8" w:rsidP="00121650">
            <w:pPr>
              <w:jc w:val="center"/>
              <w:rPr>
                <w:rFonts w:asciiTheme="minorHAnsi" w:hAnsiTheme="minorHAnsi"/>
                <w:b/>
                <w:sz w:val="20"/>
                <w:szCs w:val="16"/>
                <w:lang w:val="sq-AL"/>
              </w:rPr>
            </w:pPr>
            <w:r w:rsidRPr="002124D1">
              <w:rPr>
                <w:rFonts w:asciiTheme="minorHAnsi" w:hAnsiTheme="minorHAnsi"/>
                <w:b/>
                <w:sz w:val="20"/>
                <w:szCs w:val="16"/>
                <w:lang w:val="sq-AL"/>
              </w:rPr>
              <w:t>9,995,441</w:t>
            </w:r>
          </w:p>
        </w:tc>
        <w:tc>
          <w:tcPr>
            <w:tcW w:w="1297" w:type="dxa"/>
          </w:tcPr>
          <w:p w:rsidR="006308E8" w:rsidRPr="002124D1" w:rsidRDefault="006308E8" w:rsidP="00121650">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b/>
                <w:sz w:val="20"/>
                <w:szCs w:val="16"/>
                <w:lang w:val="sq-AL"/>
              </w:rPr>
            </w:pPr>
            <w:r w:rsidRPr="002124D1">
              <w:rPr>
                <w:rFonts w:asciiTheme="minorHAnsi" w:hAnsiTheme="minorHAnsi"/>
                <w:b/>
                <w:sz w:val="20"/>
                <w:szCs w:val="16"/>
                <w:lang w:val="sq-AL"/>
              </w:rPr>
              <w:t>664,174</w:t>
            </w:r>
          </w:p>
        </w:tc>
        <w:tc>
          <w:tcPr>
            <w:cnfStyle w:val="000010000000" w:firstRow="0" w:lastRow="0" w:firstColumn="0" w:lastColumn="0" w:oddVBand="1" w:evenVBand="0" w:oddHBand="0" w:evenHBand="0" w:firstRowFirstColumn="0" w:firstRowLastColumn="0" w:lastRowFirstColumn="0" w:lastRowLastColumn="0"/>
            <w:tcW w:w="1172" w:type="dxa"/>
          </w:tcPr>
          <w:p w:rsidR="006308E8" w:rsidRPr="002124D1" w:rsidRDefault="006308E8" w:rsidP="00121650">
            <w:pPr>
              <w:jc w:val="center"/>
              <w:rPr>
                <w:rFonts w:asciiTheme="minorHAnsi" w:hAnsiTheme="minorHAnsi"/>
                <w:b/>
                <w:sz w:val="20"/>
                <w:szCs w:val="16"/>
                <w:lang w:val="sq-AL"/>
              </w:rPr>
            </w:pPr>
            <w:r w:rsidRPr="002124D1">
              <w:rPr>
                <w:rFonts w:asciiTheme="minorHAnsi" w:hAnsiTheme="minorHAnsi"/>
                <w:b/>
                <w:sz w:val="20"/>
                <w:szCs w:val="16"/>
                <w:lang w:val="sq-AL"/>
              </w:rPr>
              <w:t>1,883,078</w:t>
            </w:r>
          </w:p>
        </w:tc>
        <w:tc>
          <w:tcPr>
            <w:tcW w:w="1136" w:type="dxa"/>
          </w:tcPr>
          <w:p w:rsidR="006308E8" w:rsidRPr="002124D1" w:rsidRDefault="006308E8" w:rsidP="00121650">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b/>
                <w:sz w:val="20"/>
                <w:szCs w:val="16"/>
                <w:lang w:val="sq-AL"/>
              </w:rPr>
            </w:pPr>
            <w:r w:rsidRPr="002124D1">
              <w:rPr>
                <w:rFonts w:asciiTheme="minorHAnsi" w:hAnsiTheme="minorHAnsi"/>
                <w:b/>
                <w:sz w:val="20"/>
                <w:szCs w:val="16"/>
                <w:lang w:val="sq-AL"/>
              </w:rPr>
              <w:t>260,329</w:t>
            </w:r>
          </w:p>
        </w:tc>
        <w:tc>
          <w:tcPr>
            <w:cnfStyle w:val="000010000000" w:firstRow="0" w:lastRow="0" w:firstColumn="0" w:lastColumn="0" w:oddVBand="1" w:evenVBand="0" w:oddHBand="0" w:evenHBand="0" w:firstRowFirstColumn="0" w:firstRowLastColumn="0" w:lastRowFirstColumn="0" w:lastRowLastColumn="0"/>
            <w:tcW w:w="954" w:type="dxa"/>
          </w:tcPr>
          <w:p w:rsidR="006308E8" w:rsidRPr="002124D1" w:rsidRDefault="006308E8" w:rsidP="00121650">
            <w:pPr>
              <w:jc w:val="center"/>
              <w:rPr>
                <w:rFonts w:asciiTheme="minorHAnsi" w:hAnsiTheme="minorHAnsi"/>
                <w:b/>
                <w:sz w:val="20"/>
                <w:szCs w:val="16"/>
                <w:lang w:val="sq-AL"/>
              </w:rPr>
            </w:pPr>
            <w:r w:rsidRPr="002124D1">
              <w:rPr>
                <w:rFonts w:asciiTheme="minorHAnsi" w:hAnsiTheme="minorHAnsi"/>
                <w:b/>
                <w:sz w:val="20"/>
                <w:szCs w:val="16"/>
                <w:lang w:val="sq-AL"/>
              </w:rPr>
              <w:t>18.8</w:t>
            </w:r>
          </w:p>
        </w:tc>
        <w:tc>
          <w:tcPr>
            <w:tcW w:w="1034" w:type="dxa"/>
          </w:tcPr>
          <w:p w:rsidR="006308E8" w:rsidRPr="002124D1" w:rsidRDefault="006308E8" w:rsidP="00121650">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b/>
                <w:sz w:val="20"/>
                <w:szCs w:val="16"/>
                <w:lang w:val="sq-AL"/>
              </w:rPr>
            </w:pPr>
            <w:r w:rsidRPr="002124D1">
              <w:rPr>
                <w:rFonts w:asciiTheme="minorHAnsi" w:hAnsiTheme="minorHAnsi"/>
                <w:b/>
                <w:sz w:val="20"/>
                <w:szCs w:val="16"/>
                <w:lang w:val="sq-AL"/>
              </w:rPr>
              <w:t>39.2</w:t>
            </w:r>
          </w:p>
        </w:tc>
      </w:tr>
    </w:tbl>
    <w:p w:rsidR="006308E8" w:rsidRPr="00BB7F2F" w:rsidRDefault="006308E8" w:rsidP="006308E8">
      <w:pPr>
        <w:spacing w:before="240" w:line="276" w:lineRule="auto"/>
        <w:jc w:val="both"/>
        <w:rPr>
          <w:rFonts w:asciiTheme="minorHAnsi" w:eastAsia="Calibri" w:hAnsiTheme="minorHAnsi"/>
          <w:lang w:val="sq-AL"/>
        </w:rPr>
      </w:pPr>
      <w:r w:rsidRPr="00BB7F2F">
        <w:rPr>
          <w:rFonts w:asciiTheme="minorHAnsi" w:eastAsia="Calibri" w:hAnsiTheme="minorHAnsi"/>
          <w:lang w:val="sq-AL"/>
        </w:rPr>
        <w:t>Në programin “</w:t>
      </w:r>
      <w:r w:rsidRPr="00BB7F2F">
        <w:rPr>
          <w:rFonts w:asciiTheme="minorHAnsi" w:eastAsia="Calibri" w:hAnsiTheme="minorHAnsi"/>
          <w:b/>
          <w:lang w:val="sq-AL"/>
        </w:rPr>
        <w:t>Sistemi i burgjeve</w:t>
      </w:r>
      <w:r w:rsidRPr="00BB7F2F">
        <w:rPr>
          <w:rFonts w:asciiTheme="minorHAnsi" w:eastAsia="Calibri" w:hAnsiTheme="minorHAnsi"/>
          <w:lang w:val="sq-AL"/>
        </w:rPr>
        <w:t>” për 4 mujorin e parë të vitit 2020 janë realizuar produkte,</w:t>
      </w:r>
      <w:r w:rsidRPr="00BB7F2F">
        <w:rPr>
          <w:rFonts w:asciiTheme="minorHAnsi" w:hAnsiTheme="minorHAnsi"/>
          <w:lang w:val="sq-AL"/>
        </w:rPr>
        <w:t xml:space="preserve"> </w:t>
      </w:r>
      <w:r w:rsidRPr="00BB7F2F">
        <w:rPr>
          <w:rFonts w:asciiTheme="minorHAnsi" w:eastAsia="Calibri" w:hAnsiTheme="minorHAnsi"/>
          <w:lang w:val="sq-AL"/>
        </w:rPr>
        <w:t>me një kosto faktike1,782,778 mijë lekë, përmendim:</w:t>
      </w:r>
    </w:p>
    <w:p w:rsidR="006308E8" w:rsidRPr="00BB7F2F" w:rsidRDefault="006308E8" w:rsidP="006308E8">
      <w:pPr>
        <w:spacing w:line="276" w:lineRule="auto"/>
        <w:jc w:val="both"/>
        <w:rPr>
          <w:rFonts w:asciiTheme="minorHAnsi" w:eastAsia="MS Mincho" w:hAnsiTheme="minorHAnsi"/>
          <w:lang w:val="sq-AL"/>
        </w:rPr>
      </w:pPr>
      <w:r w:rsidRPr="00BB7F2F">
        <w:rPr>
          <w:rFonts w:asciiTheme="minorHAnsi" w:hAnsiTheme="minorHAnsi"/>
          <w:lang w:val="sq-AL"/>
        </w:rPr>
        <w:t xml:space="preserve">për programin e Sistemit të Burgjeve janë realizuar produktet </w:t>
      </w:r>
      <w:r w:rsidRPr="00BB7F2F">
        <w:rPr>
          <w:rFonts w:asciiTheme="minorHAnsi" w:eastAsia="MS Mincho" w:hAnsiTheme="minorHAnsi"/>
          <w:lang w:val="sq-AL"/>
        </w:rPr>
        <w:t>për të matur performancë e Sistemit të Burgjeve, si dhe projekte që shërbejnë për përmirësimin e kushteve në sistemin penitenciar, disa prej tyre kanë realizim faktik sipas pritshmërisë, si më poshtë:</w:t>
      </w:r>
    </w:p>
    <w:p w:rsidR="006308E8" w:rsidRPr="00BB7F2F" w:rsidRDefault="006308E8" w:rsidP="00503465">
      <w:pPr>
        <w:numPr>
          <w:ilvl w:val="0"/>
          <w:numId w:val="43"/>
        </w:numPr>
        <w:spacing w:line="276" w:lineRule="auto"/>
        <w:contextualSpacing/>
        <w:jc w:val="both"/>
        <w:rPr>
          <w:rFonts w:asciiTheme="minorHAnsi" w:hAnsiTheme="minorHAnsi"/>
          <w:lang w:val="sq-AL"/>
        </w:rPr>
      </w:pPr>
      <w:r w:rsidRPr="00BB7F2F">
        <w:rPr>
          <w:rFonts w:asciiTheme="minorHAnsi" w:eastAsia="MS Mincho" w:hAnsiTheme="minorHAnsi"/>
          <w:lang w:val="sq-AL"/>
        </w:rPr>
        <w:t>Janë trajtuar 592 raste të dënuar të trajtuar me shërbim shëndetësor;</w:t>
      </w:r>
    </w:p>
    <w:p w:rsidR="006308E8" w:rsidRPr="00BB7F2F" w:rsidRDefault="006308E8" w:rsidP="00503465">
      <w:pPr>
        <w:numPr>
          <w:ilvl w:val="0"/>
          <w:numId w:val="43"/>
        </w:numPr>
        <w:spacing w:line="276" w:lineRule="auto"/>
        <w:contextualSpacing/>
        <w:jc w:val="both"/>
        <w:rPr>
          <w:rFonts w:asciiTheme="minorHAnsi" w:hAnsiTheme="minorHAnsi"/>
          <w:lang w:val="sq-AL"/>
        </w:rPr>
      </w:pPr>
      <w:r w:rsidRPr="00BB7F2F">
        <w:rPr>
          <w:rFonts w:asciiTheme="minorHAnsi" w:eastAsia="MS Mincho" w:hAnsiTheme="minorHAnsi"/>
          <w:lang w:val="sq-AL"/>
        </w:rPr>
        <w:t xml:space="preserve">Rezultojnë 4,812 burra të dënuar që po vuajnë dënimin në IEVP; </w:t>
      </w:r>
    </w:p>
    <w:p w:rsidR="006308E8" w:rsidRPr="00BB7F2F" w:rsidRDefault="006308E8" w:rsidP="00503465">
      <w:pPr>
        <w:numPr>
          <w:ilvl w:val="0"/>
          <w:numId w:val="43"/>
        </w:numPr>
        <w:spacing w:line="276" w:lineRule="auto"/>
        <w:contextualSpacing/>
        <w:jc w:val="both"/>
        <w:rPr>
          <w:rFonts w:asciiTheme="minorHAnsi" w:hAnsiTheme="minorHAnsi"/>
          <w:lang w:val="sq-AL"/>
        </w:rPr>
      </w:pPr>
      <w:r w:rsidRPr="00BB7F2F">
        <w:rPr>
          <w:rFonts w:asciiTheme="minorHAnsi" w:eastAsia="MS Mincho" w:hAnsiTheme="minorHAnsi"/>
          <w:lang w:val="sq-AL"/>
        </w:rPr>
        <w:t>Janë të trajtuara në kushte të veçanta të vuajtjes se dënimit 74 të dënuara femra, ky numër ka pësuar ulje edhe për shkak të amnistisë së ndodhur në 4 mujorin e pare të vitit;</w:t>
      </w:r>
    </w:p>
    <w:p w:rsidR="006308E8" w:rsidRPr="00BB7F2F" w:rsidRDefault="006308E8" w:rsidP="00503465">
      <w:pPr>
        <w:numPr>
          <w:ilvl w:val="0"/>
          <w:numId w:val="43"/>
        </w:numPr>
        <w:spacing w:line="276" w:lineRule="auto"/>
        <w:contextualSpacing/>
        <w:jc w:val="both"/>
        <w:rPr>
          <w:rFonts w:asciiTheme="minorHAnsi" w:hAnsiTheme="minorHAnsi"/>
          <w:lang w:val="sq-AL"/>
        </w:rPr>
      </w:pPr>
      <w:r w:rsidRPr="00BB7F2F">
        <w:rPr>
          <w:rFonts w:asciiTheme="minorHAnsi" w:eastAsia="MS Mincho" w:hAnsiTheme="minorHAnsi"/>
          <w:lang w:val="sq-AL"/>
        </w:rPr>
        <w:t>Janë trajtuar 20 të mitur të dënuar të cilët vuajnë dënimin në ambientet të përshtatshme për vuajtjen e dënimit.</w:t>
      </w:r>
    </w:p>
    <w:p w:rsidR="006308E8" w:rsidRPr="002124D1" w:rsidRDefault="006308E8" w:rsidP="006308E8">
      <w:pPr>
        <w:spacing w:line="276" w:lineRule="auto"/>
        <w:jc w:val="both"/>
        <w:rPr>
          <w:rFonts w:asciiTheme="minorHAnsi" w:eastAsia="Calibri" w:hAnsiTheme="minorHAnsi"/>
          <w:sz w:val="8"/>
          <w:szCs w:val="8"/>
          <w:lang w:val="sq-AL"/>
        </w:rPr>
      </w:pPr>
    </w:p>
    <w:p w:rsidR="006308E8" w:rsidRPr="00BB7F2F" w:rsidRDefault="006308E8" w:rsidP="006308E8">
      <w:pPr>
        <w:spacing w:line="276" w:lineRule="auto"/>
        <w:jc w:val="both"/>
        <w:rPr>
          <w:rFonts w:asciiTheme="minorHAnsi" w:hAnsiTheme="minorHAnsi"/>
          <w:lang w:val="sq-AL"/>
        </w:rPr>
      </w:pPr>
      <w:r w:rsidRPr="00BB7F2F">
        <w:rPr>
          <w:rFonts w:asciiTheme="minorHAnsi" w:eastAsia="Calibri" w:hAnsiTheme="minorHAnsi"/>
          <w:lang w:val="sq-AL"/>
        </w:rPr>
        <w:t>Në programin “</w:t>
      </w:r>
      <w:r w:rsidRPr="00BB7F2F">
        <w:rPr>
          <w:rFonts w:asciiTheme="minorHAnsi" w:eastAsia="Calibri" w:hAnsiTheme="minorHAnsi"/>
          <w:b/>
          <w:lang w:val="sq-AL"/>
        </w:rPr>
        <w:t>Agjencia e Trajtimit të Pronave</w:t>
      </w:r>
      <w:r w:rsidRPr="00BB7F2F">
        <w:rPr>
          <w:rFonts w:asciiTheme="minorHAnsi" w:eastAsia="Calibri" w:hAnsiTheme="minorHAnsi"/>
          <w:lang w:val="sq-AL"/>
        </w:rPr>
        <w:t>” janë realizuar produkte me kosto faktike prej 54,840 mijë lekë, ndër produktet përmendim:</w:t>
      </w:r>
    </w:p>
    <w:p w:rsidR="006308E8" w:rsidRPr="00BB7F2F" w:rsidRDefault="006308E8" w:rsidP="00503465">
      <w:pPr>
        <w:numPr>
          <w:ilvl w:val="0"/>
          <w:numId w:val="13"/>
        </w:numPr>
        <w:spacing w:line="276" w:lineRule="auto"/>
        <w:ind w:left="360"/>
        <w:contextualSpacing/>
        <w:jc w:val="both"/>
        <w:rPr>
          <w:rFonts w:asciiTheme="minorHAnsi" w:eastAsia="Calibri" w:hAnsiTheme="minorHAnsi"/>
          <w:lang w:val="sq-AL"/>
        </w:rPr>
      </w:pPr>
      <w:r w:rsidRPr="00BB7F2F">
        <w:rPr>
          <w:rFonts w:asciiTheme="minorHAnsi" w:eastAsia="Calibri" w:hAnsiTheme="minorHAnsi"/>
          <w:lang w:val="sq-AL"/>
        </w:rPr>
        <w:t xml:space="preserve">Shpërndarja e fondit fizik dhe financiar” nga 1,000 subjekte të planifikuara për realizim vjetor janë realizuar 175. Ecuria e aplikimeve është e ulët për shkak të situatës së krijuar nga pandemia Covid-19 janë mbyllur të gjitha sportelet për shërbime dhe funksionojnë vetëm online.  </w:t>
      </w:r>
    </w:p>
    <w:p w:rsidR="006308E8" w:rsidRPr="00BB7F2F" w:rsidRDefault="006308E8" w:rsidP="00503465">
      <w:pPr>
        <w:numPr>
          <w:ilvl w:val="0"/>
          <w:numId w:val="13"/>
        </w:numPr>
        <w:spacing w:line="276" w:lineRule="auto"/>
        <w:ind w:left="360"/>
        <w:contextualSpacing/>
        <w:jc w:val="both"/>
        <w:rPr>
          <w:rFonts w:asciiTheme="minorHAnsi" w:eastAsia="Calibri" w:hAnsiTheme="minorHAnsi"/>
          <w:lang w:val="sq-AL"/>
        </w:rPr>
      </w:pPr>
      <w:r w:rsidRPr="00BB7F2F">
        <w:rPr>
          <w:rFonts w:asciiTheme="minorHAnsi" w:eastAsia="Calibri" w:hAnsiTheme="minorHAnsi"/>
          <w:lang w:val="sq-AL"/>
        </w:rPr>
        <w:t xml:space="preserve">“Trajtimi me vendim i kërkesave për kalimin në pronësi të oborreve në përdorim” nga 410 vendime janë trajtuar 52. Gjithashtu lidhur me realizimin e këtij qëllimi janë kryer 12 aplikime të reja, 57 vlerësime dhe 75 verifikime. </w:t>
      </w:r>
    </w:p>
    <w:p w:rsidR="006308E8" w:rsidRPr="00BB7F2F" w:rsidRDefault="006308E8" w:rsidP="00503465">
      <w:pPr>
        <w:numPr>
          <w:ilvl w:val="0"/>
          <w:numId w:val="13"/>
        </w:numPr>
        <w:spacing w:line="276" w:lineRule="auto"/>
        <w:ind w:left="360"/>
        <w:contextualSpacing/>
        <w:jc w:val="both"/>
        <w:rPr>
          <w:rFonts w:asciiTheme="minorHAnsi" w:eastAsia="Calibri" w:hAnsiTheme="minorHAnsi"/>
          <w:lang w:val="sq-AL"/>
        </w:rPr>
      </w:pPr>
      <w:r w:rsidRPr="00BB7F2F">
        <w:rPr>
          <w:rFonts w:asciiTheme="minorHAnsi" w:eastAsia="Calibri" w:hAnsiTheme="minorHAnsi"/>
          <w:lang w:val="sq-AL"/>
        </w:rPr>
        <w:t>“Mbrojtja e interesave të ATP në proceset gjyqësore” nga 1, 600 të planifikuara janë ndjekur 451 raste gjyqësore që kanë të bëjnë me çështje njohje të drejte pronësie apo që kanë të bëjnë me vlerësimin e pronës së njohur për kompensim.</w:t>
      </w:r>
    </w:p>
    <w:p w:rsidR="00AF49E0" w:rsidRPr="00AF49E0" w:rsidRDefault="006308E8" w:rsidP="00AF49E0">
      <w:pPr>
        <w:numPr>
          <w:ilvl w:val="0"/>
          <w:numId w:val="13"/>
        </w:numPr>
        <w:spacing w:before="120" w:after="120" w:line="276" w:lineRule="auto"/>
        <w:ind w:left="360"/>
        <w:contextualSpacing/>
        <w:jc w:val="both"/>
        <w:rPr>
          <w:rFonts w:asciiTheme="minorHAnsi" w:hAnsiTheme="minorHAnsi"/>
          <w:b/>
          <w:noProof/>
          <w:color w:val="0070C0"/>
          <w:lang w:val="sq-AL"/>
        </w:rPr>
      </w:pPr>
      <w:r w:rsidRPr="00AF49E0">
        <w:rPr>
          <w:rFonts w:asciiTheme="minorHAnsi" w:eastAsia="Calibri" w:hAnsiTheme="minorHAnsi"/>
          <w:lang w:val="sq-AL"/>
        </w:rPr>
        <w:t>“Shpërndarja e fondit  të ALUIZNIT” nga 1,104 numër subjektesh të planifikuara për realizim janë trajtuar vetëm 255 prej tyre, gjatë kësaj kohe ka pasur një ngadalësim të procesit jo vetëm prej situatës së pandemisë por edhe si rezultat i një ngërçi ligjor me Agjencinë e Kadastrës lidhur me tarifat e marrjes së shërbimit nga ana e ATP-së.</w:t>
      </w:r>
      <w:bookmarkStart w:id="175" w:name="_Toc10721442"/>
      <w:bookmarkStart w:id="176" w:name="_Toc11134231"/>
      <w:bookmarkStart w:id="177" w:name="_Toc10033303"/>
      <w:bookmarkStart w:id="178" w:name="_Toc10721439"/>
      <w:bookmarkStart w:id="179" w:name="_Toc11134232"/>
    </w:p>
    <w:p w:rsidR="006308E8" w:rsidRPr="00BB7F2F" w:rsidRDefault="006308E8" w:rsidP="006308E8">
      <w:pPr>
        <w:spacing w:before="120" w:after="120" w:line="276" w:lineRule="auto"/>
        <w:jc w:val="both"/>
        <w:rPr>
          <w:rFonts w:asciiTheme="minorHAnsi" w:hAnsiTheme="minorHAnsi"/>
          <w:b/>
          <w:noProof/>
          <w:color w:val="0070C0"/>
          <w:lang w:val="sq-AL"/>
        </w:rPr>
      </w:pPr>
      <w:r w:rsidRPr="00BB7F2F">
        <w:rPr>
          <w:rFonts w:asciiTheme="minorHAnsi" w:hAnsiTheme="minorHAnsi"/>
          <w:b/>
          <w:noProof/>
          <w:color w:val="0070C0"/>
          <w:lang w:val="sq-AL"/>
        </w:rPr>
        <w:lastRenderedPageBreak/>
        <w:t>INSTITUCIONET E SISTEMIT TË DREJTËSISË</w:t>
      </w:r>
      <w:bookmarkEnd w:id="175"/>
      <w:bookmarkEnd w:id="176"/>
    </w:p>
    <w:p w:rsidR="006308E8" w:rsidRDefault="006308E8" w:rsidP="006308E8">
      <w:pPr>
        <w:spacing w:before="240" w:line="276" w:lineRule="auto"/>
        <w:jc w:val="both"/>
        <w:rPr>
          <w:rFonts w:asciiTheme="minorHAnsi" w:eastAsia="MS Mincho" w:hAnsiTheme="minorHAnsi"/>
          <w:color w:val="000000"/>
          <w:lang w:val="sq-AL"/>
        </w:rPr>
      </w:pPr>
      <w:r w:rsidRPr="00BB7F2F">
        <w:rPr>
          <w:rFonts w:asciiTheme="minorHAnsi" w:eastAsia="MS Mincho" w:hAnsiTheme="minorHAnsi"/>
          <w:color w:val="000000"/>
          <w:lang w:val="sq-AL"/>
        </w:rPr>
        <w:t>Shpenzimet e planifikuara dhe ato faktike si dhe realizimi në përqindje për 4 mujorin e pare 2020 për institucionet e Sistemit të Drejtësisë , paraqiten si më poshtë:</w:t>
      </w:r>
    </w:p>
    <w:p w:rsidR="00524EBF" w:rsidRDefault="00524EBF" w:rsidP="00524EBF">
      <w:pPr>
        <w:pStyle w:val="Caption"/>
        <w:spacing w:after="0"/>
        <w:rPr>
          <w:rFonts w:asciiTheme="minorHAnsi" w:hAnsiTheme="minorHAnsi"/>
          <w:b w:val="0"/>
          <w:bCs w:val="0"/>
          <w:i/>
          <w:noProof/>
          <w:color w:val="auto"/>
          <w:sz w:val="24"/>
          <w:szCs w:val="24"/>
        </w:rPr>
      </w:pPr>
    </w:p>
    <w:p w:rsidR="00524EBF" w:rsidRPr="00524EBF" w:rsidRDefault="00524EBF" w:rsidP="00524EBF">
      <w:pPr>
        <w:pStyle w:val="Caption"/>
        <w:spacing w:after="0"/>
        <w:rPr>
          <w:rFonts w:asciiTheme="minorHAnsi" w:hAnsiTheme="minorHAnsi"/>
          <w:b w:val="0"/>
          <w:bCs w:val="0"/>
          <w:i/>
          <w:noProof/>
          <w:color w:val="auto"/>
          <w:sz w:val="24"/>
          <w:szCs w:val="24"/>
        </w:rPr>
      </w:pPr>
      <w:bookmarkStart w:id="180" w:name="_Toc44404435"/>
      <w:r w:rsidRPr="00524EBF">
        <w:rPr>
          <w:rFonts w:asciiTheme="minorHAnsi" w:hAnsiTheme="minorHAnsi"/>
          <w:b w:val="0"/>
          <w:bCs w:val="0"/>
          <w:i/>
          <w:noProof/>
          <w:color w:val="auto"/>
          <w:sz w:val="24"/>
          <w:szCs w:val="24"/>
        </w:rPr>
        <w:t xml:space="preserve">Tabela </w:t>
      </w:r>
      <w:r w:rsidRPr="00524EBF">
        <w:rPr>
          <w:rFonts w:asciiTheme="minorHAnsi" w:hAnsiTheme="minorHAnsi"/>
          <w:b w:val="0"/>
          <w:bCs w:val="0"/>
          <w:i/>
          <w:noProof/>
          <w:color w:val="auto"/>
          <w:sz w:val="24"/>
          <w:szCs w:val="24"/>
        </w:rPr>
        <w:fldChar w:fldCharType="begin"/>
      </w:r>
      <w:r w:rsidRPr="00524EBF">
        <w:rPr>
          <w:rFonts w:asciiTheme="minorHAnsi" w:hAnsiTheme="minorHAnsi"/>
          <w:b w:val="0"/>
          <w:bCs w:val="0"/>
          <w:i/>
          <w:noProof/>
          <w:color w:val="auto"/>
          <w:sz w:val="24"/>
          <w:szCs w:val="24"/>
        </w:rPr>
        <w:instrText xml:space="preserve"> SEQ Tabela \* ARABIC </w:instrText>
      </w:r>
      <w:r w:rsidRPr="00524EBF">
        <w:rPr>
          <w:rFonts w:asciiTheme="minorHAnsi" w:hAnsiTheme="minorHAnsi"/>
          <w:b w:val="0"/>
          <w:bCs w:val="0"/>
          <w:i/>
          <w:noProof/>
          <w:color w:val="auto"/>
          <w:sz w:val="24"/>
          <w:szCs w:val="24"/>
        </w:rPr>
        <w:fldChar w:fldCharType="separate"/>
      </w:r>
      <w:r w:rsidR="00C342E2">
        <w:rPr>
          <w:rFonts w:asciiTheme="minorHAnsi" w:hAnsiTheme="minorHAnsi"/>
          <w:b w:val="0"/>
          <w:bCs w:val="0"/>
          <w:i/>
          <w:noProof/>
          <w:color w:val="auto"/>
          <w:sz w:val="24"/>
          <w:szCs w:val="24"/>
        </w:rPr>
        <w:t>34</w:t>
      </w:r>
      <w:r w:rsidRPr="00524EBF">
        <w:rPr>
          <w:rFonts w:asciiTheme="minorHAnsi" w:hAnsiTheme="minorHAnsi"/>
          <w:b w:val="0"/>
          <w:bCs w:val="0"/>
          <w:i/>
          <w:noProof/>
          <w:color w:val="auto"/>
          <w:sz w:val="24"/>
          <w:szCs w:val="24"/>
        </w:rPr>
        <w:fldChar w:fldCharType="end"/>
      </w:r>
      <w:r w:rsidRPr="00524EBF">
        <w:rPr>
          <w:rFonts w:asciiTheme="minorHAnsi" w:hAnsiTheme="minorHAnsi"/>
          <w:b w:val="0"/>
          <w:bCs w:val="0"/>
          <w:i/>
          <w:noProof/>
          <w:color w:val="auto"/>
          <w:sz w:val="24"/>
          <w:szCs w:val="24"/>
        </w:rPr>
        <w:t>: Institucionet e Sistemit të Drejtësisë</w:t>
      </w:r>
      <w:bookmarkEnd w:id="180"/>
    </w:p>
    <w:p w:rsidR="006308E8" w:rsidRPr="00BB7F2F" w:rsidRDefault="006308E8" w:rsidP="006308E8">
      <w:pPr>
        <w:spacing w:line="276" w:lineRule="auto"/>
        <w:jc w:val="right"/>
        <w:rPr>
          <w:rFonts w:asciiTheme="minorHAnsi" w:eastAsia="MS Mincho" w:hAnsiTheme="minorHAnsi"/>
          <w:i/>
          <w:iCs/>
          <w:color w:val="000000"/>
          <w:sz w:val="20"/>
          <w:szCs w:val="18"/>
          <w:lang w:val="sq-AL"/>
        </w:rPr>
      </w:pPr>
      <w:r w:rsidRPr="00BB7F2F">
        <w:rPr>
          <w:rFonts w:asciiTheme="minorHAnsi" w:eastAsia="MS Mincho" w:hAnsiTheme="minorHAnsi"/>
          <w:i/>
          <w:iCs/>
          <w:color w:val="000000"/>
          <w:sz w:val="20"/>
          <w:szCs w:val="18"/>
          <w:lang w:val="sq-AL"/>
        </w:rPr>
        <w:t>Në mijë lekë</w:t>
      </w:r>
    </w:p>
    <w:tbl>
      <w:tblPr>
        <w:tblW w:w="9833" w:type="dxa"/>
        <w:jc w:val="center"/>
        <w:tblLook w:val="04A0" w:firstRow="1" w:lastRow="0" w:firstColumn="1" w:lastColumn="0" w:noHBand="0" w:noVBand="1"/>
      </w:tblPr>
      <w:tblGrid>
        <w:gridCol w:w="436"/>
        <w:gridCol w:w="3893"/>
        <w:gridCol w:w="880"/>
        <w:gridCol w:w="952"/>
        <w:gridCol w:w="880"/>
        <w:gridCol w:w="952"/>
        <w:gridCol w:w="884"/>
        <w:gridCol w:w="956"/>
      </w:tblGrid>
      <w:tr w:rsidR="006308E8" w:rsidRPr="002124D1" w:rsidTr="002124D1">
        <w:trPr>
          <w:trHeight w:val="154"/>
          <w:jc w:val="center"/>
        </w:trPr>
        <w:tc>
          <w:tcPr>
            <w:tcW w:w="0" w:type="auto"/>
            <w:vMerge w:val="restart"/>
            <w:tcBorders>
              <w:top w:val="single" w:sz="8" w:space="0" w:color="4BACC6"/>
              <w:left w:val="single" w:sz="8" w:space="0" w:color="4BACC6"/>
              <w:bottom w:val="single" w:sz="8" w:space="0" w:color="4BACC6"/>
              <w:right w:val="nil"/>
            </w:tcBorders>
            <w:shd w:val="clear" w:color="000000" w:fill="4BACC6"/>
            <w:vAlign w:val="center"/>
            <w:hideMark/>
          </w:tcPr>
          <w:p w:rsidR="006308E8" w:rsidRPr="002124D1" w:rsidRDefault="006308E8" w:rsidP="00121650">
            <w:pPr>
              <w:spacing w:line="276" w:lineRule="auto"/>
              <w:jc w:val="center"/>
              <w:rPr>
                <w:rFonts w:asciiTheme="minorHAnsi" w:hAnsiTheme="minorHAnsi"/>
                <w:b/>
                <w:bCs/>
                <w:color w:val="FFFFFF"/>
                <w:sz w:val="18"/>
                <w:szCs w:val="18"/>
                <w:lang w:val="sq-AL"/>
              </w:rPr>
            </w:pPr>
            <w:r w:rsidRPr="002124D1">
              <w:rPr>
                <w:rFonts w:asciiTheme="minorHAnsi" w:hAnsiTheme="minorHAnsi"/>
                <w:b/>
                <w:bCs/>
                <w:color w:val="FFFFFF"/>
                <w:sz w:val="18"/>
                <w:szCs w:val="18"/>
                <w:lang w:val="sq-AL"/>
              </w:rPr>
              <w:t>NR</w:t>
            </w:r>
          </w:p>
        </w:tc>
        <w:tc>
          <w:tcPr>
            <w:tcW w:w="0" w:type="auto"/>
            <w:vMerge w:val="restart"/>
            <w:tcBorders>
              <w:top w:val="single" w:sz="8" w:space="0" w:color="4BACC6"/>
              <w:left w:val="nil"/>
              <w:bottom w:val="single" w:sz="8" w:space="0" w:color="4BACC6"/>
              <w:right w:val="nil"/>
            </w:tcBorders>
            <w:shd w:val="clear" w:color="000000" w:fill="4BACC6"/>
            <w:vAlign w:val="center"/>
            <w:hideMark/>
          </w:tcPr>
          <w:p w:rsidR="006308E8" w:rsidRPr="002124D1" w:rsidRDefault="006308E8" w:rsidP="00121650">
            <w:pPr>
              <w:spacing w:line="276" w:lineRule="auto"/>
              <w:jc w:val="center"/>
              <w:rPr>
                <w:rFonts w:asciiTheme="minorHAnsi" w:hAnsiTheme="minorHAnsi"/>
                <w:b/>
                <w:bCs/>
                <w:color w:val="FFFFFF"/>
                <w:sz w:val="18"/>
                <w:szCs w:val="18"/>
                <w:lang w:val="sq-AL"/>
              </w:rPr>
            </w:pPr>
            <w:r w:rsidRPr="002124D1">
              <w:rPr>
                <w:rFonts w:asciiTheme="minorHAnsi" w:hAnsiTheme="minorHAnsi"/>
                <w:b/>
                <w:bCs/>
                <w:color w:val="FFFFFF"/>
                <w:sz w:val="18"/>
                <w:szCs w:val="18"/>
                <w:lang w:val="sq-AL"/>
              </w:rPr>
              <w:t>Emërtimi I Programit/Institucionit</w:t>
            </w:r>
          </w:p>
        </w:tc>
        <w:tc>
          <w:tcPr>
            <w:tcW w:w="0" w:type="auto"/>
            <w:gridSpan w:val="2"/>
            <w:tcBorders>
              <w:top w:val="single" w:sz="8" w:space="0" w:color="4BACC6"/>
              <w:left w:val="nil"/>
              <w:bottom w:val="single" w:sz="8" w:space="0" w:color="4BACC6"/>
              <w:right w:val="nil"/>
            </w:tcBorders>
            <w:shd w:val="clear" w:color="000000" w:fill="4BACC6"/>
            <w:vAlign w:val="center"/>
            <w:hideMark/>
          </w:tcPr>
          <w:p w:rsidR="006308E8" w:rsidRPr="002124D1" w:rsidRDefault="006308E8" w:rsidP="00121650">
            <w:pPr>
              <w:spacing w:line="276" w:lineRule="auto"/>
              <w:jc w:val="center"/>
              <w:rPr>
                <w:rFonts w:asciiTheme="minorHAnsi" w:hAnsiTheme="minorHAnsi"/>
                <w:b/>
                <w:bCs/>
                <w:color w:val="FFFFFF"/>
                <w:sz w:val="18"/>
                <w:szCs w:val="18"/>
                <w:lang w:val="sq-AL"/>
              </w:rPr>
            </w:pPr>
            <w:r w:rsidRPr="002124D1">
              <w:rPr>
                <w:rFonts w:asciiTheme="minorHAnsi" w:hAnsiTheme="minorHAnsi"/>
                <w:b/>
                <w:bCs/>
                <w:color w:val="FFFFFF"/>
                <w:sz w:val="18"/>
                <w:szCs w:val="18"/>
                <w:lang w:val="sq-AL"/>
              </w:rPr>
              <w:t>Plani 2020</w:t>
            </w:r>
          </w:p>
        </w:tc>
        <w:tc>
          <w:tcPr>
            <w:tcW w:w="0" w:type="auto"/>
            <w:gridSpan w:val="2"/>
            <w:tcBorders>
              <w:top w:val="single" w:sz="8" w:space="0" w:color="4BACC6"/>
              <w:left w:val="nil"/>
              <w:bottom w:val="single" w:sz="8" w:space="0" w:color="4BACC6"/>
              <w:right w:val="nil"/>
            </w:tcBorders>
            <w:shd w:val="clear" w:color="000000" w:fill="4BACC6"/>
            <w:vAlign w:val="center"/>
            <w:hideMark/>
          </w:tcPr>
          <w:p w:rsidR="006308E8" w:rsidRPr="002124D1" w:rsidRDefault="006308E8" w:rsidP="00121650">
            <w:pPr>
              <w:spacing w:line="276" w:lineRule="auto"/>
              <w:jc w:val="center"/>
              <w:rPr>
                <w:rFonts w:asciiTheme="minorHAnsi" w:hAnsiTheme="minorHAnsi"/>
                <w:b/>
                <w:bCs/>
                <w:color w:val="FFFFFF"/>
                <w:sz w:val="18"/>
                <w:szCs w:val="18"/>
                <w:lang w:val="sq-AL"/>
              </w:rPr>
            </w:pPr>
            <w:r w:rsidRPr="002124D1">
              <w:rPr>
                <w:rFonts w:asciiTheme="minorHAnsi" w:hAnsiTheme="minorHAnsi"/>
                <w:b/>
                <w:bCs/>
                <w:color w:val="FFFFFF"/>
                <w:sz w:val="18"/>
                <w:szCs w:val="18"/>
                <w:lang w:val="sq-AL"/>
              </w:rPr>
              <w:t>Fakti 4 mujori I</w:t>
            </w:r>
          </w:p>
        </w:tc>
        <w:tc>
          <w:tcPr>
            <w:tcW w:w="0" w:type="auto"/>
            <w:gridSpan w:val="2"/>
            <w:tcBorders>
              <w:top w:val="single" w:sz="8" w:space="0" w:color="4BACC6"/>
              <w:left w:val="nil"/>
              <w:bottom w:val="single" w:sz="8" w:space="0" w:color="4BACC6"/>
              <w:right w:val="single" w:sz="8" w:space="0" w:color="4BACC6"/>
            </w:tcBorders>
            <w:shd w:val="clear" w:color="000000" w:fill="4BACC6"/>
            <w:vAlign w:val="center"/>
            <w:hideMark/>
          </w:tcPr>
          <w:p w:rsidR="006308E8" w:rsidRPr="002124D1" w:rsidRDefault="006308E8" w:rsidP="00121650">
            <w:pPr>
              <w:spacing w:line="276" w:lineRule="auto"/>
              <w:jc w:val="center"/>
              <w:rPr>
                <w:rFonts w:asciiTheme="minorHAnsi" w:hAnsiTheme="minorHAnsi"/>
                <w:b/>
                <w:bCs/>
                <w:color w:val="FFFFFF"/>
                <w:sz w:val="18"/>
                <w:szCs w:val="18"/>
                <w:lang w:val="sq-AL"/>
              </w:rPr>
            </w:pPr>
            <w:r w:rsidRPr="002124D1">
              <w:rPr>
                <w:rFonts w:asciiTheme="minorHAnsi" w:hAnsiTheme="minorHAnsi"/>
                <w:b/>
                <w:bCs/>
                <w:color w:val="FFFFFF"/>
                <w:sz w:val="18"/>
                <w:szCs w:val="18"/>
                <w:lang w:val="sq-AL"/>
              </w:rPr>
              <w:t>Përqindja  e realizimit</w:t>
            </w:r>
          </w:p>
        </w:tc>
      </w:tr>
      <w:tr w:rsidR="006308E8" w:rsidRPr="002124D1" w:rsidTr="002124D1">
        <w:trPr>
          <w:trHeight w:val="154"/>
          <w:jc w:val="center"/>
        </w:trPr>
        <w:tc>
          <w:tcPr>
            <w:tcW w:w="0" w:type="auto"/>
            <w:vMerge/>
            <w:tcBorders>
              <w:top w:val="single" w:sz="8" w:space="0" w:color="4BACC6"/>
              <w:left w:val="single" w:sz="8" w:space="0" w:color="4BACC6"/>
              <w:bottom w:val="single" w:sz="8" w:space="0" w:color="4BACC6"/>
              <w:right w:val="nil"/>
            </w:tcBorders>
            <w:vAlign w:val="center"/>
            <w:hideMark/>
          </w:tcPr>
          <w:p w:rsidR="006308E8" w:rsidRPr="002124D1" w:rsidRDefault="006308E8" w:rsidP="00121650">
            <w:pPr>
              <w:spacing w:line="276" w:lineRule="auto"/>
              <w:rPr>
                <w:rFonts w:asciiTheme="minorHAnsi" w:hAnsiTheme="minorHAnsi"/>
                <w:b/>
                <w:bCs/>
                <w:color w:val="FFFFFF"/>
                <w:sz w:val="18"/>
                <w:szCs w:val="18"/>
                <w:lang w:val="sq-AL"/>
              </w:rPr>
            </w:pPr>
          </w:p>
        </w:tc>
        <w:tc>
          <w:tcPr>
            <w:tcW w:w="0" w:type="auto"/>
            <w:vMerge/>
            <w:tcBorders>
              <w:top w:val="single" w:sz="8" w:space="0" w:color="4BACC6"/>
              <w:left w:val="nil"/>
              <w:bottom w:val="single" w:sz="8" w:space="0" w:color="4BACC6"/>
              <w:right w:val="nil"/>
            </w:tcBorders>
            <w:vAlign w:val="center"/>
            <w:hideMark/>
          </w:tcPr>
          <w:p w:rsidR="006308E8" w:rsidRPr="002124D1" w:rsidRDefault="006308E8" w:rsidP="00121650">
            <w:pPr>
              <w:spacing w:line="276" w:lineRule="auto"/>
              <w:rPr>
                <w:rFonts w:asciiTheme="minorHAnsi" w:hAnsiTheme="minorHAnsi"/>
                <w:b/>
                <w:bCs/>
                <w:color w:val="FFFFFF"/>
                <w:sz w:val="18"/>
                <w:szCs w:val="18"/>
                <w:lang w:val="sq-AL"/>
              </w:rPr>
            </w:pPr>
          </w:p>
        </w:tc>
        <w:tc>
          <w:tcPr>
            <w:tcW w:w="0" w:type="auto"/>
            <w:tcBorders>
              <w:top w:val="nil"/>
              <w:left w:val="nil"/>
              <w:bottom w:val="single" w:sz="8" w:space="0" w:color="4BACC6"/>
              <w:right w:val="nil"/>
            </w:tcBorders>
            <w:shd w:val="clear" w:color="auto" w:fill="auto"/>
            <w:vAlign w:val="center"/>
            <w:hideMark/>
          </w:tcPr>
          <w:p w:rsidR="006308E8" w:rsidRPr="002124D1" w:rsidRDefault="006308E8" w:rsidP="00121650">
            <w:pPr>
              <w:spacing w:line="276" w:lineRule="auto"/>
              <w:jc w:val="center"/>
              <w:rPr>
                <w:rFonts w:asciiTheme="minorHAnsi" w:hAnsiTheme="minorHAnsi"/>
                <w:b/>
                <w:bCs/>
                <w:color w:val="000000"/>
                <w:sz w:val="18"/>
                <w:szCs w:val="18"/>
                <w:lang w:val="sq-AL"/>
              </w:rPr>
            </w:pPr>
            <w:r w:rsidRPr="002124D1">
              <w:rPr>
                <w:rFonts w:asciiTheme="minorHAnsi" w:hAnsiTheme="minorHAnsi"/>
                <w:b/>
                <w:bCs/>
                <w:color w:val="000000"/>
                <w:sz w:val="18"/>
                <w:szCs w:val="18"/>
                <w:lang w:val="sq-AL"/>
              </w:rPr>
              <w:t>Korrente</w:t>
            </w:r>
          </w:p>
        </w:tc>
        <w:tc>
          <w:tcPr>
            <w:tcW w:w="0" w:type="auto"/>
            <w:tcBorders>
              <w:top w:val="nil"/>
              <w:left w:val="nil"/>
              <w:bottom w:val="single" w:sz="8" w:space="0" w:color="4BACC6"/>
              <w:right w:val="nil"/>
            </w:tcBorders>
            <w:shd w:val="clear" w:color="auto" w:fill="auto"/>
            <w:vAlign w:val="center"/>
            <w:hideMark/>
          </w:tcPr>
          <w:p w:rsidR="006308E8" w:rsidRPr="002124D1" w:rsidRDefault="006308E8" w:rsidP="00121650">
            <w:pPr>
              <w:spacing w:line="276" w:lineRule="auto"/>
              <w:jc w:val="center"/>
              <w:rPr>
                <w:rFonts w:asciiTheme="minorHAnsi" w:hAnsiTheme="minorHAnsi"/>
                <w:b/>
                <w:bCs/>
                <w:color w:val="000000"/>
                <w:sz w:val="18"/>
                <w:szCs w:val="18"/>
                <w:lang w:val="sq-AL"/>
              </w:rPr>
            </w:pPr>
            <w:r w:rsidRPr="002124D1">
              <w:rPr>
                <w:rFonts w:asciiTheme="minorHAnsi" w:hAnsiTheme="minorHAnsi"/>
                <w:b/>
                <w:bCs/>
                <w:color w:val="000000"/>
                <w:sz w:val="18"/>
                <w:szCs w:val="18"/>
                <w:lang w:val="sq-AL"/>
              </w:rPr>
              <w:t>Investime</w:t>
            </w:r>
          </w:p>
        </w:tc>
        <w:tc>
          <w:tcPr>
            <w:tcW w:w="0" w:type="auto"/>
            <w:tcBorders>
              <w:top w:val="nil"/>
              <w:left w:val="nil"/>
              <w:bottom w:val="single" w:sz="8" w:space="0" w:color="4BACC6"/>
              <w:right w:val="nil"/>
            </w:tcBorders>
            <w:shd w:val="clear" w:color="auto" w:fill="auto"/>
            <w:vAlign w:val="center"/>
            <w:hideMark/>
          </w:tcPr>
          <w:p w:rsidR="006308E8" w:rsidRPr="002124D1" w:rsidRDefault="006308E8" w:rsidP="00121650">
            <w:pPr>
              <w:spacing w:line="276" w:lineRule="auto"/>
              <w:jc w:val="center"/>
              <w:rPr>
                <w:rFonts w:asciiTheme="minorHAnsi" w:hAnsiTheme="minorHAnsi"/>
                <w:b/>
                <w:bCs/>
                <w:color w:val="000000"/>
                <w:sz w:val="18"/>
                <w:szCs w:val="18"/>
                <w:lang w:val="sq-AL"/>
              </w:rPr>
            </w:pPr>
            <w:r w:rsidRPr="002124D1">
              <w:rPr>
                <w:rFonts w:asciiTheme="minorHAnsi" w:hAnsiTheme="minorHAnsi"/>
                <w:b/>
                <w:bCs/>
                <w:color w:val="000000"/>
                <w:sz w:val="18"/>
                <w:szCs w:val="18"/>
                <w:lang w:val="sq-AL"/>
              </w:rPr>
              <w:t>Korrente</w:t>
            </w:r>
          </w:p>
        </w:tc>
        <w:tc>
          <w:tcPr>
            <w:tcW w:w="0" w:type="auto"/>
            <w:tcBorders>
              <w:top w:val="nil"/>
              <w:left w:val="nil"/>
              <w:bottom w:val="single" w:sz="8" w:space="0" w:color="4BACC6"/>
              <w:right w:val="nil"/>
            </w:tcBorders>
            <w:shd w:val="clear" w:color="auto" w:fill="auto"/>
            <w:vAlign w:val="center"/>
            <w:hideMark/>
          </w:tcPr>
          <w:p w:rsidR="006308E8" w:rsidRPr="002124D1" w:rsidRDefault="006308E8" w:rsidP="00121650">
            <w:pPr>
              <w:spacing w:line="276" w:lineRule="auto"/>
              <w:jc w:val="center"/>
              <w:rPr>
                <w:rFonts w:asciiTheme="minorHAnsi" w:hAnsiTheme="minorHAnsi"/>
                <w:b/>
                <w:bCs/>
                <w:color w:val="000000"/>
                <w:sz w:val="18"/>
                <w:szCs w:val="18"/>
                <w:lang w:val="sq-AL"/>
              </w:rPr>
            </w:pPr>
            <w:r w:rsidRPr="002124D1">
              <w:rPr>
                <w:rFonts w:asciiTheme="minorHAnsi" w:hAnsiTheme="minorHAnsi"/>
                <w:b/>
                <w:bCs/>
                <w:color w:val="000000"/>
                <w:sz w:val="18"/>
                <w:szCs w:val="18"/>
                <w:lang w:val="sq-AL"/>
              </w:rPr>
              <w:t>Investime</w:t>
            </w:r>
          </w:p>
        </w:tc>
        <w:tc>
          <w:tcPr>
            <w:tcW w:w="0" w:type="auto"/>
            <w:tcBorders>
              <w:top w:val="nil"/>
              <w:left w:val="nil"/>
              <w:bottom w:val="single" w:sz="8" w:space="0" w:color="4BACC6"/>
              <w:right w:val="nil"/>
            </w:tcBorders>
            <w:shd w:val="clear" w:color="auto" w:fill="auto"/>
            <w:vAlign w:val="center"/>
            <w:hideMark/>
          </w:tcPr>
          <w:p w:rsidR="006308E8" w:rsidRPr="002124D1" w:rsidRDefault="006308E8" w:rsidP="00121650">
            <w:pPr>
              <w:spacing w:line="276" w:lineRule="auto"/>
              <w:jc w:val="center"/>
              <w:rPr>
                <w:rFonts w:asciiTheme="minorHAnsi" w:hAnsiTheme="minorHAnsi"/>
                <w:b/>
                <w:bCs/>
                <w:color w:val="000000"/>
                <w:sz w:val="18"/>
                <w:szCs w:val="18"/>
                <w:lang w:val="sq-AL"/>
              </w:rPr>
            </w:pPr>
            <w:r w:rsidRPr="002124D1">
              <w:rPr>
                <w:rFonts w:asciiTheme="minorHAnsi" w:hAnsiTheme="minorHAnsi"/>
                <w:b/>
                <w:bCs/>
                <w:color w:val="000000"/>
                <w:sz w:val="18"/>
                <w:szCs w:val="18"/>
                <w:lang w:val="sq-AL"/>
              </w:rPr>
              <w:t>Korrente</w:t>
            </w:r>
          </w:p>
        </w:tc>
        <w:tc>
          <w:tcPr>
            <w:tcW w:w="0" w:type="auto"/>
            <w:tcBorders>
              <w:top w:val="nil"/>
              <w:left w:val="nil"/>
              <w:bottom w:val="single" w:sz="8" w:space="0" w:color="4BACC6"/>
              <w:right w:val="single" w:sz="8" w:space="0" w:color="4BACC6"/>
            </w:tcBorders>
            <w:shd w:val="clear" w:color="auto" w:fill="auto"/>
            <w:vAlign w:val="center"/>
            <w:hideMark/>
          </w:tcPr>
          <w:p w:rsidR="006308E8" w:rsidRPr="002124D1" w:rsidRDefault="006308E8" w:rsidP="00121650">
            <w:pPr>
              <w:spacing w:line="276" w:lineRule="auto"/>
              <w:jc w:val="center"/>
              <w:rPr>
                <w:rFonts w:asciiTheme="minorHAnsi" w:hAnsiTheme="minorHAnsi"/>
                <w:b/>
                <w:bCs/>
                <w:color w:val="000000"/>
                <w:sz w:val="18"/>
                <w:szCs w:val="18"/>
                <w:lang w:val="sq-AL"/>
              </w:rPr>
            </w:pPr>
            <w:r w:rsidRPr="002124D1">
              <w:rPr>
                <w:rFonts w:asciiTheme="minorHAnsi" w:hAnsiTheme="minorHAnsi"/>
                <w:b/>
                <w:bCs/>
                <w:color w:val="000000"/>
                <w:sz w:val="18"/>
                <w:szCs w:val="18"/>
                <w:lang w:val="sq-AL"/>
              </w:rPr>
              <w:t>Investime</w:t>
            </w:r>
          </w:p>
        </w:tc>
      </w:tr>
      <w:tr w:rsidR="006308E8" w:rsidRPr="002124D1" w:rsidTr="002124D1">
        <w:trPr>
          <w:trHeight w:val="361"/>
          <w:jc w:val="center"/>
        </w:trPr>
        <w:tc>
          <w:tcPr>
            <w:tcW w:w="0" w:type="auto"/>
            <w:tcBorders>
              <w:top w:val="nil"/>
              <w:left w:val="single" w:sz="8" w:space="0" w:color="4BACC6"/>
              <w:bottom w:val="single" w:sz="8" w:space="0" w:color="4BACC6"/>
              <w:right w:val="single" w:sz="8" w:space="0" w:color="4BACC6"/>
            </w:tcBorders>
            <w:shd w:val="clear" w:color="000000" w:fill="FFFFFF"/>
            <w:vAlign w:val="center"/>
            <w:hideMark/>
          </w:tcPr>
          <w:p w:rsidR="006308E8" w:rsidRPr="002124D1" w:rsidRDefault="006308E8" w:rsidP="00121650">
            <w:pPr>
              <w:spacing w:line="276" w:lineRule="auto"/>
              <w:jc w:val="center"/>
              <w:rPr>
                <w:rFonts w:asciiTheme="minorHAnsi" w:hAnsiTheme="minorHAnsi"/>
                <w:b/>
                <w:bCs/>
                <w:color w:val="000000"/>
                <w:sz w:val="18"/>
                <w:szCs w:val="18"/>
                <w:lang w:val="sq-AL"/>
              </w:rPr>
            </w:pPr>
            <w:r w:rsidRPr="002124D1">
              <w:rPr>
                <w:rFonts w:asciiTheme="minorHAnsi" w:hAnsiTheme="minorHAnsi"/>
                <w:b/>
                <w:bCs/>
                <w:color w:val="000000"/>
                <w:sz w:val="18"/>
                <w:szCs w:val="18"/>
                <w:lang w:val="sq-AL"/>
              </w:rPr>
              <w:t>1</w:t>
            </w:r>
          </w:p>
        </w:tc>
        <w:tc>
          <w:tcPr>
            <w:tcW w:w="0" w:type="auto"/>
            <w:tcBorders>
              <w:top w:val="nil"/>
              <w:left w:val="nil"/>
              <w:bottom w:val="single" w:sz="8" w:space="0" w:color="4BACC6"/>
              <w:right w:val="single" w:sz="8" w:space="0" w:color="4BACC6"/>
            </w:tcBorders>
            <w:shd w:val="clear" w:color="auto" w:fill="auto"/>
            <w:vAlign w:val="center"/>
            <w:hideMark/>
          </w:tcPr>
          <w:p w:rsidR="006308E8" w:rsidRPr="002124D1" w:rsidRDefault="006308E8" w:rsidP="00121650">
            <w:pPr>
              <w:spacing w:line="276" w:lineRule="auto"/>
              <w:jc w:val="center"/>
              <w:rPr>
                <w:rFonts w:asciiTheme="minorHAnsi" w:hAnsiTheme="minorHAnsi"/>
                <w:color w:val="000000"/>
                <w:sz w:val="18"/>
                <w:szCs w:val="18"/>
                <w:lang w:val="sq-AL"/>
              </w:rPr>
            </w:pPr>
            <w:r w:rsidRPr="002124D1">
              <w:rPr>
                <w:rFonts w:asciiTheme="minorHAnsi" w:hAnsiTheme="minorHAnsi"/>
                <w:color w:val="000000"/>
                <w:sz w:val="18"/>
                <w:szCs w:val="18"/>
                <w:lang w:val="sq-AL"/>
              </w:rPr>
              <w:t>Veprimtaria e Inspektoriatit te Larte te Drejtesise /</w:t>
            </w:r>
            <w:r w:rsidRPr="002124D1">
              <w:rPr>
                <w:rFonts w:asciiTheme="minorHAnsi" w:hAnsiTheme="minorHAnsi"/>
                <w:b/>
                <w:bCs/>
                <w:color w:val="000000"/>
                <w:sz w:val="18"/>
                <w:szCs w:val="18"/>
                <w:lang w:val="sq-AL"/>
              </w:rPr>
              <w:t xml:space="preserve"> Inspektoriati i Larte i Drejtesise</w:t>
            </w:r>
          </w:p>
        </w:tc>
        <w:tc>
          <w:tcPr>
            <w:tcW w:w="0" w:type="auto"/>
            <w:tcBorders>
              <w:top w:val="nil"/>
              <w:left w:val="nil"/>
              <w:bottom w:val="single" w:sz="8" w:space="0" w:color="4BACC6"/>
              <w:right w:val="single" w:sz="8" w:space="0" w:color="4BACC6"/>
            </w:tcBorders>
            <w:shd w:val="clear" w:color="auto" w:fill="auto"/>
            <w:noWrap/>
            <w:vAlign w:val="center"/>
            <w:hideMark/>
          </w:tcPr>
          <w:p w:rsidR="006308E8" w:rsidRPr="002124D1" w:rsidRDefault="006308E8" w:rsidP="00121650">
            <w:pPr>
              <w:spacing w:line="276" w:lineRule="auto"/>
              <w:jc w:val="center"/>
              <w:rPr>
                <w:rFonts w:asciiTheme="minorHAnsi" w:hAnsiTheme="minorHAnsi"/>
                <w:color w:val="000000"/>
                <w:sz w:val="18"/>
                <w:szCs w:val="18"/>
                <w:lang w:val="sq-AL"/>
              </w:rPr>
            </w:pPr>
            <w:r w:rsidRPr="002124D1">
              <w:rPr>
                <w:rFonts w:asciiTheme="minorHAnsi" w:hAnsiTheme="minorHAnsi"/>
                <w:color w:val="000000"/>
                <w:sz w:val="18"/>
                <w:szCs w:val="18"/>
                <w:lang w:val="sq-AL"/>
              </w:rPr>
              <w:t>79,350</w:t>
            </w:r>
          </w:p>
        </w:tc>
        <w:tc>
          <w:tcPr>
            <w:tcW w:w="0" w:type="auto"/>
            <w:tcBorders>
              <w:top w:val="nil"/>
              <w:left w:val="nil"/>
              <w:bottom w:val="single" w:sz="8" w:space="0" w:color="4BACC6"/>
              <w:right w:val="single" w:sz="8" w:space="0" w:color="4BACC6"/>
            </w:tcBorders>
            <w:shd w:val="clear" w:color="auto" w:fill="auto"/>
            <w:noWrap/>
            <w:vAlign w:val="center"/>
            <w:hideMark/>
          </w:tcPr>
          <w:p w:rsidR="006308E8" w:rsidRPr="002124D1" w:rsidRDefault="006308E8" w:rsidP="00121650">
            <w:pPr>
              <w:spacing w:line="276" w:lineRule="auto"/>
              <w:jc w:val="center"/>
              <w:rPr>
                <w:rFonts w:asciiTheme="minorHAnsi" w:hAnsiTheme="minorHAnsi"/>
                <w:color w:val="000000"/>
                <w:sz w:val="18"/>
                <w:szCs w:val="18"/>
                <w:lang w:val="sq-AL"/>
              </w:rPr>
            </w:pPr>
            <w:r w:rsidRPr="002124D1">
              <w:rPr>
                <w:rFonts w:asciiTheme="minorHAnsi" w:hAnsiTheme="minorHAnsi"/>
                <w:color w:val="000000"/>
                <w:sz w:val="18"/>
                <w:szCs w:val="18"/>
                <w:lang w:val="sq-AL"/>
              </w:rPr>
              <w:t>7,000</w:t>
            </w:r>
          </w:p>
        </w:tc>
        <w:tc>
          <w:tcPr>
            <w:tcW w:w="0" w:type="auto"/>
            <w:tcBorders>
              <w:top w:val="nil"/>
              <w:left w:val="nil"/>
              <w:bottom w:val="single" w:sz="8" w:space="0" w:color="4BACC6"/>
              <w:right w:val="single" w:sz="8" w:space="0" w:color="4BACC6"/>
            </w:tcBorders>
            <w:shd w:val="clear" w:color="auto" w:fill="auto"/>
            <w:noWrap/>
            <w:vAlign w:val="center"/>
            <w:hideMark/>
          </w:tcPr>
          <w:p w:rsidR="006308E8" w:rsidRPr="002124D1" w:rsidRDefault="006308E8" w:rsidP="00121650">
            <w:pPr>
              <w:spacing w:line="276" w:lineRule="auto"/>
              <w:jc w:val="center"/>
              <w:rPr>
                <w:rFonts w:asciiTheme="minorHAnsi" w:hAnsiTheme="minorHAnsi"/>
                <w:color w:val="000000"/>
                <w:sz w:val="18"/>
                <w:szCs w:val="18"/>
                <w:lang w:val="sq-AL"/>
              </w:rPr>
            </w:pPr>
            <w:r w:rsidRPr="002124D1">
              <w:rPr>
                <w:rFonts w:asciiTheme="minorHAnsi" w:hAnsiTheme="minorHAnsi"/>
                <w:color w:val="000000"/>
                <w:sz w:val="18"/>
                <w:szCs w:val="18"/>
                <w:lang w:val="sq-AL"/>
              </w:rPr>
              <w:t>2,322</w:t>
            </w:r>
          </w:p>
        </w:tc>
        <w:tc>
          <w:tcPr>
            <w:tcW w:w="0" w:type="auto"/>
            <w:tcBorders>
              <w:top w:val="nil"/>
              <w:left w:val="nil"/>
              <w:bottom w:val="single" w:sz="8" w:space="0" w:color="4BACC6"/>
              <w:right w:val="single" w:sz="8" w:space="0" w:color="4BACC6"/>
            </w:tcBorders>
            <w:shd w:val="clear" w:color="auto" w:fill="auto"/>
            <w:noWrap/>
            <w:vAlign w:val="center"/>
            <w:hideMark/>
          </w:tcPr>
          <w:p w:rsidR="006308E8" w:rsidRPr="002124D1" w:rsidRDefault="006308E8" w:rsidP="00121650">
            <w:pPr>
              <w:spacing w:line="276" w:lineRule="auto"/>
              <w:jc w:val="center"/>
              <w:rPr>
                <w:rFonts w:asciiTheme="minorHAnsi" w:hAnsiTheme="minorHAnsi"/>
                <w:color w:val="000000"/>
                <w:sz w:val="18"/>
                <w:szCs w:val="18"/>
                <w:lang w:val="sq-AL"/>
              </w:rPr>
            </w:pPr>
            <w:r w:rsidRPr="002124D1">
              <w:rPr>
                <w:rFonts w:asciiTheme="minorHAnsi" w:hAnsiTheme="minorHAnsi"/>
                <w:color w:val="000000"/>
                <w:sz w:val="18"/>
                <w:szCs w:val="18"/>
                <w:lang w:val="sq-AL"/>
              </w:rPr>
              <w:t>0</w:t>
            </w:r>
          </w:p>
        </w:tc>
        <w:tc>
          <w:tcPr>
            <w:tcW w:w="0" w:type="auto"/>
            <w:tcBorders>
              <w:top w:val="nil"/>
              <w:left w:val="nil"/>
              <w:bottom w:val="single" w:sz="8" w:space="0" w:color="4BACC6"/>
              <w:right w:val="single" w:sz="8" w:space="0" w:color="4BACC6"/>
            </w:tcBorders>
            <w:shd w:val="clear" w:color="auto" w:fill="auto"/>
            <w:vAlign w:val="center"/>
            <w:hideMark/>
          </w:tcPr>
          <w:p w:rsidR="006308E8" w:rsidRPr="002124D1" w:rsidRDefault="006308E8" w:rsidP="00121650">
            <w:pPr>
              <w:spacing w:line="276" w:lineRule="auto"/>
              <w:jc w:val="center"/>
              <w:rPr>
                <w:rFonts w:asciiTheme="minorHAnsi" w:hAnsiTheme="minorHAnsi"/>
                <w:color w:val="000000"/>
                <w:sz w:val="18"/>
                <w:szCs w:val="18"/>
                <w:lang w:val="sq-AL"/>
              </w:rPr>
            </w:pPr>
            <w:r w:rsidRPr="002124D1">
              <w:rPr>
                <w:rFonts w:asciiTheme="minorHAnsi" w:eastAsia="MS Mincho" w:hAnsiTheme="minorHAnsi"/>
                <w:color w:val="000000"/>
                <w:sz w:val="18"/>
                <w:szCs w:val="18"/>
                <w:lang w:val="sq-AL"/>
              </w:rPr>
              <w:t>2.9%</w:t>
            </w:r>
          </w:p>
        </w:tc>
        <w:tc>
          <w:tcPr>
            <w:tcW w:w="0" w:type="auto"/>
            <w:tcBorders>
              <w:top w:val="nil"/>
              <w:left w:val="nil"/>
              <w:bottom w:val="single" w:sz="8" w:space="0" w:color="4BACC6"/>
              <w:right w:val="single" w:sz="8" w:space="0" w:color="4BACC6"/>
            </w:tcBorders>
            <w:shd w:val="clear" w:color="auto" w:fill="auto"/>
            <w:vAlign w:val="center"/>
            <w:hideMark/>
          </w:tcPr>
          <w:p w:rsidR="006308E8" w:rsidRPr="002124D1" w:rsidRDefault="006308E8" w:rsidP="00121650">
            <w:pPr>
              <w:spacing w:line="276" w:lineRule="auto"/>
              <w:jc w:val="center"/>
              <w:rPr>
                <w:rFonts w:asciiTheme="minorHAnsi" w:hAnsiTheme="minorHAnsi"/>
                <w:color w:val="000000"/>
                <w:sz w:val="18"/>
                <w:szCs w:val="18"/>
                <w:lang w:val="sq-AL"/>
              </w:rPr>
            </w:pPr>
            <w:r w:rsidRPr="002124D1">
              <w:rPr>
                <w:rFonts w:asciiTheme="minorHAnsi" w:eastAsia="MS Mincho" w:hAnsiTheme="minorHAnsi"/>
                <w:color w:val="000000"/>
                <w:sz w:val="18"/>
                <w:szCs w:val="18"/>
                <w:lang w:val="sq-AL"/>
              </w:rPr>
              <w:t>0.0%</w:t>
            </w:r>
          </w:p>
        </w:tc>
      </w:tr>
      <w:tr w:rsidR="006308E8" w:rsidRPr="002124D1" w:rsidTr="002124D1">
        <w:trPr>
          <w:trHeight w:val="361"/>
          <w:jc w:val="center"/>
        </w:trPr>
        <w:tc>
          <w:tcPr>
            <w:tcW w:w="0" w:type="auto"/>
            <w:tcBorders>
              <w:top w:val="nil"/>
              <w:left w:val="single" w:sz="8" w:space="0" w:color="4BACC6"/>
              <w:bottom w:val="single" w:sz="8" w:space="0" w:color="4BACC6"/>
              <w:right w:val="single" w:sz="8" w:space="0" w:color="4BACC6"/>
            </w:tcBorders>
            <w:shd w:val="clear" w:color="000000" w:fill="FFFFFF"/>
            <w:vAlign w:val="center"/>
            <w:hideMark/>
          </w:tcPr>
          <w:p w:rsidR="006308E8" w:rsidRPr="002124D1" w:rsidRDefault="006308E8" w:rsidP="00121650">
            <w:pPr>
              <w:spacing w:line="276" w:lineRule="auto"/>
              <w:jc w:val="center"/>
              <w:rPr>
                <w:rFonts w:asciiTheme="minorHAnsi" w:hAnsiTheme="minorHAnsi"/>
                <w:b/>
                <w:bCs/>
                <w:color w:val="000000"/>
                <w:sz w:val="18"/>
                <w:szCs w:val="18"/>
                <w:lang w:val="sq-AL"/>
              </w:rPr>
            </w:pPr>
            <w:r w:rsidRPr="002124D1">
              <w:rPr>
                <w:rFonts w:asciiTheme="minorHAnsi" w:hAnsiTheme="minorHAnsi"/>
                <w:b/>
                <w:bCs/>
                <w:color w:val="000000"/>
                <w:sz w:val="18"/>
                <w:szCs w:val="18"/>
                <w:lang w:val="sq-AL"/>
              </w:rPr>
              <w:t>2</w:t>
            </w:r>
          </w:p>
        </w:tc>
        <w:tc>
          <w:tcPr>
            <w:tcW w:w="0" w:type="auto"/>
            <w:tcBorders>
              <w:top w:val="nil"/>
              <w:left w:val="nil"/>
              <w:bottom w:val="single" w:sz="8" w:space="0" w:color="4BACC6"/>
              <w:right w:val="single" w:sz="8" w:space="0" w:color="4BACC6"/>
            </w:tcBorders>
            <w:shd w:val="clear" w:color="auto" w:fill="auto"/>
            <w:vAlign w:val="center"/>
            <w:hideMark/>
          </w:tcPr>
          <w:p w:rsidR="006308E8" w:rsidRPr="002124D1" w:rsidRDefault="006308E8" w:rsidP="00121650">
            <w:pPr>
              <w:spacing w:line="276" w:lineRule="auto"/>
              <w:jc w:val="center"/>
              <w:rPr>
                <w:rFonts w:asciiTheme="minorHAnsi" w:hAnsiTheme="minorHAnsi"/>
                <w:color w:val="000000"/>
                <w:sz w:val="18"/>
                <w:szCs w:val="18"/>
                <w:lang w:val="sq-AL"/>
              </w:rPr>
            </w:pPr>
            <w:r w:rsidRPr="002124D1">
              <w:rPr>
                <w:rFonts w:asciiTheme="minorHAnsi" w:hAnsiTheme="minorHAnsi"/>
                <w:color w:val="000000"/>
                <w:sz w:val="18"/>
                <w:szCs w:val="18"/>
                <w:lang w:val="sq-AL"/>
              </w:rPr>
              <w:t xml:space="preserve">Veprimtaria e rivlerësimit kalimtar të magjistratit / </w:t>
            </w:r>
            <w:r w:rsidRPr="002124D1">
              <w:rPr>
                <w:rFonts w:asciiTheme="minorHAnsi" w:hAnsiTheme="minorHAnsi"/>
                <w:b/>
                <w:bCs/>
                <w:color w:val="000000"/>
                <w:sz w:val="18"/>
                <w:szCs w:val="18"/>
                <w:lang w:val="sq-AL"/>
              </w:rPr>
              <w:t>Komisioni I Pavarur I Kualifikimit</w:t>
            </w:r>
          </w:p>
        </w:tc>
        <w:tc>
          <w:tcPr>
            <w:tcW w:w="0" w:type="auto"/>
            <w:tcBorders>
              <w:top w:val="nil"/>
              <w:left w:val="nil"/>
              <w:bottom w:val="single" w:sz="8" w:space="0" w:color="4BACC6"/>
              <w:right w:val="single" w:sz="8" w:space="0" w:color="4BACC6"/>
            </w:tcBorders>
            <w:shd w:val="clear" w:color="auto" w:fill="auto"/>
            <w:noWrap/>
            <w:vAlign w:val="center"/>
            <w:hideMark/>
          </w:tcPr>
          <w:p w:rsidR="006308E8" w:rsidRPr="002124D1" w:rsidRDefault="006308E8" w:rsidP="00121650">
            <w:pPr>
              <w:spacing w:line="276" w:lineRule="auto"/>
              <w:jc w:val="center"/>
              <w:rPr>
                <w:rFonts w:asciiTheme="minorHAnsi" w:hAnsiTheme="minorHAnsi"/>
                <w:color w:val="000000"/>
                <w:sz w:val="18"/>
                <w:szCs w:val="18"/>
                <w:lang w:val="sq-AL"/>
              </w:rPr>
            </w:pPr>
            <w:r w:rsidRPr="002124D1">
              <w:rPr>
                <w:rFonts w:asciiTheme="minorHAnsi" w:hAnsiTheme="minorHAnsi"/>
                <w:color w:val="000000"/>
                <w:sz w:val="18"/>
                <w:szCs w:val="18"/>
                <w:lang w:val="sq-AL"/>
              </w:rPr>
              <w:t>186,350</w:t>
            </w:r>
          </w:p>
        </w:tc>
        <w:tc>
          <w:tcPr>
            <w:tcW w:w="0" w:type="auto"/>
            <w:tcBorders>
              <w:top w:val="nil"/>
              <w:left w:val="nil"/>
              <w:bottom w:val="single" w:sz="8" w:space="0" w:color="4BACC6"/>
              <w:right w:val="single" w:sz="8" w:space="0" w:color="4BACC6"/>
            </w:tcBorders>
            <w:shd w:val="clear" w:color="auto" w:fill="auto"/>
            <w:noWrap/>
            <w:vAlign w:val="center"/>
            <w:hideMark/>
          </w:tcPr>
          <w:p w:rsidR="006308E8" w:rsidRPr="002124D1" w:rsidRDefault="006308E8" w:rsidP="00121650">
            <w:pPr>
              <w:spacing w:line="276" w:lineRule="auto"/>
              <w:jc w:val="center"/>
              <w:rPr>
                <w:rFonts w:asciiTheme="minorHAnsi" w:hAnsiTheme="minorHAnsi"/>
                <w:color w:val="000000"/>
                <w:sz w:val="18"/>
                <w:szCs w:val="18"/>
                <w:lang w:val="sq-AL"/>
              </w:rPr>
            </w:pPr>
            <w:r w:rsidRPr="002124D1">
              <w:rPr>
                <w:rFonts w:asciiTheme="minorHAnsi" w:hAnsiTheme="minorHAnsi"/>
                <w:color w:val="000000"/>
                <w:sz w:val="18"/>
                <w:szCs w:val="18"/>
                <w:lang w:val="sq-AL"/>
              </w:rPr>
              <w:t>4,000</w:t>
            </w:r>
          </w:p>
        </w:tc>
        <w:tc>
          <w:tcPr>
            <w:tcW w:w="0" w:type="auto"/>
            <w:tcBorders>
              <w:top w:val="nil"/>
              <w:left w:val="nil"/>
              <w:bottom w:val="single" w:sz="8" w:space="0" w:color="4BACC6"/>
              <w:right w:val="single" w:sz="8" w:space="0" w:color="4BACC6"/>
            </w:tcBorders>
            <w:shd w:val="clear" w:color="auto" w:fill="auto"/>
            <w:noWrap/>
            <w:vAlign w:val="center"/>
            <w:hideMark/>
          </w:tcPr>
          <w:p w:rsidR="006308E8" w:rsidRPr="002124D1" w:rsidRDefault="006308E8" w:rsidP="00121650">
            <w:pPr>
              <w:spacing w:line="276" w:lineRule="auto"/>
              <w:jc w:val="center"/>
              <w:rPr>
                <w:rFonts w:asciiTheme="minorHAnsi" w:hAnsiTheme="minorHAnsi"/>
                <w:color w:val="000000"/>
                <w:sz w:val="18"/>
                <w:szCs w:val="18"/>
                <w:lang w:val="sq-AL"/>
              </w:rPr>
            </w:pPr>
            <w:r w:rsidRPr="002124D1">
              <w:rPr>
                <w:rFonts w:asciiTheme="minorHAnsi" w:hAnsiTheme="minorHAnsi"/>
                <w:color w:val="000000"/>
                <w:sz w:val="18"/>
                <w:szCs w:val="18"/>
                <w:lang w:val="sq-AL"/>
              </w:rPr>
              <w:t>58,238</w:t>
            </w:r>
          </w:p>
        </w:tc>
        <w:tc>
          <w:tcPr>
            <w:tcW w:w="0" w:type="auto"/>
            <w:tcBorders>
              <w:top w:val="nil"/>
              <w:left w:val="nil"/>
              <w:bottom w:val="single" w:sz="8" w:space="0" w:color="4BACC6"/>
              <w:right w:val="single" w:sz="8" w:space="0" w:color="4BACC6"/>
            </w:tcBorders>
            <w:shd w:val="clear" w:color="auto" w:fill="auto"/>
            <w:noWrap/>
            <w:vAlign w:val="center"/>
            <w:hideMark/>
          </w:tcPr>
          <w:p w:rsidR="006308E8" w:rsidRPr="002124D1" w:rsidRDefault="006308E8" w:rsidP="00121650">
            <w:pPr>
              <w:spacing w:line="276" w:lineRule="auto"/>
              <w:jc w:val="center"/>
              <w:rPr>
                <w:rFonts w:asciiTheme="minorHAnsi" w:hAnsiTheme="minorHAnsi"/>
                <w:color w:val="000000"/>
                <w:sz w:val="18"/>
                <w:szCs w:val="18"/>
                <w:lang w:val="sq-AL"/>
              </w:rPr>
            </w:pPr>
            <w:r w:rsidRPr="002124D1">
              <w:rPr>
                <w:rFonts w:asciiTheme="minorHAnsi" w:hAnsiTheme="minorHAnsi"/>
                <w:color w:val="000000"/>
                <w:sz w:val="18"/>
                <w:szCs w:val="18"/>
                <w:lang w:val="sq-AL"/>
              </w:rPr>
              <w:t>0</w:t>
            </w:r>
          </w:p>
        </w:tc>
        <w:tc>
          <w:tcPr>
            <w:tcW w:w="0" w:type="auto"/>
            <w:tcBorders>
              <w:top w:val="nil"/>
              <w:left w:val="nil"/>
              <w:bottom w:val="single" w:sz="8" w:space="0" w:color="4BACC6"/>
              <w:right w:val="single" w:sz="8" w:space="0" w:color="4BACC6"/>
            </w:tcBorders>
            <w:shd w:val="clear" w:color="auto" w:fill="auto"/>
            <w:vAlign w:val="center"/>
            <w:hideMark/>
          </w:tcPr>
          <w:p w:rsidR="006308E8" w:rsidRPr="002124D1" w:rsidRDefault="006308E8" w:rsidP="00121650">
            <w:pPr>
              <w:spacing w:line="276" w:lineRule="auto"/>
              <w:jc w:val="center"/>
              <w:rPr>
                <w:rFonts w:asciiTheme="minorHAnsi" w:hAnsiTheme="minorHAnsi"/>
                <w:color w:val="000000"/>
                <w:sz w:val="18"/>
                <w:szCs w:val="18"/>
                <w:lang w:val="sq-AL"/>
              </w:rPr>
            </w:pPr>
            <w:r w:rsidRPr="002124D1">
              <w:rPr>
                <w:rFonts w:asciiTheme="minorHAnsi" w:eastAsia="MS Mincho" w:hAnsiTheme="minorHAnsi"/>
                <w:color w:val="000000"/>
                <w:sz w:val="18"/>
                <w:szCs w:val="18"/>
                <w:lang w:val="sq-AL"/>
              </w:rPr>
              <w:t>31.3%</w:t>
            </w:r>
          </w:p>
        </w:tc>
        <w:tc>
          <w:tcPr>
            <w:tcW w:w="0" w:type="auto"/>
            <w:tcBorders>
              <w:top w:val="nil"/>
              <w:left w:val="nil"/>
              <w:bottom w:val="single" w:sz="8" w:space="0" w:color="4BACC6"/>
              <w:right w:val="single" w:sz="8" w:space="0" w:color="4BACC6"/>
            </w:tcBorders>
            <w:shd w:val="clear" w:color="auto" w:fill="auto"/>
            <w:vAlign w:val="center"/>
            <w:hideMark/>
          </w:tcPr>
          <w:p w:rsidR="006308E8" w:rsidRPr="002124D1" w:rsidRDefault="006308E8" w:rsidP="00121650">
            <w:pPr>
              <w:spacing w:line="276" w:lineRule="auto"/>
              <w:jc w:val="center"/>
              <w:rPr>
                <w:rFonts w:asciiTheme="minorHAnsi" w:hAnsiTheme="minorHAnsi"/>
                <w:color w:val="000000"/>
                <w:sz w:val="18"/>
                <w:szCs w:val="18"/>
                <w:lang w:val="sq-AL"/>
              </w:rPr>
            </w:pPr>
            <w:r w:rsidRPr="002124D1">
              <w:rPr>
                <w:rFonts w:asciiTheme="minorHAnsi" w:eastAsia="MS Mincho" w:hAnsiTheme="minorHAnsi"/>
                <w:color w:val="000000"/>
                <w:sz w:val="18"/>
                <w:szCs w:val="18"/>
                <w:lang w:val="sq-AL"/>
              </w:rPr>
              <w:t>0.0%</w:t>
            </w:r>
          </w:p>
        </w:tc>
      </w:tr>
      <w:tr w:rsidR="006308E8" w:rsidRPr="002124D1" w:rsidTr="002124D1">
        <w:trPr>
          <w:trHeight w:val="361"/>
          <w:jc w:val="center"/>
        </w:trPr>
        <w:tc>
          <w:tcPr>
            <w:tcW w:w="0" w:type="auto"/>
            <w:tcBorders>
              <w:top w:val="nil"/>
              <w:left w:val="single" w:sz="8" w:space="0" w:color="4BACC6"/>
              <w:bottom w:val="single" w:sz="8" w:space="0" w:color="4BACC6"/>
              <w:right w:val="single" w:sz="8" w:space="0" w:color="4BACC6"/>
            </w:tcBorders>
            <w:shd w:val="clear" w:color="000000" w:fill="FFFFFF"/>
            <w:vAlign w:val="center"/>
            <w:hideMark/>
          </w:tcPr>
          <w:p w:rsidR="006308E8" w:rsidRPr="002124D1" w:rsidRDefault="006308E8" w:rsidP="00121650">
            <w:pPr>
              <w:spacing w:line="276" w:lineRule="auto"/>
              <w:jc w:val="center"/>
              <w:rPr>
                <w:rFonts w:asciiTheme="minorHAnsi" w:hAnsiTheme="minorHAnsi"/>
                <w:b/>
                <w:bCs/>
                <w:color w:val="000000"/>
                <w:sz w:val="18"/>
                <w:szCs w:val="18"/>
                <w:lang w:val="sq-AL"/>
              </w:rPr>
            </w:pPr>
            <w:r w:rsidRPr="002124D1">
              <w:rPr>
                <w:rFonts w:asciiTheme="minorHAnsi" w:hAnsiTheme="minorHAnsi"/>
                <w:b/>
                <w:bCs/>
                <w:color w:val="000000"/>
                <w:sz w:val="18"/>
                <w:szCs w:val="18"/>
                <w:lang w:val="sq-AL"/>
              </w:rPr>
              <w:t>3</w:t>
            </w:r>
          </w:p>
        </w:tc>
        <w:tc>
          <w:tcPr>
            <w:tcW w:w="0" w:type="auto"/>
            <w:tcBorders>
              <w:top w:val="nil"/>
              <w:left w:val="nil"/>
              <w:bottom w:val="single" w:sz="8" w:space="0" w:color="4BACC6"/>
              <w:right w:val="single" w:sz="8" w:space="0" w:color="4BACC6"/>
            </w:tcBorders>
            <w:shd w:val="clear" w:color="auto" w:fill="auto"/>
            <w:vAlign w:val="center"/>
            <w:hideMark/>
          </w:tcPr>
          <w:p w:rsidR="006308E8" w:rsidRPr="002124D1" w:rsidRDefault="006308E8" w:rsidP="00121650">
            <w:pPr>
              <w:spacing w:line="276" w:lineRule="auto"/>
              <w:jc w:val="center"/>
              <w:rPr>
                <w:rFonts w:asciiTheme="minorHAnsi" w:hAnsiTheme="minorHAnsi"/>
                <w:color w:val="000000"/>
                <w:sz w:val="18"/>
                <w:szCs w:val="18"/>
                <w:lang w:val="sq-AL"/>
              </w:rPr>
            </w:pPr>
            <w:r w:rsidRPr="002124D1">
              <w:rPr>
                <w:rFonts w:asciiTheme="minorHAnsi" w:hAnsiTheme="minorHAnsi"/>
                <w:color w:val="000000"/>
                <w:sz w:val="18"/>
                <w:szCs w:val="18"/>
                <w:lang w:val="sq-AL"/>
              </w:rPr>
              <w:t xml:space="preserve">Veprimtaria e apelimit të rivlerësimit kalimtar / </w:t>
            </w:r>
            <w:r w:rsidRPr="002124D1">
              <w:rPr>
                <w:rFonts w:asciiTheme="minorHAnsi" w:hAnsiTheme="minorHAnsi"/>
                <w:b/>
                <w:bCs/>
                <w:color w:val="000000"/>
                <w:sz w:val="18"/>
                <w:szCs w:val="18"/>
                <w:lang w:val="sq-AL"/>
              </w:rPr>
              <w:t>Kolegji I Posaçëm I Apelimit</w:t>
            </w:r>
          </w:p>
        </w:tc>
        <w:tc>
          <w:tcPr>
            <w:tcW w:w="0" w:type="auto"/>
            <w:tcBorders>
              <w:top w:val="nil"/>
              <w:left w:val="nil"/>
              <w:bottom w:val="single" w:sz="8" w:space="0" w:color="4BACC6"/>
              <w:right w:val="single" w:sz="8" w:space="0" w:color="4BACC6"/>
            </w:tcBorders>
            <w:shd w:val="clear" w:color="auto" w:fill="auto"/>
            <w:noWrap/>
            <w:vAlign w:val="center"/>
            <w:hideMark/>
          </w:tcPr>
          <w:p w:rsidR="006308E8" w:rsidRPr="002124D1" w:rsidRDefault="006308E8" w:rsidP="00121650">
            <w:pPr>
              <w:spacing w:line="276" w:lineRule="auto"/>
              <w:jc w:val="center"/>
              <w:rPr>
                <w:rFonts w:asciiTheme="minorHAnsi" w:hAnsiTheme="minorHAnsi"/>
                <w:color w:val="000000"/>
                <w:sz w:val="18"/>
                <w:szCs w:val="18"/>
                <w:lang w:val="sq-AL"/>
              </w:rPr>
            </w:pPr>
            <w:r w:rsidRPr="002124D1">
              <w:rPr>
                <w:rFonts w:asciiTheme="minorHAnsi" w:hAnsiTheme="minorHAnsi"/>
                <w:color w:val="000000"/>
                <w:sz w:val="18"/>
                <w:szCs w:val="18"/>
                <w:lang w:val="sq-AL"/>
              </w:rPr>
              <w:t>125,150</w:t>
            </w:r>
          </w:p>
        </w:tc>
        <w:tc>
          <w:tcPr>
            <w:tcW w:w="0" w:type="auto"/>
            <w:tcBorders>
              <w:top w:val="nil"/>
              <w:left w:val="nil"/>
              <w:bottom w:val="single" w:sz="8" w:space="0" w:color="4BACC6"/>
              <w:right w:val="single" w:sz="8" w:space="0" w:color="4BACC6"/>
            </w:tcBorders>
            <w:shd w:val="clear" w:color="auto" w:fill="auto"/>
            <w:noWrap/>
            <w:vAlign w:val="center"/>
            <w:hideMark/>
          </w:tcPr>
          <w:p w:rsidR="006308E8" w:rsidRPr="002124D1" w:rsidRDefault="006308E8" w:rsidP="00121650">
            <w:pPr>
              <w:spacing w:line="276" w:lineRule="auto"/>
              <w:jc w:val="center"/>
              <w:rPr>
                <w:rFonts w:asciiTheme="minorHAnsi" w:hAnsiTheme="minorHAnsi"/>
                <w:color w:val="000000"/>
                <w:sz w:val="18"/>
                <w:szCs w:val="18"/>
                <w:lang w:val="sq-AL"/>
              </w:rPr>
            </w:pPr>
            <w:r w:rsidRPr="002124D1">
              <w:rPr>
                <w:rFonts w:asciiTheme="minorHAnsi" w:hAnsiTheme="minorHAnsi"/>
                <w:color w:val="000000"/>
                <w:sz w:val="18"/>
                <w:szCs w:val="18"/>
                <w:lang w:val="sq-AL"/>
              </w:rPr>
              <w:t>2,000</w:t>
            </w:r>
          </w:p>
        </w:tc>
        <w:tc>
          <w:tcPr>
            <w:tcW w:w="0" w:type="auto"/>
            <w:tcBorders>
              <w:top w:val="nil"/>
              <w:left w:val="nil"/>
              <w:bottom w:val="single" w:sz="8" w:space="0" w:color="4BACC6"/>
              <w:right w:val="single" w:sz="8" w:space="0" w:color="4BACC6"/>
            </w:tcBorders>
            <w:shd w:val="clear" w:color="auto" w:fill="auto"/>
            <w:noWrap/>
            <w:vAlign w:val="center"/>
            <w:hideMark/>
          </w:tcPr>
          <w:p w:rsidR="006308E8" w:rsidRPr="002124D1" w:rsidRDefault="006308E8" w:rsidP="00121650">
            <w:pPr>
              <w:spacing w:line="276" w:lineRule="auto"/>
              <w:jc w:val="center"/>
              <w:rPr>
                <w:rFonts w:asciiTheme="minorHAnsi" w:hAnsiTheme="minorHAnsi"/>
                <w:color w:val="000000"/>
                <w:sz w:val="18"/>
                <w:szCs w:val="18"/>
                <w:lang w:val="sq-AL"/>
              </w:rPr>
            </w:pPr>
            <w:r w:rsidRPr="002124D1">
              <w:rPr>
                <w:rFonts w:asciiTheme="minorHAnsi" w:hAnsiTheme="minorHAnsi"/>
                <w:color w:val="000000"/>
                <w:sz w:val="18"/>
                <w:szCs w:val="18"/>
                <w:lang w:val="sq-AL"/>
              </w:rPr>
              <w:t>38,717</w:t>
            </w:r>
          </w:p>
        </w:tc>
        <w:tc>
          <w:tcPr>
            <w:tcW w:w="0" w:type="auto"/>
            <w:tcBorders>
              <w:top w:val="nil"/>
              <w:left w:val="nil"/>
              <w:bottom w:val="single" w:sz="8" w:space="0" w:color="4BACC6"/>
              <w:right w:val="single" w:sz="8" w:space="0" w:color="4BACC6"/>
            </w:tcBorders>
            <w:shd w:val="clear" w:color="auto" w:fill="auto"/>
            <w:noWrap/>
            <w:vAlign w:val="center"/>
            <w:hideMark/>
          </w:tcPr>
          <w:p w:rsidR="006308E8" w:rsidRPr="002124D1" w:rsidRDefault="006308E8" w:rsidP="00121650">
            <w:pPr>
              <w:spacing w:line="276" w:lineRule="auto"/>
              <w:jc w:val="center"/>
              <w:rPr>
                <w:rFonts w:asciiTheme="minorHAnsi" w:hAnsiTheme="minorHAnsi"/>
                <w:color w:val="000000"/>
                <w:sz w:val="18"/>
                <w:szCs w:val="18"/>
                <w:lang w:val="sq-AL"/>
              </w:rPr>
            </w:pPr>
            <w:r w:rsidRPr="002124D1">
              <w:rPr>
                <w:rFonts w:asciiTheme="minorHAnsi" w:hAnsiTheme="minorHAnsi"/>
                <w:color w:val="000000"/>
                <w:sz w:val="18"/>
                <w:szCs w:val="18"/>
                <w:lang w:val="sq-AL"/>
              </w:rPr>
              <w:t>0</w:t>
            </w:r>
          </w:p>
        </w:tc>
        <w:tc>
          <w:tcPr>
            <w:tcW w:w="0" w:type="auto"/>
            <w:tcBorders>
              <w:top w:val="nil"/>
              <w:left w:val="nil"/>
              <w:bottom w:val="single" w:sz="8" w:space="0" w:color="4BACC6"/>
              <w:right w:val="single" w:sz="8" w:space="0" w:color="4BACC6"/>
            </w:tcBorders>
            <w:shd w:val="clear" w:color="auto" w:fill="auto"/>
            <w:vAlign w:val="center"/>
            <w:hideMark/>
          </w:tcPr>
          <w:p w:rsidR="006308E8" w:rsidRPr="002124D1" w:rsidRDefault="006308E8" w:rsidP="00121650">
            <w:pPr>
              <w:spacing w:line="276" w:lineRule="auto"/>
              <w:jc w:val="center"/>
              <w:rPr>
                <w:rFonts w:asciiTheme="minorHAnsi" w:hAnsiTheme="minorHAnsi"/>
                <w:color w:val="000000"/>
                <w:sz w:val="18"/>
                <w:szCs w:val="18"/>
                <w:lang w:val="sq-AL"/>
              </w:rPr>
            </w:pPr>
            <w:r w:rsidRPr="002124D1">
              <w:rPr>
                <w:rFonts w:asciiTheme="minorHAnsi" w:eastAsia="MS Mincho" w:hAnsiTheme="minorHAnsi"/>
                <w:color w:val="000000"/>
                <w:sz w:val="18"/>
                <w:szCs w:val="18"/>
                <w:lang w:val="sq-AL"/>
              </w:rPr>
              <w:t>30.9%</w:t>
            </w:r>
          </w:p>
        </w:tc>
        <w:tc>
          <w:tcPr>
            <w:tcW w:w="0" w:type="auto"/>
            <w:tcBorders>
              <w:top w:val="nil"/>
              <w:left w:val="nil"/>
              <w:bottom w:val="single" w:sz="8" w:space="0" w:color="4BACC6"/>
              <w:right w:val="single" w:sz="8" w:space="0" w:color="4BACC6"/>
            </w:tcBorders>
            <w:shd w:val="clear" w:color="auto" w:fill="auto"/>
            <w:vAlign w:val="center"/>
            <w:hideMark/>
          </w:tcPr>
          <w:p w:rsidR="006308E8" w:rsidRPr="002124D1" w:rsidRDefault="006308E8" w:rsidP="00121650">
            <w:pPr>
              <w:spacing w:line="276" w:lineRule="auto"/>
              <w:jc w:val="center"/>
              <w:rPr>
                <w:rFonts w:asciiTheme="minorHAnsi" w:hAnsiTheme="minorHAnsi"/>
                <w:color w:val="000000"/>
                <w:sz w:val="18"/>
                <w:szCs w:val="18"/>
                <w:lang w:val="sq-AL"/>
              </w:rPr>
            </w:pPr>
            <w:r w:rsidRPr="002124D1">
              <w:rPr>
                <w:rFonts w:asciiTheme="minorHAnsi" w:eastAsia="MS Mincho" w:hAnsiTheme="minorHAnsi"/>
                <w:color w:val="000000"/>
                <w:sz w:val="18"/>
                <w:szCs w:val="18"/>
                <w:lang w:val="sq-AL"/>
              </w:rPr>
              <w:t>0.0%</w:t>
            </w:r>
          </w:p>
        </w:tc>
      </w:tr>
      <w:tr w:rsidR="006308E8" w:rsidRPr="002124D1" w:rsidTr="002124D1">
        <w:trPr>
          <w:trHeight w:val="243"/>
          <w:jc w:val="center"/>
        </w:trPr>
        <w:tc>
          <w:tcPr>
            <w:tcW w:w="0" w:type="auto"/>
            <w:tcBorders>
              <w:top w:val="nil"/>
              <w:left w:val="single" w:sz="8" w:space="0" w:color="4BACC6"/>
              <w:bottom w:val="single" w:sz="8" w:space="0" w:color="4BACC6"/>
              <w:right w:val="single" w:sz="8" w:space="0" w:color="4BACC6"/>
            </w:tcBorders>
            <w:shd w:val="clear" w:color="000000" w:fill="FFFFFF"/>
            <w:vAlign w:val="center"/>
            <w:hideMark/>
          </w:tcPr>
          <w:p w:rsidR="006308E8" w:rsidRPr="002124D1" w:rsidRDefault="006308E8" w:rsidP="00121650">
            <w:pPr>
              <w:spacing w:line="276" w:lineRule="auto"/>
              <w:jc w:val="center"/>
              <w:rPr>
                <w:rFonts w:asciiTheme="minorHAnsi" w:hAnsiTheme="minorHAnsi"/>
                <w:b/>
                <w:bCs/>
                <w:color w:val="000000"/>
                <w:sz w:val="18"/>
                <w:szCs w:val="18"/>
                <w:lang w:val="sq-AL"/>
              </w:rPr>
            </w:pPr>
            <w:r w:rsidRPr="002124D1">
              <w:rPr>
                <w:rFonts w:asciiTheme="minorHAnsi" w:hAnsiTheme="minorHAnsi"/>
                <w:b/>
                <w:bCs/>
                <w:color w:val="000000"/>
                <w:sz w:val="18"/>
                <w:szCs w:val="18"/>
                <w:lang w:val="sq-AL"/>
              </w:rPr>
              <w:t>4</w:t>
            </w:r>
          </w:p>
        </w:tc>
        <w:tc>
          <w:tcPr>
            <w:tcW w:w="0" w:type="auto"/>
            <w:tcBorders>
              <w:top w:val="nil"/>
              <w:left w:val="nil"/>
              <w:bottom w:val="single" w:sz="8" w:space="0" w:color="4BACC6"/>
              <w:right w:val="single" w:sz="8" w:space="0" w:color="4BACC6"/>
            </w:tcBorders>
            <w:shd w:val="clear" w:color="auto" w:fill="auto"/>
            <w:vAlign w:val="center"/>
            <w:hideMark/>
          </w:tcPr>
          <w:p w:rsidR="006308E8" w:rsidRPr="002124D1" w:rsidRDefault="006308E8" w:rsidP="00121650">
            <w:pPr>
              <w:spacing w:line="276" w:lineRule="auto"/>
              <w:jc w:val="center"/>
              <w:rPr>
                <w:rFonts w:asciiTheme="minorHAnsi" w:hAnsiTheme="minorHAnsi"/>
                <w:color w:val="000000"/>
                <w:sz w:val="18"/>
                <w:szCs w:val="18"/>
                <w:lang w:val="sq-AL"/>
              </w:rPr>
            </w:pPr>
            <w:r w:rsidRPr="002124D1">
              <w:rPr>
                <w:rFonts w:asciiTheme="minorHAnsi" w:hAnsiTheme="minorHAnsi"/>
                <w:color w:val="000000"/>
                <w:sz w:val="18"/>
                <w:szCs w:val="18"/>
                <w:lang w:val="sq-AL"/>
              </w:rPr>
              <w:t xml:space="preserve">Veprimtaria e komisionerit publik / </w:t>
            </w:r>
            <w:r w:rsidRPr="002124D1">
              <w:rPr>
                <w:rFonts w:asciiTheme="minorHAnsi" w:hAnsiTheme="minorHAnsi"/>
                <w:b/>
                <w:bCs/>
                <w:color w:val="000000"/>
                <w:sz w:val="18"/>
                <w:szCs w:val="18"/>
                <w:lang w:val="sq-AL"/>
              </w:rPr>
              <w:t>Komisionerët Publikë</w:t>
            </w:r>
          </w:p>
        </w:tc>
        <w:tc>
          <w:tcPr>
            <w:tcW w:w="0" w:type="auto"/>
            <w:tcBorders>
              <w:top w:val="nil"/>
              <w:left w:val="nil"/>
              <w:bottom w:val="single" w:sz="8" w:space="0" w:color="4BACC6"/>
              <w:right w:val="single" w:sz="8" w:space="0" w:color="4BACC6"/>
            </w:tcBorders>
            <w:shd w:val="clear" w:color="auto" w:fill="auto"/>
            <w:noWrap/>
            <w:vAlign w:val="center"/>
            <w:hideMark/>
          </w:tcPr>
          <w:p w:rsidR="006308E8" w:rsidRPr="002124D1" w:rsidRDefault="006308E8" w:rsidP="00121650">
            <w:pPr>
              <w:spacing w:line="276" w:lineRule="auto"/>
              <w:jc w:val="center"/>
              <w:rPr>
                <w:rFonts w:asciiTheme="minorHAnsi" w:hAnsiTheme="minorHAnsi"/>
                <w:color w:val="000000"/>
                <w:sz w:val="18"/>
                <w:szCs w:val="18"/>
                <w:lang w:val="sq-AL"/>
              </w:rPr>
            </w:pPr>
            <w:r w:rsidRPr="002124D1">
              <w:rPr>
                <w:rFonts w:asciiTheme="minorHAnsi" w:hAnsiTheme="minorHAnsi"/>
                <w:color w:val="000000"/>
                <w:sz w:val="18"/>
                <w:szCs w:val="18"/>
                <w:lang w:val="sq-AL"/>
              </w:rPr>
              <w:t>66,050</w:t>
            </w:r>
          </w:p>
        </w:tc>
        <w:tc>
          <w:tcPr>
            <w:tcW w:w="0" w:type="auto"/>
            <w:tcBorders>
              <w:top w:val="nil"/>
              <w:left w:val="nil"/>
              <w:bottom w:val="single" w:sz="8" w:space="0" w:color="4BACC6"/>
              <w:right w:val="single" w:sz="8" w:space="0" w:color="4BACC6"/>
            </w:tcBorders>
            <w:shd w:val="clear" w:color="auto" w:fill="auto"/>
            <w:noWrap/>
            <w:vAlign w:val="center"/>
            <w:hideMark/>
          </w:tcPr>
          <w:p w:rsidR="006308E8" w:rsidRPr="002124D1" w:rsidRDefault="006308E8" w:rsidP="00121650">
            <w:pPr>
              <w:spacing w:line="276" w:lineRule="auto"/>
              <w:jc w:val="center"/>
              <w:rPr>
                <w:rFonts w:asciiTheme="minorHAnsi" w:hAnsiTheme="minorHAnsi"/>
                <w:color w:val="000000"/>
                <w:sz w:val="18"/>
                <w:szCs w:val="18"/>
                <w:lang w:val="sq-AL"/>
              </w:rPr>
            </w:pPr>
            <w:r w:rsidRPr="002124D1">
              <w:rPr>
                <w:rFonts w:asciiTheme="minorHAnsi" w:hAnsiTheme="minorHAnsi"/>
                <w:color w:val="000000"/>
                <w:sz w:val="18"/>
                <w:szCs w:val="18"/>
                <w:lang w:val="sq-AL"/>
              </w:rPr>
              <w:t>1,000</w:t>
            </w:r>
          </w:p>
        </w:tc>
        <w:tc>
          <w:tcPr>
            <w:tcW w:w="0" w:type="auto"/>
            <w:tcBorders>
              <w:top w:val="nil"/>
              <w:left w:val="nil"/>
              <w:bottom w:val="single" w:sz="8" w:space="0" w:color="4BACC6"/>
              <w:right w:val="single" w:sz="8" w:space="0" w:color="4BACC6"/>
            </w:tcBorders>
            <w:shd w:val="clear" w:color="auto" w:fill="auto"/>
            <w:noWrap/>
            <w:vAlign w:val="center"/>
            <w:hideMark/>
          </w:tcPr>
          <w:p w:rsidR="006308E8" w:rsidRPr="002124D1" w:rsidRDefault="006308E8" w:rsidP="00121650">
            <w:pPr>
              <w:spacing w:line="276" w:lineRule="auto"/>
              <w:jc w:val="center"/>
              <w:rPr>
                <w:rFonts w:asciiTheme="minorHAnsi" w:hAnsiTheme="minorHAnsi"/>
                <w:color w:val="000000"/>
                <w:sz w:val="18"/>
                <w:szCs w:val="18"/>
                <w:lang w:val="sq-AL"/>
              </w:rPr>
            </w:pPr>
            <w:r w:rsidRPr="002124D1">
              <w:rPr>
                <w:rFonts w:asciiTheme="minorHAnsi" w:hAnsiTheme="minorHAnsi"/>
                <w:color w:val="000000"/>
                <w:sz w:val="18"/>
                <w:szCs w:val="18"/>
                <w:lang w:val="sq-AL"/>
              </w:rPr>
              <w:t>20,771</w:t>
            </w:r>
          </w:p>
        </w:tc>
        <w:tc>
          <w:tcPr>
            <w:tcW w:w="0" w:type="auto"/>
            <w:tcBorders>
              <w:top w:val="nil"/>
              <w:left w:val="nil"/>
              <w:bottom w:val="single" w:sz="8" w:space="0" w:color="4BACC6"/>
              <w:right w:val="single" w:sz="8" w:space="0" w:color="4BACC6"/>
            </w:tcBorders>
            <w:shd w:val="clear" w:color="auto" w:fill="auto"/>
            <w:noWrap/>
            <w:vAlign w:val="center"/>
            <w:hideMark/>
          </w:tcPr>
          <w:p w:rsidR="006308E8" w:rsidRPr="002124D1" w:rsidRDefault="006308E8" w:rsidP="00121650">
            <w:pPr>
              <w:spacing w:line="276" w:lineRule="auto"/>
              <w:jc w:val="center"/>
              <w:rPr>
                <w:rFonts w:asciiTheme="minorHAnsi" w:hAnsiTheme="minorHAnsi"/>
                <w:color w:val="000000"/>
                <w:sz w:val="18"/>
                <w:szCs w:val="18"/>
                <w:lang w:val="sq-AL"/>
              </w:rPr>
            </w:pPr>
            <w:r w:rsidRPr="002124D1">
              <w:rPr>
                <w:rFonts w:asciiTheme="minorHAnsi" w:hAnsiTheme="minorHAnsi"/>
                <w:color w:val="000000"/>
                <w:sz w:val="18"/>
                <w:szCs w:val="18"/>
                <w:lang w:val="sq-AL"/>
              </w:rPr>
              <w:t>0</w:t>
            </w:r>
          </w:p>
        </w:tc>
        <w:tc>
          <w:tcPr>
            <w:tcW w:w="0" w:type="auto"/>
            <w:tcBorders>
              <w:top w:val="nil"/>
              <w:left w:val="nil"/>
              <w:bottom w:val="single" w:sz="8" w:space="0" w:color="4BACC6"/>
              <w:right w:val="single" w:sz="8" w:space="0" w:color="4BACC6"/>
            </w:tcBorders>
            <w:shd w:val="clear" w:color="auto" w:fill="auto"/>
            <w:vAlign w:val="center"/>
            <w:hideMark/>
          </w:tcPr>
          <w:p w:rsidR="006308E8" w:rsidRPr="002124D1" w:rsidRDefault="006308E8" w:rsidP="00121650">
            <w:pPr>
              <w:spacing w:line="276" w:lineRule="auto"/>
              <w:jc w:val="center"/>
              <w:rPr>
                <w:rFonts w:asciiTheme="minorHAnsi" w:hAnsiTheme="minorHAnsi"/>
                <w:color w:val="000000"/>
                <w:sz w:val="18"/>
                <w:szCs w:val="18"/>
                <w:lang w:val="sq-AL"/>
              </w:rPr>
            </w:pPr>
            <w:r w:rsidRPr="002124D1">
              <w:rPr>
                <w:rFonts w:asciiTheme="minorHAnsi" w:eastAsia="MS Mincho" w:hAnsiTheme="minorHAnsi"/>
                <w:color w:val="000000"/>
                <w:sz w:val="18"/>
                <w:szCs w:val="18"/>
                <w:lang w:val="sq-AL"/>
              </w:rPr>
              <w:t>31.4%</w:t>
            </w:r>
          </w:p>
        </w:tc>
        <w:tc>
          <w:tcPr>
            <w:tcW w:w="0" w:type="auto"/>
            <w:tcBorders>
              <w:top w:val="nil"/>
              <w:left w:val="nil"/>
              <w:bottom w:val="single" w:sz="8" w:space="0" w:color="4BACC6"/>
              <w:right w:val="single" w:sz="8" w:space="0" w:color="4BACC6"/>
            </w:tcBorders>
            <w:shd w:val="clear" w:color="auto" w:fill="auto"/>
            <w:vAlign w:val="center"/>
            <w:hideMark/>
          </w:tcPr>
          <w:p w:rsidR="006308E8" w:rsidRPr="002124D1" w:rsidRDefault="006308E8" w:rsidP="00121650">
            <w:pPr>
              <w:spacing w:line="276" w:lineRule="auto"/>
              <w:jc w:val="center"/>
              <w:rPr>
                <w:rFonts w:asciiTheme="minorHAnsi" w:hAnsiTheme="minorHAnsi"/>
                <w:color w:val="000000"/>
                <w:sz w:val="18"/>
                <w:szCs w:val="18"/>
                <w:lang w:val="sq-AL"/>
              </w:rPr>
            </w:pPr>
            <w:r w:rsidRPr="002124D1">
              <w:rPr>
                <w:rFonts w:asciiTheme="minorHAnsi" w:eastAsia="MS Mincho" w:hAnsiTheme="minorHAnsi"/>
                <w:color w:val="000000"/>
                <w:sz w:val="18"/>
                <w:szCs w:val="18"/>
                <w:lang w:val="sq-AL"/>
              </w:rPr>
              <w:t>0.0%</w:t>
            </w:r>
          </w:p>
        </w:tc>
      </w:tr>
    </w:tbl>
    <w:p w:rsidR="006308E8" w:rsidRPr="00BB7F2F" w:rsidRDefault="006308E8" w:rsidP="006308E8">
      <w:pPr>
        <w:spacing w:line="276" w:lineRule="auto"/>
        <w:jc w:val="right"/>
        <w:rPr>
          <w:rFonts w:asciiTheme="minorHAnsi" w:eastAsia="MS Mincho" w:hAnsiTheme="minorHAnsi"/>
          <w:i/>
          <w:iCs/>
          <w:color w:val="000000"/>
          <w:sz w:val="20"/>
          <w:szCs w:val="18"/>
          <w:lang w:val="sq-AL"/>
        </w:rPr>
      </w:pPr>
    </w:p>
    <w:p w:rsidR="006308E8" w:rsidRPr="00BB7F2F" w:rsidRDefault="006308E8" w:rsidP="006308E8">
      <w:pPr>
        <w:spacing w:line="276" w:lineRule="auto"/>
        <w:contextualSpacing/>
        <w:jc w:val="both"/>
        <w:rPr>
          <w:rFonts w:asciiTheme="minorHAnsi" w:hAnsiTheme="minorHAnsi"/>
          <w:lang w:val="sq-AL"/>
        </w:rPr>
      </w:pPr>
      <w:r w:rsidRPr="00BB7F2F">
        <w:rPr>
          <w:rFonts w:asciiTheme="minorHAnsi" w:hAnsiTheme="minorHAnsi"/>
          <w:lang w:val="sq-AL"/>
        </w:rPr>
        <w:t>Në lidhje me disa nga treguesit e performancës për Komisionin e Pavarur të Kualifikimit KPK, tregues i performancës është numri i dosjeve të shortuara, numri i dosjeve të shqyruara dhe vendime të marra. Konkretisht raportohet se prej fillimit të veprimtarisë, janë shortuar 478 subjekte rivlerësimi, janë marrë në shqyrtim 300 dosje dhe në vitin 2020 deri në fund të 4 mujorit janë rivlerësuar me vendime 28 subjekte.</w:t>
      </w:r>
    </w:p>
    <w:p w:rsidR="002124D1" w:rsidRPr="002124D1" w:rsidRDefault="002124D1" w:rsidP="006308E8">
      <w:pPr>
        <w:spacing w:line="276" w:lineRule="auto"/>
        <w:contextualSpacing/>
        <w:jc w:val="both"/>
        <w:rPr>
          <w:rFonts w:asciiTheme="minorHAnsi" w:eastAsia="MS Mincho" w:hAnsiTheme="minorHAnsi"/>
          <w:sz w:val="8"/>
          <w:szCs w:val="8"/>
          <w:lang w:val="sq-AL"/>
        </w:rPr>
      </w:pPr>
    </w:p>
    <w:p w:rsidR="006308E8" w:rsidRPr="00AF49E0" w:rsidRDefault="006308E8" w:rsidP="00AF49E0">
      <w:pPr>
        <w:spacing w:line="276" w:lineRule="auto"/>
        <w:contextualSpacing/>
        <w:jc w:val="both"/>
        <w:rPr>
          <w:rFonts w:asciiTheme="minorHAnsi" w:eastAsia="MS Mincho" w:hAnsiTheme="minorHAnsi"/>
          <w:lang w:val="sq-AL"/>
        </w:rPr>
      </w:pPr>
      <w:r w:rsidRPr="00BB7F2F">
        <w:rPr>
          <w:rFonts w:asciiTheme="minorHAnsi" w:eastAsia="MS Mincho" w:hAnsiTheme="minorHAnsi"/>
          <w:lang w:val="sq-AL"/>
        </w:rPr>
        <w:t>Nga ana e Komisionerëve Publikë për vitin 2020 produkti i këtij institucioni “Çështje të njoftuara nga KPK dhe shqyrtuar nga KP brenda afateve ligjore”, nga 130 të planifikuara për vitin 2020, deri në fund të 4 mujorit janë realizuar në sasi 26 çështje.</w:t>
      </w:r>
    </w:p>
    <w:p w:rsidR="006308E8" w:rsidRPr="00BB7F2F" w:rsidRDefault="006308E8" w:rsidP="006308E8">
      <w:pPr>
        <w:spacing w:before="120" w:after="120" w:line="276" w:lineRule="auto"/>
        <w:jc w:val="both"/>
        <w:rPr>
          <w:rFonts w:asciiTheme="minorHAnsi" w:hAnsiTheme="minorHAnsi"/>
          <w:b/>
          <w:noProof/>
          <w:color w:val="0070C0"/>
          <w:lang w:val="sq-AL"/>
        </w:rPr>
      </w:pPr>
      <w:bookmarkStart w:id="181" w:name="_Toc10033304"/>
      <w:bookmarkStart w:id="182" w:name="_Toc10721440"/>
      <w:bookmarkStart w:id="183" w:name="_Toc11134233"/>
      <w:bookmarkEnd w:id="177"/>
      <w:bookmarkEnd w:id="178"/>
      <w:bookmarkEnd w:id="179"/>
      <w:r w:rsidRPr="00BB7F2F">
        <w:rPr>
          <w:rFonts w:asciiTheme="minorHAnsi" w:hAnsiTheme="minorHAnsi"/>
          <w:b/>
          <w:noProof/>
          <w:color w:val="0070C0"/>
          <w:lang w:val="sq-AL"/>
        </w:rPr>
        <w:t>FINANCAT, EKONOMIA, PUNËSIMI DHE ARSIMI PROFESIONAL</w:t>
      </w:r>
    </w:p>
    <w:p w:rsidR="00524EBF" w:rsidRDefault="006308E8" w:rsidP="006308E8">
      <w:pPr>
        <w:spacing w:line="276" w:lineRule="auto"/>
        <w:jc w:val="both"/>
        <w:rPr>
          <w:rFonts w:asciiTheme="minorHAnsi" w:hAnsiTheme="minorHAnsi"/>
          <w:lang w:val="sq-AL"/>
        </w:rPr>
      </w:pPr>
      <w:r w:rsidRPr="00BB7F2F">
        <w:rPr>
          <w:rFonts w:asciiTheme="minorHAnsi" w:hAnsiTheme="minorHAnsi"/>
          <w:lang w:val="sq-AL"/>
        </w:rPr>
        <w:t>Shpenzimet e planifikuara për vitin 2020 dhe ato faktike për 4 mujorin e parë, si dhe realizimi në përqindje për Ministrinë e Financave dhe Ekonomisë, për disa nga programet kryesore, paraqiten si më poshtë:</w:t>
      </w:r>
    </w:p>
    <w:p w:rsidR="00524EBF" w:rsidRPr="00524EBF" w:rsidRDefault="00524EBF" w:rsidP="00AF49E0">
      <w:pPr>
        <w:pStyle w:val="Caption"/>
        <w:spacing w:after="0"/>
        <w:rPr>
          <w:rFonts w:asciiTheme="minorHAnsi" w:hAnsiTheme="minorHAnsi"/>
          <w:b w:val="0"/>
          <w:bCs w:val="0"/>
          <w:i/>
          <w:noProof/>
          <w:color w:val="auto"/>
          <w:sz w:val="24"/>
          <w:szCs w:val="24"/>
        </w:rPr>
      </w:pPr>
      <w:bookmarkStart w:id="184" w:name="_Toc44404436"/>
      <w:r w:rsidRPr="00524EBF">
        <w:rPr>
          <w:rFonts w:asciiTheme="minorHAnsi" w:hAnsiTheme="minorHAnsi"/>
          <w:b w:val="0"/>
          <w:bCs w:val="0"/>
          <w:i/>
          <w:noProof/>
          <w:color w:val="auto"/>
          <w:sz w:val="24"/>
          <w:szCs w:val="24"/>
        </w:rPr>
        <w:t xml:space="preserve">Tabela </w:t>
      </w:r>
      <w:r w:rsidRPr="00524EBF">
        <w:rPr>
          <w:rFonts w:asciiTheme="minorHAnsi" w:hAnsiTheme="minorHAnsi"/>
          <w:b w:val="0"/>
          <w:bCs w:val="0"/>
          <w:i/>
          <w:noProof/>
          <w:color w:val="auto"/>
          <w:sz w:val="24"/>
          <w:szCs w:val="24"/>
        </w:rPr>
        <w:fldChar w:fldCharType="begin"/>
      </w:r>
      <w:r w:rsidRPr="00524EBF">
        <w:rPr>
          <w:rFonts w:asciiTheme="minorHAnsi" w:hAnsiTheme="minorHAnsi"/>
          <w:b w:val="0"/>
          <w:bCs w:val="0"/>
          <w:i/>
          <w:noProof/>
          <w:color w:val="auto"/>
          <w:sz w:val="24"/>
          <w:szCs w:val="24"/>
        </w:rPr>
        <w:instrText xml:space="preserve"> SEQ Tabela \* ARABIC </w:instrText>
      </w:r>
      <w:r w:rsidRPr="00524EBF">
        <w:rPr>
          <w:rFonts w:asciiTheme="minorHAnsi" w:hAnsiTheme="minorHAnsi"/>
          <w:b w:val="0"/>
          <w:bCs w:val="0"/>
          <w:i/>
          <w:noProof/>
          <w:color w:val="auto"/>
          <w:sz w:val="24"/>
          <w:szCs w:val="24"/>
        </w:rPr>
        <w:fldChar w:fldCharType="separate"/>
      </w:r>
      <w:r w:rsidR="00C342E2">
        <w:rPr>
          <w:rFonts w:asciiTheme="minorHAnsi" w:hAnsiTheme="minorHAnsi"/>
          <w:b w:val="0"/>
          <w:bCs w:val="0"/>
          <w:i/>
          <w:noProof/>
          <w:color w:val="auto"/>
          <w:sz w:val="24"/>
          <w:szCs w:val="24"/>
        </w:rPr>
        <w:t>35</w:t>
      </w:r>
      <w:r w:rsidRPr="00524EBF">
        <w:rPr>
          <w:rFonts w:asciiTheme="minorHAnsi" w:hAnsiTheme="minorHAnsi"/>
          <w:b w:val="0"/>
          <w:bCs w:val="0"/>
          <w:i/>
          <w:noProof/>
          <w:color w:val="auto"/>
          <w:sz w:val="24"/>
          <w:szCs w:val="24"/>
        </w:rPr>
        <w:fldChar w:fldCharType="end"/>
      </w:r>
      <w:r w:rsidRPr="00524EBF">
        <w:rPr>
          <w:rFonts w:asciiTheme="minorHAnsi" w:hAnsiTheme="minorHAnsi"/>
          <w:b w:val="0"/>
          <w:bCs w:val="0"/>
          <w:i/>
          <w:noProof/>
          <w:color w:val="auto"/>
          <w:sz w:val="24"/>
          <w:szCs w:val="24"/>
        </w:rPr>
        <w:t>: Financat, Ekonomia, Punësimi dhe Arsimi Profesional</w:t>
      </w:r>
      <w:bookmarkEnd w:id="184"/>
    </w:p>
    <w:p w:rsidR="006308E8" w:rsidRPr="002124D1" w:rsidRDefault="006308E8" w:rsidP="00AF49E0">
      <w:pPr>
        <w:jc w:val="right"/>
        <w:rPr>
          <w:rFonts w:asciiTheme="minorHAnsi" w:eastAsia="MS Mincho" w:hAnsiTheme="minorHAnsi"/>
          <w:i/>
          <w:sz w:val="20"/>
          <w:lang w:val="sq-AL"/>
        </w:rPr>
      </w:pPr>
      <w:r w:rsidRPr="002124D1">
        <w:rPr>
          <w:rFonts w:asciiTheme="minorHAnsi" w:eastAsia="MS Mincho" w:hAnsiTheme="minorHAnsi"/>
          <w:sz w:val="20"/>
          <w:lang w:val="sq-AL"/>
        </w:rPr>
        <w:t xml:space="preserve">                                                                                                                                               </w:t>
      </w:r>
      <w:r w:rsidR="007030D4">
        <w:rPr>
          <w:rFonts w:asciiTheme="minorHAnsi" w:eastAsia="MS Mincho" w:hAnsiTheme="minorHAnsi"/>
          <w:i/>
          <w:sz w:val="20"/>
          <w:lang w:val="sq-AL"/>
        </w:rPr>
        <w:t xml:space="preserve">Në mijë </w:t>
      </w:r>
      <w:r w:rsidRPr="002124D1">
        <w:rPr>
          <w:rFonts w:asciiTheme="minorHAnsi" w:eastAsia="MS Mincho" w:hAnsiTheme="minorHAnsi"/>
          <w:i/>
          <w:sz w:val="20"/>
          <w:lang w:val="sq-AL"/>
        </w:rPr>
        <w:t>lekë</w:t>
      </w:r>
    </w:p>
    <w:tbl>
      <w:tblPr>
        <w:tblW w:w="9534" w:type="dxa"/>
        <w:jc w:val="center"/>
        <w:tblLook w:val="04A0" w:firstRow="1" w:lastRow="0" w:firstColumn="1" w:lastColumn="0" w:noHBand="0" w:noVBand="1"/>
      </w:tblPr>
      <w:tblGrid>
        <w:gridCol w:w="3366"/>
        <w:gridCol w:w="1064"/>
        <w:gridCol w:w="978"/>
        <w:gridCol w:w="1064"/>
        <w:gridCol w:w="978"/>
        <w:gridCol w:w="1001"/>
        <w:gridCol w:w="1083"/>
      </w:tblGrid>
      <w:tr w:rsidR="006308E8" w:rsidRPr="00BB7F2F" w:rsidTr="002124D1">
        <w:trPr>
          <w:trHeight w:val="281"/>
          <w:jc w:val="center"/>
        </w:trPr>
        <w:tc>
          <w:tcPr>
            <w:tcW w:w="0" w:type="auto"/>
            <w:tcBorders>
              <w:top w:val="single" w:sz="8" w:space="0" w:color="4BACC6"/>
              <w:left w:val="single" w:sz="8" w:space="0" w:color="4BACC6"/>
              <w:bottom w:val="nil"/>
              <w:right w:val="nil"/>
            </w:tcBorders>
            <w:shd w:val="clear" w:color="000000" w:fill="4BACC6"/>
            <w:vAlign w:val="center"/>
            <w:hideMark/>
          </w:tcPr>
          <w:p w:rsidR="006308E8" w:rsidRPr="00BB7F2F" w:rsidRDefault="006308E8" w:rsidP="00AF49E0">
            <w:pPr>
              <w:rPr>
                <w:rFonts w:asciiTheme="minorHAnsi" w:hAnsiTheme="minorHAnsi"/>
                <w:b/>
                <w:bCs/>
                <w:color w:val="FFFFFF"/>
                <w:sz w:val="18"/>
                <w:szCs w:val="18"/>
                <w:lang w:val="sq-AL"/>
              </w:rPr>
            </w:pPr>
            <w:r w:rsidRPr="00BB7F2F">
              <w:rPr>
                <w:rFonts w:asciiTheme="minorHAnsi" w:hAnsiTheme="minorHAnsi"/>
                <w:b/>
                <w:bCs/>
                <w:color w:val="FFFFFF"/>
                <w:sz w:val="18"/>
                <w:szCs w:val="18"/>
                <w:lang w:val="sq-AL"/>
              </w:rPr>
              <w:t> </w:t>
            </w:r>
          </w:p>
        </w:tc>
        <w:tc>
          <w:tcPr>
            <w:tcW w:w="0" w:type="auto"/>
            <w:gridSpan w:val="2"/>
            <w:tcBorders>
              <w:top w:val="single" w:sz="8" w:space="0" w:color="4BACC6"/>
              <w:left w:val="nil"/>
              <w:bottom w:val="single" w:sz="8" w:space="0" w:color="4BACC6"/>
              <w:right w:val="nil"/>
            </w:tcBorders>
            <w:shd w:val="clear" w:color="000000" w:fill="4BACC6"/>
            <w:vAlign w:val="center"/>
            <w:hideMark/>
          </w:tcPr>
          <w:p w:rsidR="006308E8" w:rsidRPr="00BB7F2F" w:rsidRDefault="006308E8" w:rsidP="00AF49E0">
            <w:pPr>
              <w:jc w:val="center"/>
              <w:rPr>
                <w:rFonts w:asciiTheme="minorHAnsi" w:hAnsiTheme="minorHAnsi"/>
                <w:b/>
                <w:bCs/>
                <w:color w:val="FFFFFF"/>
                <w:sz w:val="20"/>
                <w:szCs w:val="20"/>
                <w:lang w:val="sq-AL"/>
              </w:rPr>
            </w:pPr>
            <w:r w:rsidRPr="00BB7F2F">
              <w:rPr>
                <w:rFonts w:asciiTheme="minorHAnsi" w:hAnsiTheme="minorHAnsi"/>
                <w:b/>
                <w:bCs/>
                <w:color w:val="FFFFFF"/>
                <w:sz w:val="20"/>
                <w:szCs w:val="20"/>
                <w:lang w:val="sq-AL"/>
              </w:rPr>
              <w:t>Plani 2020</w:t>
            </w:r>
          </w:p>
        </w:tc>
        <w:tc>
          <w:tcPr>
            <w:tcW w:w="0" w:type="auto"/>
            <w:gridSpan w:val="2"/>
            <w:tcBorders>
              <w:top w:val="single" w:sz="8" w:space="0" w:color="4BACC6"/>
              <w:left w:val="nil"/>
              <w:bottom w:val="single" w:sz="8" w:space="0" w:color="4BACC6"/>
              <w:right w:val="nil"/>
            </w:tcBorders>
            <w:shd w:val="clear" w:color="000000" w:fill="4BACC6"/>
            <w:vAlign w:val="center"/>
            <w:hideMark/>
          </w:tcPr>
          <w:p w:rsidR="006308E8" w:rsidRPr="00BB7F2F" w:rsidRDefault="006308E8" w:rsidP="00AF49E0">
            <w:pPr>
              <w:jc w:val="center"/>
              <w:rPr>
                <w:rFonts w:asciiTheme="minorHAnsi" w:hAnsiTheme="minorHAnsi"/>
                <w:b/>
                <w:bCs/>
                <w:color w:val="FFFFFF"/>
                <w:sz w:val="20"/>
                <w:szCs w:val="20"/>
                <w:lang w:val="sq-AL"/>
              </w:rPr>
            </w:pPr>
            <w:r w:rsidRPr="00BB7F2F">
              <w:rPr>
                <w:rFonts w:asciiTheme="minorHAnsi" w:hAnsiTheme="minorHAnsi"/>
                <w:b/>
                <w:bCs/>
                <w:color w:val="FFFFFF"/>
                <w:sz w:val="20"/>
                <w:szCs w:val="20"/>
                <w:lang w:val="sq-AL"/>
              </w:rPr>
              <w:t>Fakti 4 mujor</w:t>
            </w:r>
          </w:p>
        </w:tc>
        <w:tc>
          <w:tcPr>
            <w:tcW w:w="0" w:type="auto"/>
            <w:gridSpan w:val="2"/>
            <w:tcBorders>
              <w:top w:val="single" w:sz="8" w:space="0" w:color="4BACC6"/>
              <w:left w:val="nil"/>
              <w:bottom w:val="single" w:sz="8" w:space="0" w:color="4BACC6"/>
              <w:right w:val="single" w:sz="8" w:space="0" w:color="4BACC6"/>
            </w:tcBorders>
            <w:shd w:val="clear" w:color="000000" w:fill="4BACC6"/>
            <w:vAlign w:val="center"/>
            <w:hideMark/>
          </w:tcPr>
          <w:p w:rsidR="006308E8" w:rsidRPr="00BB7F2F" w:rsidRDefault="006308E8" w:rsidP="00AF49E0">
            <w:pPr>
              <w:jc w:val="center"/>
              <w:rPr>
                <w:rFonts w:asciiTheme="minorHAnsi" w:hAnsiTheme="minorHAnsi"/>
                <w:b/>
                <w:bCs/>
                <w:color w:val="FFFFFF"/>
                <w:sz w:val="20"/>
                <w:szCs w:val="20"/>
                <w:lang w:val="sq-AL"/>
              </w:rPr>
            </w:pPr>
            <w:r w:rsidRPr="00BB7F2F">
              <w:rPr>
                <w:rFonts w:asciiTheme="minorHAnsi" w:hAnsiTheme="minorHAnsi"/>
                <w:b/>
                <w:bCs/>
                <w:color w:val="FFFFFF"/>
                <w:sz w:val="20"/>
                <w:szCs w:val="20"/>
                <w:lang w:val="sq-AL"/>
              </w:rPr>
              <w:t>Përqindja  e realizimit</w:t>
            </w:r>
          </w:p>
        </w:tc>
      </w:tr>
      <w:tr w:rsidR="006308E8" w:rsidRPr="00BB7F2F" w:rsidTr="002124D1">
        <w:trPr>
          <w:trHeight w:val="281"/>
          <w:jc w:val="center"/>
        </w:trPr>
        <w:tc>
          <w:tcPr>
            <w:tcW w:w="0" w:type="auto"/>
            <w:tcBorders>
              <w:top w:val="single" w:sz="8" w:space="0" w:color="4BACC6"/>
              <w:left w:val="single" w:sz="8" w:space="0" w:color="4BACC6"/>
              <w:bottom w:val="single" w:sz="8" w:space="0" w:color="4BACC6"/>
              <w:right w:val="single" w:sz="8" w:space="0" w:color="4BACC6"/>
            </w:tcBorders>
            <w:shd w:val="clear" w:color="000000" w:fill="FFFFFF"/>
            <w:vAlign w:val="center"/>
            <w:hideMark/>
          </w:tcPr>
          <w:p w:rsidR="006308E8" w:rsidRPr="00BB7F2F" w:rsidRDefault="006308E8" w:rsidP="00AF49E0">
            <w:pPr>
              <w:jc w:val="center"/>
              <w:rPr>
                <w:rFonts w:asciiTheme="minorHAnsi" w:hAnsiTheme="minorHAnsi"/>
                <w:color w:val="000000"/>
                <w:sz w:val="18"/>
                <w:szCs w:val="18"/>
                <w:lang w:val="sq-AL"/>
              </w:rPr>
            </w:pPr>
            <w:r w:rsidRPr="00BB7F2F">
              <w:rPr>
                <w:rFonts w:asciiTheme="minorHAnsi" w:hAnsiTheme="minorHAnsi"/>
                <w:color w:val="000000"/>
                <w:sz w:val="18"/>
                <w:szCs w:val="18"/>
                <w:lang w:val="sq-AL"/>
              </w:rPr>
              <w:t>Emërtimi i Programit</w:t>
            </w:r>
          </w:p>
        </w:tc>
        <w:tc>
          <w:tcPr>
            <w:tcW w:w="0" w:type="auto"/>
            <w:tcBorders>
              <w:top w:val="nil"/>
              <w:left w:val="nil"/>
              <w:bottom w:val="single" w:sz="8" w:space="0" w:color="4BACC6"/>
              <w:right w:val="single" w:sz="8" w:space="0" w:color="4BACC6"/>
            </w:tcBorders>
            <w:shd w:val="clear" w:color="auto" w:fill="auto"/>
            <w:vAlign w:val="center"/>
            <w:hideMark/>
          </w:tcPr>
          <w:p w:rsidR="006308E8" w:rsidRPr="00BB7F2F" w:rsidRDefault="006308E8" w:rsidP="00AF49E0">
            <w:pPr>
              <w:jc w:val="center"/>
              <w:rPr>
                <w:rFonts w:asciiTheme="minorHAnsi" w:hAnsiTheme="minorHAnsi"/>
                <w:b/>
                <w:bCs/>
                <w:color w:val="000000"/>
                <w:sz w:val="18"/>
                <w:szCs w:val="18"/>
                <w:lang w:val="sq-AL"/>
              </w:rPr>
            </w:pPr>
            <w:r w:rsidRPr="00BB7F2F">
              <w:rPr>
                <w:rFonts w:asciiTheme="minorHAnsi" w:hAnsiTheme="minorHAnsi"/>
                <w:b/>
                <w:bCs/>
                <w:color w:val="000000"/>
                <w:sz w:val="18"/>
                <w:szCs w:val="18"/>
                <w:lang w:val="sq-AL"/>
              </w:rPr>
              <w:t>Korrente</w:t>
            </w:r>
          </w:p>
        </w:tc>
        <w:tc>
          <w:tcPr>
            <w:tcW w:w="0" w:type="auto"/>
            <w:tcBorders>
              <w:top w:val="nil"/>
              <w:left w:val="nil"/>
              <w:bottom w:val="single" w:sz="8" w:space="0" w:color="4BACC6"/>
              <w:right w:val="single" w:sz="8" w:space="0" w:color="4BACC6"/>
            </w:tcBorders>
            <w:shd w:val="clear" w:color="auto" w:fill="auto"/>
            <w:vAlign w:val="center"/>
            <w:hideMark/>
          </w:tcPr>
          <w:p w:rsidR="006308E8" w:rsidRPr="00BB7F2F" w:rsidRDefault="006308E8" w:rsidP="00AF49E0">
            <w:pPr>
              <w:jc w:val="center"/>
              <w:rPr>
                <w:rFonts w:asciiTheme="minorHAnsi" w:hAnsiTheme="minorHAnsi"/>
                <w:b/>
                <w:bCs/>
                <w:color w:val="000000"/>
                <w:sz w:val="18"/>
                <w:szCs w:val="18"/>
                <w:lang w:val="sq-AL"/>
              </w:rPr>
            </w:pPr>
            <w:r w:rsidRPr="00BB7F2F">
              <w:rPr>
                <w:rFonts w:asciiTheme="minorHAnsi" w:hAnsiTheme="minorHAnsi"/>
                <w:b/>
                <w:bCs/>
                <w:color w:val="000000"/>
                <w:sz w:val="18"/>
                <w:szCs w:val="18"/>
                <w:lang w:val="sq-AL"/>
              </w:rPr>
              <w:t>Investime</w:t>
            </w:r>
          </w:p>
        </w:tc>
        <w:tc>
          <w:tcPr>
            <w:tcW w:w="0" w:type="auto"/>
            <w:tcBorders>
              <w:top w:val="nil"/>
              <w:left w:val="nil"/>
              <w:bottom w:val="single" w:sz="8" w:space="0" w:color="4BACC6"/>
              <w:right w:val="single" w:sz="8" w:space="0" w:color="4BACC6"/>
            </w:tcBorders>
            <w:shd w:val="clear" w:color="auto" w:fill="auto"/>
            <w:vAlign w:val="center"/>
            <w:hideMark/>
          </w:tcPr>
          <w:p w:rsidR="006308E8" w:rsidRPr="00BB7F2F" w:rsidRDefault="006308E8" w:rsidP="00AF49E0">
            <w:pPr>
              <w:jc w:val="center"/>
              <w:rPr>
                <w:rFonts w:asciiTheme="minorHAnsi" w:hAnsiTheme="minorHAnsi"/>
                <w:b/>
                <w:bCs/>
                <w:color w:val="000000"/>
                <w:sz w:val="18"/>
                <w:szCs w:val="18"/>
                <w:lang w:val="sq-AL"/>
              </w:rPr>
            </w:pPr>
            <w:r w:rsidRPr="00BB7F2F">
              <w:rPr>
                <w:rFonts w:asciiTheme="minorHAnsi" w:hAnsiTheme="minorHAnsi"/>
                <w:b/>
                <w:bCs/>
                <w:color w:val="000000"/>
                <w:sz w:val="18"/>
                <w:szCs w:val="18"/>
                <w:lang w:val="sq-AL"/>
              </w:rPr>
              <w:t>Korrente</w:t>
            </w:r>
          </w:p>
        </w:tc>
        <w:tc>
          <w:tcPr>
            <w:tcW w:w="0" w:type="auto"/>
            <w:tcBorders>
              <w:top w:val="nil"/>
              <w:left w:val="nil"/>
              <w:bottom w:val="single" w:sz="8" w:space="0" w:color="4BACC6"/>
              <w:right w:val="single" w:sz="8" w:space="0" w:color="4BACC6"/>
            </w:tcBorders>
            <w:shd w:val="clear" w:color="auto" w:fill="auto"/>
            <w:vAlign w:val="center"/>
            <w:hideMark/>
          </w:tcPr>
          <w:p w:rsidR="006308E8" w:rsidRPr="00BB7F2F" w:rsidRDefault="006308E8" w:rsidP="00AF49E0">
            <w:pPr>
              <w:jc w:val="center"/>
              <w:rPr>
                <w:rFonts w:asciiTheme="minorHAnsi" w:hAnsiTheme="minorHAnsi"/>
                <w:b/>
                <w:bCs/>
                <w:color w:val="000000"/>
                <w:sz w:val="18"/>
                <w:szCs w:val="18"/>
                <w:lang w:val="sq-AL"/>
              </w:rPr>
            </w:pPr>
            <w:r w:rsidRPr="00BB7F2F">
              <w:rPr>
                <w:rFonts w:asciiTheme="minorHAnsi" w:hAnsiTheme="minorHAnsi"/>
                <w:b/>
                <w:bCs/>
                <w:color w:val="000000"/>
                <w:sz w:val="18"/>
                <w:szCs w:val="18"/>
                <w:lang w:val="sq-AL"/>
              </w:rPr>
              <w:t>Investime</w:t>
            </w:r>
          </w:p>
        </w:tc>
        <w:tc>
          <w:tcPr>
            <w:tcW w:w="0" w:type="auto"/>
            <w:tcBorders>
              <w:top w:val="nil"/>
              <w:left w:val="nil"/>
              <w:bottom w:val="single" w:sz="8" w:space="0" w:color="4BACC6"/>
              <w:right w:val="single" w:sz="8" w:space="0" w:color="4BACC6"/>
            </w:tcBorders>
            <w:shd w:val="clear" w:color="auto" w:fill="auto"/>
            <w:vAlign w:val="center"/>
            <w:hideMark/>
          </w:tcPr>
          <w:p w:rsidR="006308E8" w:rsidRPr="00BB7F2F" w:rsidRDefault="006308E8" w:rsidP="00AF49E0">
            <w:pPr>
              <w:jc w:val="center"/>
              <w:rPr>
                <w:rFonts w:asciiTheme="minorHAnsi" w:hAnsiTheme="minorHAnsi"/>
                <w:b/>
                <w:bCs/>
                <w:color w:val="000000"/>
                <w:sz w:val="18"/>
                <w:szCs w:val="18"/>
                <w:lang w:val="sq-AL"/>
              </w:rPr>
            </w:pPr>
            <w:r w:rsidRPr="00BB7F2F">
              <w:rPr>
                <w:rFonts w:asciiTheme="minorHAnsi" w:hAnsiTheme="minorHAnsi"/>
                <w:b/>
                <w:bCs/>
                <w:color w:val="000000"/>
                <w:sz w:val="18"/>
                <w:szCs w:val="18"/>
                <w:lang w:val="sq-AL"/>
              </w:rPr>
              <w:t>Korrente</w:t>
            </w:r>
          </w:p>
        </w:tc>
        <w:tc>
          <w:tcPr>
            <w:tcW w:w="0" w:type="auto"/>
            <w:tcBorders>
              <w:top w:val="nil"/>
              <w:left w:val="nil"/>
              <w:bottom w:val="single" w:sz="8" w:space="0" w:color="4BACC6"/>
              <w:right w:val="single" w:sz="8" w:space="0" w:color="4BACC6"/>
            </w:tcBorders>
            <w:shd w:val="clear" w:color="auto" w:fill="auto"/>
            <w:vAlign w:val="center"/>
            <w:hideMark/>
          </w:tcPr>
          <w:p w:rsidR="006308E8" w:rsidRPr="00BB7F2F" w:rsidRDefault="006308E8" w:rsidP="00AF49E0">
            <w:pPr>
              <w:jc w:val="center"/>
              <w:rPr>
                <w:rFonts w:asciiTheme="minorHAnsi" w:hAnsiTheme="minorHAnsi"/>
                <w:b/>
                <w:bCs/>
                <w:color w:val="000000"/>
                <w:sz w:val="18"/>
                <w:szCs w:val="18"/>
                <w:lang w:val="sq-AL"/>
              </w:rPr>
            </w:pPr>
            <w:r w:rsidRPr="00BB7F2F">
              <w:rPr>
                <w:rFonts w:asciiTheme="minorHAnsi" w:hAnsiTheme="minorHAnsi"/>
                <w:b/>
                <w:bCs/>
                <w:color w:val="000000"/>
                <w:sz w:val="18"/>
                <w:szCs w:val="18"/>
                <w:lang w:val="sq-AL"/>
              </w:rPr>
              <w:t>Investime</w:t>
            </w:r>
          </w:p>
        </w:tc>
      </w:tr>
      <w:tr w:rsidR="006308E8" w:rsidRPr="00BB7F2F" w:rsidTr="002124D1">
        <w:trPr>
          <w:trHeight w:val="281"/>
          <w:jc w:val="center"/>
        </w:trPr>
        <w:tc>
          <w:tcPr>
            <w:tcW w:w="0" w:type="auto"/>
            <w:tcBorders>
              <w:top w:val="nil"/>
              <w:left w:val="single" w:sz="8" w:space="0" w:color="4BACC6"/>
              <w:bottom w:val="single" w:sz="8" w:space="0" w:color="4BACC6"/>
              <w:right w:val="single" w:sz="8" w:space="0" w:color="4BACC6"/>
            </w:tcBorders>
            <w:shd w:val="clear" w:color="000000" w:fill="FFFFFF"/>
            <w:noWrap/>
            <w:vAlign w:val="center"/>
            <w:hideMark/>
          </w:tcPr>
          <w:p w:rsidR="006308E8" w:rsidRPr="00BB7F2F" w:rsidRDefault="006308E8" w:rsidP="00AF49E0">
            <w:pPr>
              <w:rPr>
                <w:rFonts w:asciiTheme="minorHAnsi" w:hAnsiTheme="minorHAnsi"/>
                <w:b/>
                <w:bCs/>
                <w:color w:val="000000"/>
                <w:sz w:val="18"/>
                <w:szCs w:val="18"/>
                <w:lang w:val="sq-AL"/>
              </w:rPr>
            </w:pPr>
            <w:r w:rsidRPr="00BB7F2F">
              <w:rPr>
                <w:rFonts w:asciiTheme="minorHAnsi" w:hAnsiTheme="minorHAnsi"/>
                <w:b/>
                <w:bCs/>
                <w:color w:val="000000"/>
                <w:sz w:val="18"/>
                <w:szCs w:val="18"/>
                <w:lang w:val="sq-AL"/>
              </w:rPr>
              <w:t>Planifikimi, Menaxhimi dhe Administrimi</w:t>
            </w:r>
          </w:p>
        </w:tc>
        <w:tc>
          <w:tcPr>
            <w:tcW w:w="0" w:type="auto"/>
            <w:tcBorders>
              <w:top w:val="nil"/>
              <w:left w:val="nil"/>
              <w:bottom w:val="single" w:sz="8" w:space="0" w:color="4BACC6"/>
              <w:right w:val="single" w:sz="8" w:space="0" w:color="4BACC6"/>
            </w:tcBorders>
            <w:shd w:val="clear" w:color="auto" w:fill="auto"/>
            <w:noWrap/>
            <w:vAlign w:val="center"/>
            <w:hideMark/>
          </w:tcPr>
          <w:p w:rsidR="006308E8" w:rsidRPr="00BB7F2F" w:rsidRDefault="006308E8" w:rsidP="00AF49E0">
            <w:pPr>
              <w:jc w:val="right"/>
              <w:rPr>
                <w:rFonts w:asciiTheme="minorHAnsi" w:hAnsiTheme="minorHAnsi"/>
                <w:color w:val="000000"/>
                <w:sz w:val="18"/>
                <w:szCs w:val="18"/>
                <w:lang w:val="sq-AL"/>
              </w:rPr>
            </w:pPr>
            <w:r w:rsidRPr="00BB7F2F">
              <w:rPr>
                <w:rFonts w:asciiTheme="minorHAnsi" w:hAnsiTheme="minorHAnsi"/>
                <w:color w:val="000000"/>
                <w:sz w:val="18"/>
                <w:szCs w:val="18"/>
                <w:lang w:val="sq-AL"/>
              </w:rPr>
              <w:t>580,350</w:t>
            </w:r>
          </w:p>
        </w:tc>
        <w:tc>
          <w:tcPr>
            <w:tcW w:w="0" w:type="auto"/>
            <w:tcBorders>
              <w:top w:val="nil"/>
              <w:left w:val="nil"/>
              <w:bottom w:val="single" w:sz="8" w:space="0" w:color="4BACC6"/>
              <w:right w:val="single" w:sz="8" w:space="0" w:color="4BACC6"/>
            </w:tcBorders>
            <w:shd w:val="clear" w:color="auto" w:fill="auto"/>
            <w:noWrap/>
            <w:vAlign w:val="center"/>
            <w:hideMark/>
          </w:tcPr>
          <w:p w:rsidR="006308E8" w:rsidRPr="00BB7F2F" w:rsidRDefault="006308E8" w:rsidP="00AF49E0">
            <w:pPr>
              <w:jc w:val="right"/>
              <w:rPr>
                <w:rFonts w:asciiTheme="minorHAnsi" w:hAnsiTheme="minorHAnsi"/>
                <w:color w:val="000000"/>
                <w:sz w:val="18"/>
                <w:szCs w:val="18"/>
                <w:lang w:val="sq-AL"/>
              </w:rPr>
            </w:pPr>
            <w:r w:rsidRPr="00BB7F2F">
              <w:rPr>
                <w:rFonts w:asciiTheme="minorHAnsi" w:hAnsiTheme="minorHAnsi"/>
                <w:color w:val="000000"/>
                <w:sz w:val="18"/>
                <w:szCs w:val="18"/>
                <w:lang w:val="sq-AL"/>
              </w:rPr>
              <w:t>193,000</w:t>
            </w:r>
          </w:p>
        </w:tc>
        <w:tc>
          <w:tcPr>
            <w:tcW w:w="0" w:type="auto"/>
            <w:tcBorders>
              <w:top w:val="nil"/>
              <w:left w:val="nil"/>
              <w:bottom w:val="single" w:sz="8" w:space="0" w:color="4BACC6"/>
              <w:right w:val="single" w:sz="8" w:space="0" w:color="4BACC6"/>
            </w:tcBorders>
            <w:shd w:val="clear" w:color="auto" w:fill="auto"/>
            <w:noWrap/>
            <w:vAlign w:val="center"/>
            <w:hideMark/>
          </w:tcPr>
          <w:p w:rsidR="006308E8" w:rsidRPr="00BB7F2F" w:rsidRDefault="006308E8" w:rsidP="00AF49E0">
            <w:pPr>
              <w:jc w:val="right"/>
              <w:rPr>
                <w:rFonts w:asciiTheme="minorHAnsi" w:hAnsiTheme="minorHAnsi"/>
                <w:color w:val="000000"/>
                <w:sz w:val="18"/>
                <w:szCs w:val="18"/>
                <w:lang w:val="sq-AL"/>
              </w:rPr>
            </w:pPr>
            <w:r w:rsidRPr="00BB7F2F">
              <w:rPr>
                <w:rFonts w:asciiTheme="minorHAnsi" w:hAnsiTheme="minorHAnsi"/>
                <w:color w:val="000000"/>
                <w:sz w:val="18"/>
                <w:szCs w:val="18"/>
                <w:lang w:val="sq-AL"/>
              </w:rPr>
              <w:t>173,337</w:t>
            </w:r>
          </w:p>
        </w:tc>
        <w:tc>
          <w:tcPr>
            <w:tcW w:w="0" w:type="auto"/>
            <w:tcBorders>
              <w:top w:val="nil"/>
              <w:left w:val="nil"/>
              <w:bottom w:val="single" w:sz="8" w:space="0" w:color="4BACC6"/>
              <w:right w:val="single" w:sz="8" w:space="0" w:color="4BACC6"/>
            </w:tcBorders>
            <w:shd w:val="clear" w:color="auto" w:fill="auto"/>
            <w:noWrap/>
            <w:vAlign w:val="center"/>
            <w:hideMark/>
          </w:tcPr>
          <w:p w:rsidR="006308E8" w:rsidRPr="00BB7F2F" w:rsidRDefault="006308E8" w:rsidP="00AF49E0">
            <w:pPr>
              <w:jc w:val="right"/>
              <w:rPr>
                <w:rFonts w:asciiTheme="minorHAnsi" w:hAnsiTheme="minorHAnsi"/>
                <w:color w:val="000000"/>
                <w:sz w:val="18"/>
                <w:szCs w:val="18"/>
                <w:lang w:val="sq-AL"/>
              </w:rPr>
            </w:pPr>
            <w:r w:rsidRPr="00BB7F2F">
              <w:rPr>
                <w:rFonts w:asciiTheme="minorHAnsi" w:hAnsiTheme="minorHAnsi"/>
                <w:color w:val="000000"/>
                <w:sz w:val="18"/>
                <w:szCs w:val="18"/>
                <w:lang w:val="sq-AL"/>
              </w:rPr>
              <w:t>61,957</w:t>
            </w:r>
          </w:p>
        </w:tc>
        <w:tc>
          <w:tcPr>
            <w:tcW w:w="0" w:type="auto"/>
            <w:tcBorders>
              <w:top w:val="nil"/>
              <w:left w:val="nil"/>
              <w:bottom w:val="single" w:sz="8" w:space="0" w:color="4BACC6"/>
              <w:right w:val="single" w:sz="8" w:space="0" w:color="4BACC6"/>
            </w:tcBorders>
            <w:shd w:val="clear" w:color="auto" w:fill="auto"/>
            <w:vAlign w:val="center"/>
            <w:hideMark/>
          </w:tcPr>
          <w:p w:rsidR="006308E8" w:rsidRPr="00BB7F2F" w:rsidRDefault="006308E8" w:rsidP="00AF49E0">
            <w:pPr>
              <w:jc w:val="center"/>
              <w:rPr>
                <w:rFonts w:asciiTheme="minorHAnsi" w:hAnsiTheme="minorHAnsi"/>
                <w:color w:val="000000"/>
                <w:sz w:val="18"/>
                <w:szCs w:val="18"/>
                <w:lang w:val="sq-AL"/>
              </w:rPr>
            </w:pPr>
            <w:r w:rsidRPr="00BB7F2F">
              <w:rPr>
                <w:rFonts w:asciiTheme="minorHAnsi" w:hAnsiTheme="minorHAnsi"/>
                <w:color w:val="000000"/>
                <w:sz w:val="18"/>
                <w:szCs w:val="18"/>
                <w:lang w:val="sq-AL"/>
              </w:rPr>
              <w:t>29.9%</w:t>
            </w:r>
          </w:p>
        </w:tc>
        <w:tc>
          <w:tcPr>
            <w:tcW w:w="0" w:type="auto"/>
            <w:tcBorders>
              <w:top w:val="nil"/>
              <w:left w:val="nil"/>
              <w:bottom w:val="single" w:sz="8" w:space="0" w:color="4BACC6"/>
              <w:right w:val="single" w:sz="8" w:space="0" w:color="4BACC6"/>
            </w:tcBorders>
            <w:shd w:val="clear" w:color="auto" w:fill="auto"/>
            <w:vAlign w:val="center"/>
            <w:hideMark/>
          </w:tcPr>
          <w:p w:rsidR="006308E8" w:rsidRPr="00BB7F2F" w:rsidRDefault="006308E8" w:rsidP="00AF49E0">
            <w:pPr>
              <w:jc w:val="center"/>
              <w:rPr>
                <w:rFonts w:asciiTheme="minorHAnsi" w:hAnsiTheme="minorHAnsi"/>
                <w:color w:val="000000"/>
                <w:sz w:val="18"/>
                <w:szCs w:val="18"/>
                <w:lang w:val="sq-AL"/>
              </w:rPr>
            </w:pPr>
            <w:r w:rsidRPr="00BB7F2F">
              <w:rPr>
                <w:rFonts w:asciiTheme="minorHAnsi" w:hAnsiTheme="minorHAnsi"/>
                <w:color w:val="000000"/>
                <w:sz w:val="18"/>
                <w:szCs w:val="18"/>
                <w:lang w:val="sq-AL"/>
              </w:rPr>
              <w:t>32.1%</w:t>
            </w:r>
          </w:p>
        </w:tc>
      </w:tr>
      <w:tr w:rsidR="006308E8" w:rsidRPr="00BB7F2F" w:rsidTr="002124D1">
        <w:trPr>
          <w:trHeight w:val="281"/>
          <w:jc w:val="center"/>
        </w:trPr>
        <w:tc>
          <w:tcPr>
            <w:tcW w:w="0" w:type="auto"/>
            <w:tcBorders>
              <w:top w:val="nil"/>
              <w:left w:val="single" w:sz="8" w:space="0" w:color="4BACC6"/>
              <w:bottom w:val="single" w:sz="8" w:space="0" w:color="4BACC6"/>
              <w:right w:val="single" w:sz="8" w:space="0" w:color="4BACC6"/>
            </w:tcBorders>
            <w:shd w:val="clear" w:color="000000" w:fill="FFFFFF"/>
            <w:noWrap/>
            <w:vAlign w:val="center"/>
            <w:hideMark/>
          </w:tcPr>
          <w:p w:rsidR="006308E8" w:rsidRPr="00BB7F2F" w:rsidRDefault="006308E8" w:rsidP="00AF49E0">
            <w:pPr>
              <w:jc w:val="right"/>
              <w:rPr>
                <w:rFonts w:asciiTheme="minorHAnsi" w:hAnsiTheme="minorHAnsi"/>
                <w:b/>
                <w:bCs/>
                <w:color w:val="000000"/>
                <w:sz w:val="18"/>
                <w:szCs w:val="18"/>
                <w:lang w:val="sq-AL"/>
              </w:rPr>
            </w:pPr>
            <w:r w:rsidRPr="00BB7F2F">
              <w:rPr>
                <w:rFonts w:asciiTheme="minorHAnsi" w:hAnsiTheme="minorHAnsi"/>
                <w:b/>
                <w:bCs/>
                <w:color w:val="000000"/>
                <w:sz w:val="18"/>
                <w:szCs w:val="18"/>
                <w:lang w:val="sq-AL"/>
              </w:rPr>
              <w:t>Financimi i huaj</w:t>
            </w:r>
          </w:p>
        </w:tc>
        <w:tc>
          <w:tcPr>
            <w:tcW w:w="0" w:type="auto"/>
            <w:tcBorders>
              <w:top w:val="nil"/>
              <w:left w:val="nil"/>
              <w:bottom w:val="single" w:sz="8" w:space="0" w:color="4BACC6"/>
              <w:right w:val="single" w:sz="8" w:space="0" w:color="4BACC6"/>
            </w:tcBorders>
            <w:shd w:val="clear" w:color="auto" w:fill="auto"/>
            <w:noWrap/>
            <w:vAlign w:val="center"/>
            <w:hideMark/>
          </w:tcPr>
          <w:p w:rsidR="006308E8" w:rsidRPr="00BB7F2F" w:rsidRDefault="006308E8" w:rsidP="00AF49E0">
            <w:pPr>
              <w:jc w:val="right"/>
              <w:rPr>
                <w:rFonts w:asciiTheme="minorHAnsi" w:hAnsiTheme="minorHAnsi"/>
                <w:color w:val="000000"/>
                <w:sz w:val="18"/>
                <w:szCs w:val="18"/>
                <w:lang w:val="sq-AL"/>
              </w:rPr>
            </w:pPr>
            <w:r w:rsidRPr="00BB7F2F">
              <w:rPr>
                <w:rFonts w:asciiTheme="minorHAnsi" w:hAnsiTheme="minorHAnsi"/>
                <w:color w:val="000000"/>
                <w:sz w:val="18"/>
                <w:szCs w:val="18"/>
                <w:lang w:val="sq-AL"/>
              </w:rPr>
              <w:t> </w:t>
            </w:r>
          </w:p>
        </w:tc>
        <w:tc>
          <w:tcPr>
            <w:tcW w:w="0" w:type="auto"/>
            <w:tcBorders>
              <w:top w:val="nil"/>
              <w:left w:val="nil"/>
              <w:bottom w:val="single" w:sz="8" w:space="0" w:color="4BACC6"/>
              <w:right w:val="single" w:sz="8" w:space="0" w:color="4BACC6"/>
            </w:tcBorders>
            <w:shd w:val="clear" w:color="auto" w:fill="auto"/>
            <w:noWrap/>
            <w:vAlign w:val="center"/>
            <w:hideMark/>
          </w:tcPr>
          <w:p w:rsidR="006308E8" w:rsidRPr="00BB7F2F" w:rsidRDefault="006308E8" w:rsidP="00AF49E0">
            <w:pPr>
              <w:jc w:val="right"/>
              <w:rPr>
                <w:rFonts w:asciiTheme="minorHAnsi" w:hAnsiTheme="minorHAnsi"/>
                <w:color w:val="000000"/>
                <w:sz w:val="18"/>
                <w:szCs w:val="18"/>
                <w:lang w:val="sq-AL"/>
              </w:rPr>
            </w:pPr>
            <w:r w:rsidRPr="00BB7F2F">
              <w:rPr>
                <w:rFonts w:asciiTheme="minorHAnsi" w:hAnsiTheme="minorHAnsi"/>
                <w:color w:val="000000"/>
                <w:sz w:val="18"/>
                <w:szCs w:val="18"/>
                <w:lang w:val="sq-AL"/>
              </w:rPr>
              <w:t>200,000</w:t>
            </w:r>
          </w:p>
        </w:tc>
        <w:tc>
          <w:tcPr>
            <w:tcW w:w="0" w:type="auto"/>
            <w:tcBorders>
              <w:top w:val="nil"/>
              <w:left w:val="nil"/>
              <w:bottom w:val="single" w:sz="8" w:space="0" w:color="4BACC6"/>
              <w:right w:val="single" w:sz="8" w:space="0" w:color="4BACC6"/>
            </w:tcBorders>
            <w:shd w:val="clear" w:color="auto" w:fill="auto"/>
            <w:noWrap/>
            <w:vAlign w:val="center"/>
            <w:hideMark/>
          </w:tcPr>
          <w:p w:rsidR="006308E8" w:rsidRPr="00BB7F2F" w:rsidRDefault="006308E8" w:rsidP="00AF49E0">
            <w:pPr>
              <w:jc w:val="right"/>
              <w:rPr>
                <w:rFonts w:asciiTheme="minorHAnsi" w:hAnsiTheme="minorHAnsi"/>
                <w:color w:val="000000"/>
                <w:sz w:val="18"/>
                <w:szCs w:val="18"/>
                <w:lang w:val="sq-AL"/>
              </w:rPr>
            </w:pPr>
            <w:r w:rsidRPr="00BB7F2F">
              <w:rPr>
                <w:rFonts w:asciiTheme="minorHAnsi" w:hAnsiTheme="minorHAnsi"/>
                <w:color w:val="000000"/>
                <w:sz w:val="18"/>
                <w:szCs w:val="18"/>
                <w:lang w:val="sq-AL"/>
              </w:rPr>
              <w:t> </w:t>
            </w:r>
          </w:p>
        </w:tc>
        <w:tc>
          <w:tcPr>
            <w:tcW w:w="0" w:type="auto"/>
            <w:tcBorders>
              <w:top w:val="nil"/>
              <w:left w:val="nil"/>
              <w:bottom w:val="single" w:sz="8" w:space="0" w:color="4BACC6"/>
              <w:right w:val="single" w:sz="8" w:space="0" w:color="4BACC6"/>
            </w:tcBorders>
            <w:shd w:val="clear" w:color="auto" w:fill="auto"/>
            <w:noWrap/>
            <w:vAlign w:val="center"/>
            <w:hideMark/>
          </w:tcPr>
          <w:p w:rsidR="006308E8" w:rsidRPr="00BB7F2F" w:rsidRDefault="006308E8" w:rsidP="00AF49E0">
            <w:pPr>
              <w:jc w:val="right"/>
              <w:rPr>
                <w:rFonts w:asciiTheme="minorHAnsi" w:hAnsiTheme="minorHAnsi"/>
                <w:color w:val="000000"/>
                <w:sz w:val="18"/>
                <w:szCs w:val="18"/>
                <w:lang w:val="sq-AL"/>
              </w:rPr>
            </w:pPr>
            <w:r w:rsidRPr="00BB7F2F">
              <w:rPr>
                <w:rFonts w:asciiTheme="minorHAnsi" w:hAnsiTheme="minorHAnsi"/>
                <w:color w:val="000000"/>
                <w:sz w:val="18"/>
                <w:szCs w:val="18"/>
                <w:lang w:val="sq-AL"/>
              </w:rPr>
              <w:t>261,517</w:t>
            </w:r>
          </w:p>
        </w:tc>
        <w:tc>
          <w:tcPr>
            <w:tcW w:w="0" w:type="auto"/>
            <w:tcBorders>
              <w:top w:val="nil"/>
              <w:left w:val="nil"/>
              <w:bottom w:val="single" w:sz="8" w:space="0" w:color="4BACC6"/>
              <w:right w:val="single" w:sz="8" w:space="0" w:color="4BACC6"/>
            </w:tcBorders>
            <w:shd w:val="clear" w:color="auto" w:fill="auto"/>
            <w:vAlign w:val="center"/>
            <w:hideMark/>
          </w:tcPr>
          <w:p w:rsidR="006308E8" w:rsidRPr="00BB7F2F" w:rsidRDefault="006308E8" w:rsidP="00AF49E0">
            <w:pPr>
              <w:jc w:val="center"/>
              <w:rPr>
                <w:rFonts w:asciiTheme="minorHAnsi" w:hAnsiTheme="minorHAnsi"/>
                <w:color w:val="000000"/>
                <w:sz w:val="18"/>
                <w:szCs w:val="18"/>
                <w:lang w:val="sq-AL"/>
              </w:rPr>
            </w:pPr>
            <w:r w:rsidRPr="00BB7F2F">
              <w:rPr>
                <w:rFonts w:asciiTheme="minorHAnsi" w:hAnsiTheme="minorHAnsi"/>
                <w:color w:val="000000"/>
                <w:sz w:val="18"/>
                <w:szCs w:val="18"/>
                <w:lang w:val="sq-AL"/>
              </w:rPr>
              <w:t> </w:t>
            </w:r>
          </w:p>
        </w:tc>
        <w:tc>
          <w:tcPr>
            <w:tcW w:w="0" w:type="auto"/>
            <w:tcBorders>
              <w:top w:val="nil"/>
              <w:left w:val="nil"/>
              <w:bottom w:val="single" w:sz="8" w:space="0" w:color="4BACC6"/>
              <w:right w:val="single" w:sz="8" w:space="0" w:color="4BACC6"/>
            </w:tcBorders>
            <w:shd w:val="clear" w:color="auto" w:fill="auto"/>
            <w:vAlign w:val="center"/>
            <w:hideMark/>
          </w:tcPr>
          <w:p w:rsidR="006308E8" w:rsidRPr="00BB7F2F" w:rsidRDefault="006308E8" w:rsidP="00AF49E0">
            <w:pPr>
              <w:jc w:val="center"/>
              <w:rPr>
                <w:rFonts w:asciiTheme="minorHAnsi" w:hAnsiTheme="minorHAnsi"/>
                <w:color w:val="000000"/>
                <w:sz w:val="18"/>
                <w:szCs w:val="18"/>
                <w:lang w:val="sq-AL"/>
              </w:rPr>
            </w:pPr>
            <w:r w:rsidRPr="00BB7F2F">
              <w:rPr>
                <w:rFonts w:asciiTheme="minorHAnsi" w:hAnsiTheme="minorHAnsi"/>
                <w:color w:val="000000"/>
                <w:sz w:val="18"/>
                <w:szCs w:val="18"/>
                <w:lang w:val="sq-AL"/>
              </w:rPr>
              <w:t>130.8%</w:t>
            </w:r>
          </w:p>
        </w:tc>
      </w:tr>
      <w:tr w:rsidR="006308E8" w:rsidRPr="00BB7F2F" w:rsidTr="002124D1">
        <w:trPr>
          <w:trHeight w:val="281"/>
          <w:jc w:val="center"/>
        </w:trPr>
        <w:tc>
          <w:tcPr>
            <w:tcW w:w="0" w:type="auto"/>
            <w:tcBorders>
              <w:top w:val="nil"/>
              <w:left w:val="single" w:sz="8" w:space="0" w:color="4BACC6"/>
              <w:bottom w:val="single" w:sz="8" w:space="0" w:color="4BACC6"/>
              <w:right w:val="single" w:sz="8" w:space="0" w:color="4BACC6"/>
            </w:tcBorders>
            <w:shd w:val="clear" w:color="000000" w:fill="FFFFFF"/>
            <w:noWrap/>
            <w:vAlign w:val="center"/>
            <w:hideMark/>
          </w:tcPr>
          <w:p w:rsidR="006308E8" w:rsidRPr="00BB7F2F" w:rsidRDefault="006308E8" w:rsidP="00AF49E0">
            <w:pPr>
              <w:rPr>
                <w:rFonts w:asciiTheme="minorHAnsi" w:hAnsiTheme="minorHAnsi"/>
                <w:b/>
                <w:bCs/>
                <w:color w:val="000000"/>
                <w:sz w:val="18"/>
                <w:szCs w:val="18"/>
                <w:lang w:val="sq-AL"/>
              </w:rPr>
            </w:pPr>
            <w:r w:rsidRPr="00BB7F2F">
              <w:rPr>
                <w:rFonts w:asciiTheme="minorHAnsi" w:hAnsiTheme="minorHAnsi"/>
                <w:b/>
                <w:bCs/>
                <w:color w:val="000000"/>
                <w:sz w:val="18"/>
                <w:szCs w:val="18"/>
                <w:lang w:val="sq-AL"/>
              </w:rPr>
              <w:t>Menaxhimi i të Ardhurave Tatimore</w:t>
            </w:r>
          </w:p>
        </w:tc>
        <w:tc>
          <w:tcPr>
            <w:tcW w:w="0" w:type="auto"/>
            <w:tcBorders>
              <w:top w:val="nil"/>
              <w:left w:val="nil"/>
              <w:bottom w:val="single" w:sz="8" w:space="0" w:color="4BACC6"/>
              <w:right w:val="single" w:sz="8" w:space="0" w:color="4BACC6"/>
            </w:tcBorders>
            <w:shd w:val="clear" w:color="auto" w:fill="auto"/>
            <w:noWrap/>
            <w:vAlign w:val="center"/>
            <w:hideMark/>
          </w:tcPr>
          <w:p w:rsidR="006308E8" w:rsidRPr="00BB7F2F" w:rsidRDefault="006308E8" w:rsidP="00AF49E0">
            <w:pPr>
              <w:jc w:val="right"/>
              <w:rPr>
                <w:rFonts w:asciiTheme="minorHAnsi" w:hAnsiTheme="minorHAnsi"/>
                <w:color w:val="000000"/>
                <w:sz w:val="18"/>
                <w:szCs w:val="18"/>
                <w:lang w:val="sq-AL"/>
              </w:rPr>
            </w:pPr>
            <w:r w:rsidRPr="00BB7F2F">
              <w:rPr>
                <w:rFonts w:asciiTheme="minorHAnsi" w:hAnsiTheme="minorHAnsi"/>
                <w:color w:val="000000"/>
                <w:sz w:val="18"/>
                <w:szCs w:val="18"/>
                <w:lang w:val="sq-AL"/>
              </w:rPr>
              <w:t>2,533,400</w:t>
            </w:r>
          </w:p>
        </w:tc>
        <w:tc>
          <w:tcPr>
            <w:tcW w:w="0" w:type="auto"/>
            <w:tcBorders>
              <w:top w:val="nil"/>
              <w:left w:val="nil"/>
              <w:bottom w:val="single" w:sz="8" w:space="0" w:color="4BACC6"/>
              <w:right w:val="single" w:sz="8" w:space="0" w:color="4BACC6"/>
            </w:tcBorders>
            <w:shd w:val="clear" w:color="auto" w:fill="auto"/>
            <w:noWrap/>
            <w:vAlign w:val="center"/>
            <w:hideMark/>
          </w:tcPr>
          <w:p w:rsidR="006308E8" w:rsidRPr="00BB7F2F" w:rsidRDefault="006308E8" w:rsidP="00AF49E0">
            <w:pPr>
              <w:jc w:val="right"/>
              <w:rPr>
                <w:rFonts w:asciiTheme="minorHAnsi" w:hAnsiTheme="minorHAnsi"/>
                <w:color w:val="000000"/>
                <w:sz w:val="18"/>
                <w:szCs w:val="18"/>
                <w:lang w:val="sq-AL"/>
              </w:rPr>
            </w:pPr>
            <w:r w:rsidRPr="00BB7F2F">
              <w:rPr>
                <w:rFonts w:asciiTheme="minorHAnsi" w:hAnsiTheme="minorHAnsi"/>
                <w:color w:val="000000"/>
                <w:sz w:val="18"/>
                <w:szCs w:val="18"/>
                <w:lang w:val="sq-AL"/>
              </w:rPr>
              <w:t>417,000</w:t>
            </w:r>
          </w:p>
        </w:tc>
        <w:tc>
          <w:tcPr>
            <w:tcW w:w="0" w:type="auto"/>
            <w:tcBorders>
              <w:top w:val="nil"/>
              <w:left w:val="nil"/>
              <w:bottom w:val="single" w:sz="8" w:space="0" w:color="4BACC6"/>
              <w:right w:val="single" w:sz="8" w:space="0" w:color="4BACC6"/>
            </w:tcBorders>
            <w:shd w:val="clear" w:color="auto" w:fill="auto"/>
            <w:noWrap/>
            <w:vAlign w:val="center"/>
            <w:hideMark/>
          </w:tcPr>
          <w:p w:rsidR="006308E8" w:rsidRPr="00BB7F2F" w:rsidRDefault="006308E8" w:rsidP="00AF49E0">
            <w:pPr>
              <w:jc w:val="right"/>
              <w:rPr>
                <w:rFonts w:asciiTheme="minorHAnsi" w:hAnsiTheme="minorHAnsi"/>
                <w:color w:val="000000"/>
                <w:sz w:val="18"/>
                <w:szCs w:val="18"/>
                <w:lang w:val="sq-AL"/>
              </w:rPr>
            </w:pPr>
            <w:r w:rsidRPr="00BB7F2F">
              <w:rPr>
                <w:rFonts w:asciiTheme="minorHAnsi" w:hAnsiTheme="minorHAnsi"/>
                <w:color w:val="000000"/>
                <w:sz w:val="18"/>
                <w:szCs w:val="18"/>
                <w:lang w:val="sq-AL"/>
              </w:rPr>
              <w:t>534,556</w:t>
            </w:r>
          </w:p>
        </w:tc>
        <w:tc>
          <w:tcPr>
            <w:tcW w:w="0" w:type="auto"/>
            <w:tcBorders>
              <w:top w:val="nil"/>
              <w:left w:val="nil"/>
              <w:bottom w:val="single" w:sz="8" w:space="0" w:color="4BACC6"/>
              <w:right w:val="single" w:sz="8" w:space="0" w:color="4BACC6"/>
            </w:tcBorders>
            <w:shd w:val="clear" w:color="auto" w:fill="auto"/>
            <w:noWrap/>
            <w:vAlign w:val="center"/>
            <w:hideMark/>
          </w:tcPr>
          <w:p w:rsidR="006308E8" w:rsidRPr="00BB7F2F" w:rsidRDefault="006308E8" w:rsidP="00AF49E0">
            <w:pPr>
              <w:jc w:val="right"/>
              <w:rPr>
                <w:rFonts w:asciiTheme="minorHAnsi" w:hAnsiTheme="minorHAnsi"/>
                <w:color w:val="000000"/>
                <w:sz w:val="18"/>
                <w:szCs w:val="18"/>
                <w:lang w:val="sq-AL"/>
              </w:rPr>
            </w:pPr>
            <w:r w:rsidRPr="00BB7F2F">
              <w:rPr>
                <w:rFonts w:asciiTheme="minorHAnsi" w:hAnsiTheme="minorHAnsi"/>
                <w:color w:val="000000"/>
                <w:sz w:val="18"/>
                <w:szCs w:val="18"/>
                <w:lang w:val="sq-AL"/>
              </w:rPr>
              <w:t>0</w:t>
            </w:r>
          </w:p>
        </w:tc>
        <w:tc>
          <w:tcPr>
            <w:tcW w:w="0" w:type="auto"/>
            <w:tcBorders>
              <w:top w:val="nil"/>
              <w:left w:val="nil"/>
              <w:bottom w:val="single" w:sz="8" w:space="0" w:color="4BACC6"/>
              <w:right w:val="single" w:sz="8" w:space="0" w:color="4BACC6"/>
            </w:tcBorders>
            <w:shd w:val="clear" w:color="auto" w:fill="auto"/>
            <w:vAlign w:val="center"/>
            <w:hideMark/>
          </w:tcPr>
          <w:p w:rsidR="006308E8" w:rsidRPr="00BB7F2F" w:rsidRDefault="006308E8" w:rsidP="00AF49E0">
            <w:pPr>
              <w:jc w:val="center"/>
              <w:rPr>
                <w:rFonts w:asciiTheme="minorHAnsi" w:hAnsiTheme="minorHAnsi"/>
                <w:color w:val="000000"/>
                <w:sz w:val="18"/>
                <w:szCs w:val="18"/>
                <w:lang w:val="sq-AL"/>
              </w:rPr>
            </w:pPr>
            <w:r w:rsidRPr="00BB7F2F">
              <w:rPr>
                <w:rFonts w:asciiTheme="minorHAnsi" w:hAnsiTheme="minorHAnsi"/>
                <w:color w:val="000000"/>
                <w:sz w:val="18"/>
                <w:szCs w:val="18"/>
                <w:lang w:val="sq-AL"/>
              </w:rPr>
              <w:t>21.1%</w:t>
            </w:r>
          </w:p>
        </w:tc>
        <w:tc>
          <w:tcPr>
            <w:tcW w:w="0" w:type="auto"/>
            <w:tcBorders>
              <w:top w:val="nil"/>
              <w:left w:val="nil"/>
              <w:bottom w:val="single" w:sz="8" w:space="0" w:color="4BACC6"/>
              <w:right w:val="single" w:sz="8" w:space="0" w:color="4BACC6"/>
            </w:tcBorders>
            <w:shd w:val="clear" w:color="auto" w:fill="auto"/>
            <w:vAlign w:val="center"/>
            <w:hideMark/>
          </w:tcPr>
          <w:p w:rsidR="006308E8" w:rsidRPr="00BB7F2F" w:rsidRDefault="006308E8" w:rsidP="00AF49E0">
            <w:pPr>
              <w:jc w:val="center"/>
              <w:rPr>
                <w:rFonts w:asciiTheme="minorHAnsi" w:hAnsiTheme="minorHAnsi"/>
                <w:color w:val="000000"/>
                <w:sz w:val="18"/>
                <w:szCs w:val="18"/>
                <w:lang w:val="sq-AL"/>
              </w:rPr>
            </w:pPr>
            <w:r w:rsidRPr="00BB7F2F">
              <w:rPr>
                <w:rFonts w:asciiTheme="minorHAnsi" w:hAnsiTheme="minorHAnsi"/>
                <w:color w:val="000000"/>
                <w:sz w:val="18"/>
                <w:szCs w:val="18"/>
                <w:lang w:val="sq-AL"/>
              </w:rPr>
              <w:t>0.0%</w:t>
            </w:r>
          </w:p>
        </w:tc>
      </w:tr>
      <w:tr w:rsidR="006308E8" w:rsidRPr="00BB7F2F" w:rsidTr="002124D1">
        <w:trPr>
          <w:trHeight w:val="281"/>
          <w:jc w:val="center"/>
        </w:trPr>
        <w:tc>
          <w:tcPr>
            <w:tcW w:w="0" w:type="auto"/>
            <w:tcBorders>
              <w:top w:val="nil"/>
              <w:left w:val="single" w:sz="8" w:space="0" w:color="4BACC6"/>
              <w:bottom w:val="single" w:sz="8" w:space="0" w:color="4BACC6"/>
              <w:right w:val="single" w:sz="8" w:space="0" w:color="4BACC6"/>
            </w:tcBorders>
            <w:shd w:val="clear" w:color="000000" w:fill="FFFFFF"/>
            <w:noWrap/>
            <w:vAlign w:val="center"/>
            <w:hideMark/>
          </w:tcPr>
          <w:p w:rsidR="006308E8" w:rsidRPr="00BB7F2F" w:rsidRDefault="006308E8" w:rsidP="00AF49E0">
            <w:pPr>
              <w:rPr>
                <w:rFonts w:asciiTheme="minorHAnsi" w:hAnsiTheme="minorHAnsi"/>
                <w:b/>
                <w:bCs/>
                <w:color w:val="000000"/>
                <w:sz w:val="18"/>
                <w:szCs w:val="18"/>
                <w:lang w:val="sq-AL"/>
              </w:rPr>
            </w:pPr>
            <w:r w:rsidRPr="00BB7F2F">
              <w:rPr>
                <w:rFonts w:asciiTheme="minorHAnsi" w:hAnsiTheme="minorHAnsi"/>
                <w:b/>
                <w:bCs/>
                <w:color w:val="000000"/>
                <w:sz w:val="18"/>
                <w:szCs w:val="18"/>
                <w:lang w:val="sq-AL"/>
              </w:rPr>
              <w:t>Menaxhimi i të Ardhurave Doganore</w:t>
            </w:r>
          </w:p>
        </w:tc>
        <w:tc>
          <w:tcPr>
            <w:tcW w:w="0" w:type="auto"/>
            <w:tcBorders>
              <w:top w:val="nil"/>
              <w:left w:val="nil"/>
              <w:bottom w:val="single" w:sz="8" w:space="0" w:color="4BACC6"/>
              <w:right w:val="single" w:sz="8" w:space="0" w:color="4BACC6"/>
            </w:tcBorders>
            <w:shd w:val="clear" w:color="auto" w:fill="auto"/>
            <w:noWrap/>
            <w:vAlign w:val="center"/>
            <w:hideMark/>
          </w:tcPr>
          <w:p w:rsidR="006308E8" w:rsidRPr="00BB7F2F" w:rsidRDefault="006308E8" w:rsidP="00AF49E0">
            <w:pPr>
              <w:jc w:val="right"/>
              <w:rPr>
                <w:rFonts w:asciiTheme="minorHAnsi" w:hAnsiTheme="minorHAnsi"/>
                <w:color w:val="000000"/>
                <w:sz w:val="18"/>
                <w:szCs w:val="18"/>
                <w:lang w:val="sq-AL"/>
              </w:rPr>
            </w:pPr>
            <w:r w:rsidRPr="00BB7F2F">
              <w:rPr>
                <w:rFonts w:asciiTheme="minorHAnsi" w:hAnsiTheme="minorHAnsi"/>
                <w:color w:val="000000"/>
                <w:sz w:val="18"/>
                <w:szCs w:val="18"/>
                <w:lang w:val="sq-AL"/>
              </w:rPr>
              <w:t>2,577,800</w:t>
            </w:r>
          </w:p>
        </w:tc>
        <w:tc>
          <w:tcPr>
            <w:tcW w:w="0" w:type="auto"/>
            <w:tcBorders>
              <w:top w:val="nil"/>
              <w:left w:val="nil"/>
              <w:bottom w:val="single" w:sz="8" w:space="0" w:color="4BACC6"/>
              <w:right w:val="single" w:sz="8" w:space="0" w:color="4BACC6"/>
            </w:tcBorders>
            <w:shd w:val="clear" w:color="auto" w:fill="auto"/>
            <w:noWrap/>
            <w:vAlign w:val="center"/>
            <w:hideMark/>
          </w:tcPr>
          <w:p w:rsidR="006308E8" w:rsidRPr="00BB7F2F" w:rsidRDefault="006308E8" w:rsidP="00AF49E0">
            <w:pPr>
              <w:jc w:val="right"/>
              <w:rPr>
                <w:rFonts w:asciiTheme="minorHAnsi" w:hAnsiTheme="minorHAnsi"/>
                <w:color w:val="000000"/>
                <w:sz w:val="18"/>
                <w:szCs w:val="18"/>
                <w:lang w:val="sq-AL"/>
              </w:rPr>
            </w:pPr>
            <w:r w:rsidRPr="00BB7F2F">
              <w:rPr>
                <w:rFonts w:asciiTheme="minorHAnsi" w:hAnsiTheme="minorHAnsi"/>
                <w:color w:val="000000"/>
                <w:sz w:val="18"/>
                <w:szCs w:val="18"/>
                <w:lang w:val="sq-AL"/>
              </w:rPr>
              <w:t>173,220</w:t>
            </w:r>
          </w:p>
        </w:tc>
        <w:tc>
          <w:tcPr>
            <w:tcW w:w="0" w:type="auto"/>
            <w:tcBorders>
              <w:top w:val="nil"/>
              <w:left w:val="nil"/>
              <w:bottom w:val="single" w:sz="8" w:space="0" w:color="4BACC6"/>
              <w:right w:val="single" w:sz="8" w:space="0" w:color="4BACC6"/>
            </w:tcBorders>
            <w:shd w:val="clear" w:color="auto" w:fill="auto"/>
            <w:noWrap/>
            <w:vAlign w:val="center"/>
            <w:hideMark/>
          </w:tcPr>
          <w:p w:rsidR="006308E8" w:rsidRPr="00BB7F2F" w:rsidRDefault="006308E8" w:rsidP="00AF49E0">
            <w:pPr>
              <w:jc w:val="right"/>
              <w:rPr>
                <w:rFonts w:asciiTheme="minorHAnsi" w:hAnsiTheme="minorHAnsi"/>
                <w:color w:val="000000"/>
                <w:sz w:val="18"/>
                <w:szCs w:val="18"/>
                <w:lang w:val="sq-AL"/>
              </w:rPr>
            </w:pPr>
            <w:r w:rsidRPr="00BB7F2F">
              <w:rPr>
                <w:rFonts w:asciiTheme="minorHAnsi" w:hAnsiTheme="minorHAnsi"/>
                <w:color w:val="000000"/>
                <w:sz w:val="18"/>
                <w:szCs w:val="18"/>
                <w:lang w:val="sq-AL"/>
              </w:rPr>
              <w:t>1,040,542</w:t>
            </w:r>
          </w:p>
        </w:tc>
        <w:tc>
          <w:tcPr>
            <w:tcW w:w="0" w:type="auto"/>
            <w:tcBorders>
              <w:top w:val="nil"/>
              <w:left w:val="nil"/>
              <w:bottom w:val="single" w:sz="8" w:space="0" w:color="4BACC6"/>
              <w:right w:val="single" w:sz="8" w:space="0" w:color="4BACC6"/>
            </w:tcBorders>
            <w:shd w:val="clear" w:color="auto" w:fill="auto"/>
            <w:noWrap/>
            <w:vAlign w:val="center"/>
            <w:hideMark/>
          </w:tcPr>
          <w:p w:rsidR="006308E8" w:rsidRPr="00BB7F2F" w:rsidRDefault="006308E8" w:rsidP="00AF49E0">
            <w:pPr>
              <w:jc w:val="right"/>
              <w:rPr>
                <w:rFonts w:asciiTheme="minorHAnsi" w:hAnsiTheme="minorHAnsi"/>
                <w:color w:val="000000"/>
                <w:sz w:val="18"/>
                <w:szCs w:val="18"/>
                <w:lang w:val="sq-AL"/>
              </w:rPr>
            </w:pPr>
            <w:r w:rsidRPr="00BB7F2F">
              <w:rPr>
                <w:rFonts w:asciiTheme="minorHAnsi" w:hAnsiTheme="minorHAnsi"/>
                <w:color w:val="000000"/>
                <w:sz w:val="18"/>
                <w:szCs w:val="18"/>
                <w:lang w:val="sq-AL"/>
              </w:rPr>
              <w:t>1,074</w:t>
            </w:r>
          </w:p>
        </w:tc>
        <w:tc>
          <w:tcPr>
            <w:tcW w:w="0" w:type="auto"/>
            <w:tcBorders>
              <w:top w:val="nil"/>
              <w:left w:val="nil"/>
              <w:bottom w:val="single" w:sz="8" w:space="0" w:color="4BACC6"/>
              <w:right w:val="single" w:sz="8" w:space="0" w:color="4BACC6"/>
            </w:tcBorders>
            <w:shd w:val="clear" w:color="auto" w:fill="auto"/>
            <w:vAlign w:val="center"/>
            <w:hideMark/>
          </w:tcPr>
          <w:p w:rsidR="006308E8" w:rsidRPr="00BB7F2F" w:rsidRDefault="006308E8" w:rsidP="00AF49E0">
            <w:pPr>
              <w:jc w:val="center"/>
              <w:rPr>
                <w:rFonts w:asciiTheme="minorHAnsi" w:hAnsiTheme="minorHAnsi"/>
                <w:color w:val="000000"/>
                <w:sz w:val="18"/>
                <w:szCs w:val="18"/>
                <w:lang w:val="sq-AL"/>
              </w:rPr>
            </w:pPr>
            <w:r w:rsidRPr="00BB7F2F">
              <w:rPr>
                <w:rFonts w:asciiTheme="minorHAnsi" w:hAnsiTheme="minorHAnsi"/>
                <w:color w:val="000000"/>
                <w:sz w:val="18"/>
                <w:szCs w:val="18"/>
                <w:lang w:val="sq-AL"/>
              </w:rPr>
              <w:t>40.4%</w:t>
            </w:r>
          </w:p>
        </w:tc>
        <w:tc>
          <w:tcPr>
            <w:tcW w:w="0" w:type="auto"/>
            <w:tcBorders>
              <w:top w:val="nil"/>
              <w:left w:val="nil"/>
              <w:bottom w:val="single" w:sz="8" w:space="0" w:color="4BACC6"/>
              <w:right w:val="single" w:sz="8" w:space="0" w:color="4BACC6"/>
            </w:tcBorders>
            <w:shd w:val="clear" w:color="auto" w:fill="auto"/>
            <w:vAlign w:val="center"/>
            <w:hideMark/>
          </w:tcPr>
          <w:p w:rsidR="006308E8" w:rsidRPr="00BB7F2F" w:rsidRDefault="006308E8" w:rsidP="00AF49E0">
            <w:pPr>
              <w:jc w:val="center"/>
              <w:rPr>
                <w:rFonts w:asciiTheme="minorHAnsi" w:hAnsiTheme="minorHAnsi"/>
                <w:color w:val="000000"/>
                <w:sz w:val="18"/>
                <w:szCs w:val="18"/>
                <w:lang w:val="sq-AL"/>
              </w:rPr>
            </w:pPr>
            <w:r w:rsidRPr="00BB7F2F">
              <w:rPr>
                <w:rFonts w:asciiTheme="minorHAnsi" w:hAnsiTheme="minorHAnsi"/>
                <w:color w:val="000000"/>
                <w:sz w:val="18"/>
                <w:szCs w:val="18"/>
                <w:lang w:val="sq-AL"/>
              </w:rPr>
              <w:t>0.6%</w:t>
            </w:r>
          </w:p>
        </w:tc>
      </w:tr>
      <w:tr w:rsidR="006308E8" w:rsidRPr="00BB7F2F" w:rsidTr="002124D1">
        <w:trPr>
          <w:trHeight w:val="281"/>
          <w:jc w:val="center"/>
        </w:trPr>
        <w:tc>
          <w:tcPr>
            <w:tcW w:w="0" w:type="auto"/>
            <w:tcBorders>
              <w:top w:val="nil"/>
              <w:left w:val="single" w:sz="8" w:space="0" w:color="4BACC6"/>
              <w:bottom w:val="single" w:sz="8" w:space="0" w:color="4BACC6"/>
              <w:right w:val="single" w:sz="8" w:space="0" w:color="4BACC6"/>
            </w:tcBorders>
            <w:shd w:val="clear" w:color="000000" w:fill="FFFFFF"/>
            <w:noWrap/>
            <w:vAlign w:val="center"/>
            <w:hideMark/>
          </w:tcPr>
          <w:p w:rsidR="006308E8" w:rsidRPr="00BB7F2F" w:rsidRDefault="006308E8" w:rsidP="00AF49E0">
            <w:pPr>
              <w:jc w:val="right"/>
              <w:rPr>
                <w:rFonts w:asciiTheme="minorHAnsi" w:hAnsiTheme="minorHAnsi"/>
                <w:b/>
                <w:bCs/>
                <w:color w:val="000000"/>
                <w:sz w:val="18"/>
                <w:szCs w:val="18"/>
                <w:lang w:val="sq-AL"/>
              </w:rPr>
            </w:pPr>
            <w:r w:rsidRPr="00BB7F2F">
              <w:rPr>
                <w:rFonts w:asciiTheme="minorHAnsi" w:hAnsiTheme="minorHAnsi"/>
                <w:b/>
                <w:bCs/>
                <w:color w:val="000000"/>
                <w:sz w:val="18"/>
                <w:szCs w:val="18"/>
                <w:lang w:val="sq-AL"/>
              </w:rPr>
              <w:t>Financimi i huaj</w:t>
            </w:r>
          </w:p>
        </w:tc>
        <w:tc>
          <w:tcPr>
            <w:tcW w:w="0" w:type="auto"/>
            <w:tcBorders>
              <w:top w:val="nil"/>
              <w:left w:val="nil"/>
              <w:bottom w:val="single" w:sz="8" w:space="0" w:color="4BACC6"/>
              <w:right w:val="single" w:sz="8" w:space="0" w:color="4BACC6"/>
            </w:tcBorders>
            <w:shd w:val="clear" w:color="auto" w:fill="auto"/>
            <w:noWrap/>
            <w:vAlign w:val="center"/>
            <w:hideMark/>
          </w:tcPr>
          <w:p w:rsidR="006308E8" w:rsidRPr="00BB7F2F" w:rsidRDefault="006308E8" w:rsidP="00AF49E0">
            <w:pPr>
              <w:jc w:val="right"/>
              <w:rPr>
                <w:rFonts w:asciiTheme="minorHAnsi" w:hAnsiTheme="minorHAnsi"/>
                <w:color w:val="000000"/>
                <w:sz w:val="18"/>
                <w:szCs w:val="18"/>
                <w:lang w:val="sq-AL"/>
              </w:rPr>
            </w:pPr>
            <w:r w:rsidRPr="00BB7F2F">
              <w:rPr>
                <w:rFonts w:asciiTheme="minorHAnsi" w:hAnsiTheme="minorHAnsi"/>
                <w:color w:val="000000"/>
                <w:sz w:val="18"/>
                <w:szCs w:val="18"/>
                <w:lang w:val="sq-AL"/>
              </w:rPr>
              <w:t> </w:t>
            </w:r>
          </w:p>
        </w:tc>
        <w:tc>
          <w:tcPr>
            <w:tcW w:w="0" w:type="auto"/>
            <w:tcBorders>
              <w:top w:val="nil"/>
              <w:left w:val="nil"/>
              <w:bottom w:val="single" w:sz="8" w:space="0" w:color="4BACC6"/>
              <w:right w:val="single" w:sz="8" w:space="0" w:color="4BACC6"/>
            </w:tcBorders>
            <w:shd w:val="clear" w:color="auto" w:fill="auto"/>
            <w:noWrap/>
            <w:vAlign w:val="center"/>
            <w:hideMark/>
          </w:tcPr>
          <w:p w:rsidR="006308E8" w:rsidRPr="00BB7F2F" w:rsidRDefault="006308E8" w:rsidP="00AF49E0">
            <w:pPr>
              <w:jc w:val="right"/>
              <w:rPr>
                <w:rFonts w:asciiTheme="minorHAnsi" w:hAnsiTheme="minorHAnsi"/>
                <w:color w:val="000000"/>
                <w:sz w:val="18"/>
                <w:szCs w:val="18"/>
                <w:lang w:val="sq-AL"/>
              </w:rPr>
            </w:pPr>
            <w:r w:rsidRPr="00BB7F2F">
              <w:rPr>
                <w:rFonts w:asciiTheme="minorHAnsi" w:hAnsiTheme="minorHAnsi"/>
                <w:color w:val="000000"/>
                <w:sz w:val="18"/>
                <w:szCs w:val="18"/>
                <w:lang w:val="sq-AL"/>
              </w:rPr>
              <w:t>84,100</w:t>
            </w:r>
          </w:p>
        </w:tc>
        <w:tc>
          <w:tcPr>
            <w:tcW w:w="0" w:type="auto"/>
            <w:tcBorders>
              <w:top w:val="nil"/>
              <w:left w:val="nil"/>
              <w:bottom w:val="single" w:sz="8" w:space="0" w:color="4BACC6"/>
              <w:right w:val="single" w:sz="8" w:space="0" w:color="4BACC6"/>
            </w:tcBorders>
            <w:shd w:val="clear" w:color="auto" w:fill="auto"/>
            <w:noWrap/>
            <w:vAlign w:val="center"/>
            <w:hideMark/>
          </w:tcPr>
          <w:p w:rsidR="006308E8" w:rsidRPr="00BB7F2F" w:rsidRDefault="006308E8" w:rsidP="00AF49E0">
            <w:pPr>
              <w:jc w:val="right"/>
              <w:rPr>
                <w:rFonts w:asciiTheme="minorHAnsi" w:hAnsiTheme="minorHAnsi"/>
                <w:color w:val="000000"/>
                <w:sz w:val="18"/>
                <w:szCs w:val="18"/>
                <w:lang w:val="sq-AL"/>
              </w:rPr>
            </w:pPr>
            <w:r w:rsidRPr="00BB7F2F">
              <w:rPr>
                <w:rFonts w:asciiTheme="minorHAnsi" w:hAnsiTheme="minorHAnsi"/>
                <w:color w:val="000000"/>
                <w:sz w:val="18"/>
                <w:szCs w:val="18"/>
                <w:lang w:val="sq-AL"/>
              </w:rPr>
              <w:t> </w:t>
            </w:r>
          </w:p>
        </w:tc>
        <w:tc>
          <w:tcPr>
            <w:tcW w:w="0" w:type="auto"/>
            <w:tcBorders>
              <w:top w:val="nil"/>
              <w:left w:val="nil"/>
              <w:bottom w:val="single" w:sz="8" w:space="0" w:color="4BACC6"/>
              <w:right w:val="single" w:sz="8" w:space="0" w:color="4BACC6"/>
            </w:tcBorders>
            <w:shd w:val="clear" w:color="auto" w:fill="auto"/>
            <w:noWrap/>
            <w:vAlign w:val="center"/>
            <w:hideMark/>
          </w:tcPr>
          <w:p w:rsidR="006308E8" w:rsidRPr="00BB7F2F" w:rsidRDefault="006308E8" w:rsidP="00AF49E0">
            <w:pPr>
              <w:jc w:val="right"/>
              <w:rPr>
                <w:rFonts w:asciiTheme="minorHAnsi" w:hAnsiTheme="minorHAnsi"/>
                <w:color w:val="000000"/>
                <w:sz w:val="18"/>
                <w:szCs w:val="18"/>
                <w:lang w:val="sq-AL"/>
              </w:rPr>
            </w:pPr>
            <w:r w:rsidRPr="00BB7F2F">
              <w:rPr>
                <w:rFonts w:asciiTheme="minorHAnsi" w:hAnsiTheme="minorHAnsi"/>
                <w:color w:val="000000"/>
                <w:sz w:val="18"/>
                <w:szCs w:val="18"/>
                <w:lang w:val="sq-AL"/>
              </w:rPr>
              <w:t>1,289</w:t>
            </w:r>
          </w:p>
        </w:tc>
        <w:tc>
          <w:tcPr>
            <w:tcW w:w="0" w:type="auto"/>
            <w:tcBorders>
              <w:top w:val="nil"/>
              <w:left w:val="nil"/>
              <w:bottom w:val="single" w:sz="8" w:space="0" w:color="4BACC6"/>
              <w:right w:val="single" w:sz="8" w:space="0" w:color="4BACC6"/>
            </w:tcBorders>
            <w:shd w:val="clear" w:color="auto" w:fill="auto"/>
            <w:vAlign w:val="center"/>
            <w:hideMark/>
          </w:tcPr>
          <w:p w:rsidR="006308E8" w:rsidRPr="00BB7F2F" w:rsidRDefault="006308E8" w:rsidP="00AF49E0">
            <w:pPr>
              <w:jc w:val="center"/>
              <w:rPr>
                <w:rFonts w:asciiTheme="minorHAnsi" w:hAnsiTheme="minorHAnsi"/>
                <w:color w:val="000000"/>
                <w:sz w:val="18"/>
                <w:szCs w:val="18"/>
                <w:lang w:val="sq-AL"/>
              </w:rPr>
            </w:pPr>
            <w:r w:rsidRPr="00BB7F2F">
              <w:rPr>
                <w:rFonts w:asciiTheme="minorHAnsi" w:hAnsiTheme="minorHAnsi"/>
                <w:color w:val="000000"/>
                <w:sz w:val="18"/>
                <w:szCs w:val="18"/>
                <w:lang w:val="sq-AL"/>
              </w:rPr>
              <w:t> </w:t>
            </w:r>
          </w:p>
        </w:tc>
        <w:tc>
          <w:tcPr>
            <w:tcW w:w="0" w:type="auto"/>
            <w:tcBorders>
              <w:top w:val="nil"/>
              <w:left w:val="nil"/>
              <w:bottom w:val="single" w:sz="8" w:space="0" w:color="4BACC6"/>
              <w:right w:val="single" w:sz="8" w:space="0" w:color="4BACC6"/>
            </w:tcBorders>
            <w:shd w:val="clear" w:color="auto" w:fill="auto"/>
            <w:vAlign w:val="center"/>
            <w:hideMark/>
          </w:tcPr>
          <w:p w:rsidR="006308E8" w:rsidRPr="00BB7F2F" w:rsidRDefault="006308E8" w:rsidP="00AF49E0">
            <w:pPr>
              <w:jc w:val="center"/>
              <w:rPr>
                <w:rFonts w:asciiTheme="minorHAnsi" w:hAnsiTheme="minorHAnsi"/>
                <w:color w:val="000000"/>
                <w:sz w:val="18"/>
                <w:szCs w:val="18"/>
                <w:lang w:val="sq-AL"/>
              </w:rPr>
            </w:pPr>
            <w:r w:rsidRPr="00BB7F2F">
              <w:rPr>
                <w:rFonts w:asciiTheme="minorHAnsi" w:hAnsiTheme="minorHAnsi"/>
                <w:color w:val="000000"/>
                <w:sz w:val="18"/>
                <w:szCs w:val="18"/>
                <w:lang w:val="sq-AL"/>
              </w:rPr>
              <w:t>1.5%</w:t>
            </w:r>
          </w:p>
        </w:tc>
      </w:tr>
      <w:tr w:rsidR="006308E8" w:rsidRPr="00BB7F2F" w:rsidTr="002124D1">
        <w:trPr>
          <w:trHeight w:val="281"/>
          <w:jc w:val="center"/>
        </w:trPr>
        <w:tc>
          <w:tcPr>
            <w:tcW w:w="0" w:type="auto"/>
            <w:tcBorders>
              <w:top w:val="nil"/>
              <w:left w:val="single" w:sz="8" w:space="0" w:color="4BACC6"/>
              <w:bottom w:val="single" w:sz="8" w:space="0" w:color="4BACC6"/>
              <w:right w:val="single" w:sz="8" w:space="0" w:color="4BACC6"/>
            </w:tcBorders>
            <w:shd w:val="clear" w:color="000000" w:fill="FFFFFF"/>
            <w:noWrap/>
            <w:vAlign w:val="center"/>
            <w:hideMark/>
          </w:tcPr>
          <w:p w:rsidR="006308E8" w:rsidRPr="00BB7F2F" w:rsidRDefault="006308E8" w:rsidP="00AF49E0">
            <w:pPr>
              <w:rPr>
                <w:rFonts w:asciiTheme="minorHAnsi" w:hAnsiTheme="minorHAnsi"/>
                <w:b/>
                <w:bCs/>
                <w:color w:val="000000"/>
                <w:sz w:val="18"/>
                <w:szCs w:val="18"/>
                <w:lang w:val="sq-AL"/>
              </w:rPr>
            </w:pPr>
            <w:r w:rsidRPr="00BB7F2F">
              <w:rPr>
                <w:rFonts w:asciiTheme="minorHAnsi" w:hAnsiTheme="minorHAnsi"/>
                <w:b/>
                <w:bCs/>
                <w:color w:val="000000"/>
                <w:sz w:val="18"/>
                <w:szCs w:val="18"/>
                <w:lang w:val="sq-AL"/>
              </w:rPr>
              <w:t>Sigurimi Shoqëror</w:t>
            </w:r>
          </w:p>
        </w:tc>
        <w:tc>
          <w:tcPr>
            <w:tcW w:w="0" w:type="auto"/>
            <w:tcBorders>
              <w:top w:val="nil"/>
              <w:left w:val="nil"/>
              <w:bottom w:val="single" w:sz="8" w:space="0" w:color="4BACC6"/>
              <w:right w:val="single" w:sz="8" w:space="0" w:color="4BACC6"/>
            </w:tcBorders>
            <w:shd w:val="clear" w:color="auto" w:fill="auto"/>
            <w:noWrap/>
            <w:vAlign w:val="center"/>
            <w:hideMark/>
          </w:tcPr>
          <w:p w:rsidR="006308E8" w:rsidRPr="00BB7F2F" w:rsidRDefault="006308E8" w:rsidP="00AF49E0">
            <w:pPr>
              <w:jc w:val="right"/>
              <w:rPr>
                <w:rFonts w:asciiTheme="minorHAnsi" w:hAnsiTheme="minorHAnsi"/>
                <w:color w:val="000000"/>
                <w:sz w:val="18"/>
                <w:szCs w:val="18"/>
                <w:lang w:val="sq-AL"/>
              </w:rPr>
            </w:pPr>
            <w:r w:rsidRPr="00BB7F2F">
              <w:rPr>
                <w:rFonts w:asciiTheme="minorHAnsi" w:hAnsiTheme="minorHAnsi"/>
                <w:color w:val="000000"/>
                <w:sz w:val="18"/>
                <w:szCs w:val="18"/>
                <w:lang w:val="sq-AL"/>
              </w:rPr>
              <w:t>45,839,014</w:t>
            </w:r>
          </w:p>
        </w:tc>
        <w:tc>
          <w:tcPr>
            <w:tcW w:w="0" w:type="auto"/>
            <w:tcBorders>
              <w:top w:val="nil"/>
              <w:left w:val="nil"/>
              <w:bottom w:val="single" w:sz="8" w:space="0" w:color="4BACC6"/>
              <w:right w:val="single" w:sz="8" w:space="0" w:color="4BACC6"/>
            </w:tcBorders>
            <w:shd w:val="clear" w:color="auto" w:fill="auto"/>
            <w:noWrap/>
            <w:vAlign w:val="center"/>
            <w:hideMark/>
          </w:tcPr>
          <w:p w:rsidR="006308E8" w:rsidRPr="00BB7F2F" w:rsidRDefault="006308E8" w:rsidP="00AF49E0">
            <w:pPr>
              <w:jc w:val="right"/>
              <w:rPr>
                <w:rFonts w:asciiTheme="minorHAnsi" w:hAnsiTheme="minorHAnsi"/>
                <w:color w:val="000000"/>
                <w:sz w:val="18"/>
                <w:szCs w:val="18"/>
                <w:lang w:val="sq-AL"/>
              </w:rPr>
            </w:pPr>
            <w:r w:rsidRPr="00BB7F2F">
              <w:rPr>
                <w:rFonts w:asciiTheme="minorHAnsi" w:hAnsiTheme="minorHAnsi"/>
                <w:color w:val="000000"/>
                <w:sz w:val="18"/>
                <w:szCs w:val="18"/>
                <w:lang w:val="sq-AL"/>
              </w:rPr>
              <w:t> </w:t>
            </w:r>
          </w:p>
        </w:tc>
        <w:tc>
          <w:tcPr>
            <w:tcW w:w="0" w:type="auto"/>
            <w:tcBorders>
              <w:top w:val="nil"/>
              <w:left w:val="nil"/>
              <w:bottom w:val="single" w:sz="8" w:space="0" w:color="4BACC6"/>
              <w:right w:val="single" w:sz="8" w:space="0" w:color="4BACC6"/>
            </w:tcBorders>
            <w:shd w:val="clear" w:color="auto" w:fill="auto"/>
            <w:noWrap/>
            <w:vAlign w:val="center"/>
            <w:hideMark/>
          </w:tcPr>
          <w:p w:rsidR="006308E8" w:rsidRPr="00BB7F2F" w:rsidRDefault="006308E8" w:rsidP="00AF49E0">
            <w:pPr>
              <w:jc w:val="right"/>
              <w:rPr>
                <w:rFonts w:asciiTheme="minorHAnsi" w:hAnsiTheme="minorHAnsi"/>
                <w:color w:val="000000"/>
                <w:sz w:val="18"/>
                <w:szCs w:val="18"/>
                <w:lang w:val="sq-AL"/>
              </w:rPr>
            </w:pPr>
            <w:r w:rsidRPr="00BB7F2F">
              <w:rPr>
                <w:rFonts w:asciiTheme="minorHAnsi" w:hAnsiTheme="minorHAnsi"/>
                <w:color w:val="000000"/>
                <w:sz w:val="18"/>
                <w:szCs w:val="18"/>
                <w:lang w:val="sq-AL"/>
              </w:rPr>
              <w:t>16,233,000</w:t>
            </w:r>
          </w:p>
        </w:tc>
        <w:tc>
          <w:tcPr>
            <w:tcW w:w="0" w:type="auto"/>
            <w:tcBorders>
              <w:top w:val="nil"/>
              <w:left w:val="nil"/>
              <w:bottom w:val="single" w:sz="8" w:space="0" w:color="4BACC6"/>
              <w:right w:val="single" w:sz="8" w:space="0" w:color="4BACC6"/>
            </w:tcBorders>
            <w:shd w:val="clear" w:color="auto" w:fill="auto"/>
            <w:noWrap/>
            <w:vAlign w:val="center"/>
            <w:hideMark/>
          </w:tcPr>
          <w:p w:rsidR="006308E8" w:rsidRPr="00BB7F2F" w:rsidRDefault="006308E8" w:rsidP="00AF49E0">
            <w:pPr>
              <w:jc w:val="right"/>
              <w:rPr>
                <w:rFonts w:asciiTheme="minorHAnsi" w:hAnsiTheme="minorHAnsi"/>
                <w:color w:val="000000"/>
                <w:sz w:val="18"/>
                <w:szCs w:val="18"/>
                <w:lang w:val="sq-AL"/>
              </w:rPr>
            </w:pPr>
            <w:r w:rsidRPr="00BB7F2F">
              <w:rPr>
                <w:rFonts w:asciiTheme="minorHAnsi" w:hAnsiTheme="minorHAnsi"/>
                <w:color w:val="000000"/>
                <w:sz w:val="18"/>
                <w:szCs w:val="18"/>
                <w:lang w:val="sq-AL"/>
              </w:rPr>
              <w:t> </w:t>
            </w:r>
          </w:p>
        </w:tc>
        <w:tc>
          <w:tcPr>
            <w:tcW w:w="0" w:type="auto"/>
            <w:tcBorders>
              <w:top w:val="nil"/>
              <w:left w:val="nil"/>
              <w:bottom w:val="single" w:sz="8" w:space="0" w:color="4BACC6"/>
              <w:right w:val="single" w:sz="8" w:space="0" w:color="4BACC6"/>
            </w:tcBorders>
            <w:shd w:val="clear" w:color="auto" w:fill="auto"/>
            <w:vAlign w:val="center"/>
            <w:hideMark/>
          </w:tcPr>
          <w:p w:rsidR="006308E8" w:rsidRPr="00BB7F2F" w:rsidRDefault="006308E8" w:rsidP="00AF49E0">
            <w:pPr>
              <w:jc w:val="center"/>
              <w:rPr>
                <w:rFonts w:asciiTheme="minorHAnsi" w:hAnsiTheme="minorHAnsi"/>
                <w:color w:val="000000"/>
                <w:sz w:val="18"/>
                <w:szCs w:val="18"/>
                <w:lang w:val="sq-AL"/>
              </w:rPr>
            </w:pPr>
            <w:r w:rsidRPr="00BB7F2F">
              <w:rPr>
                <w:rFonts w:asciiTheme="minorHAnsi" w:hAnsiTheme="minorHAnsi"/>
                <w:color w:val="000000"/>
                <w:sz w:val="18"/>
                <w:szCs w:val="18"/>
                <w:lang w:val="sq-AL"/>
              </w:rPr>
              <w:t>35.4%</w:t>
            </w:r>
          </w:p>
        </w:tc>
        <w:tc>
          <w:tcPr>
            <w:tcW w:w="0" w:type="auto"/>
            <w:tcBorders>
              <w:top w:val="nil"/>
              <w:left w:val="nil"/>
              <w:bottom w:val="single" w:sz="8" w:space="0" w:color="4BACC6"/>
              <w:right w:val="single" w:sz="8" w:space="0" w:color="4BACC6"/>
            </w:tcBorders>
            <w:shd w:val="clear" w:color="auto" w:fill="auto"/>
            <w:vAlign w:val="center"/>
            <w:hideMark/>
          </w:tcPr>
          <w:p w:rsidR="006308E8" w:rsidRPr="00BB7F2F" w:rsidRDefault="006308E8" w:rsidP="00AF49E0">
            <w:pPr>
              <w:jc w:val="center"/>
              <w:rPr>
                <w:rFonts w:asciiTheme="minorHAnsi" w:hAnsiTheme="minorHAnsi"/>
                <w:color w:val="000000"/>
                <w:sz w:val="18"/>
                <w:szCs w:val="18"/>
                <w:lang w:val="sq-AL"/>
              </w:rPr>
            </w:pPr>
            <w:r w:rsidRPr="00BB7F2F">
              <w:rPr>
                <w:rFonts w:asciiTheme="minorHAnsi" w:hAnsiTheme="minorHAnsi"/>
                <w:color w:val="000000"/>
                <w:sz w:val="18"/>
                <w:szCs w:val="18"/>
                <w:lang w:val="sq-AL"/>
              </w:rPr>
              <w:t> </w:t>
            </w:r>
          </w:p>
        </w:tc>
      </w:tr>
      <w:tr w:rsidR="006308E8" w:rsidRPr="00BB7F2F" w:rsidTr="002124D1">
        <w:trPr>
          <w:trHeight w:val="281"/>
          <w:jc w:val="center"/>
        </w:trPr>
        <w:tc>
          <w:tcPr>
            <w:tcW w:w="0" w:type="auto"/>
            <w:tcBorders>
              <w:top w:val="nil"/>
              <w:left w:val="single" w:sz="8" w:space="0" w:color="4BACC6"/>
              <w:bottom w:val="single" w:sz="8" w:space="0" w:color="4BACC6"/>
              <w:right w:val="single" w:sz="8" w:space="0" w:color="4BACC6"/>
            </w:tcBorders>
            <w:shd w:val="clear" w:color="000000" w:fill="FFFFFF"/>
            <w:noWrap/>
            <w:vAlign w:val="center"/>
            <w:hideMark/>
          </w:tcPr>
          <w:p w:rsidR="006308E8" w:rsidRPr="00BB7F2F" w:rsidRDefault="006308E8" w:rsidP="00AF49E0">
            <w:pPr>
              <w:rPr>
                <w:rFonts w:asciiTheme="minorHAnsi" w:hAnsiTheme="minorHAnsi"/>
                <w:b/>
                <w:bCs/>
                <w:color w:val="000000"/>
                <w:sz w:val="18"/>
                <w:szCs w:val="18"/>
                <w:lang w:val="sq-AL"/>
              </w:rPr>
            </w:pPr>
            <w:r w:rsidRPr="00BB7F2F">
              <w:rPr>
                <w:rFonts w:asciiTheme="minorHAnsi" w:hAnsiTheme="minorHAnsi"/>
                <w:b/>
                <w:bCs/>
                <w:color w:val="000000"/>
                <w:sz w:val="18"/>
                <w:szCs w:val="18"/>
                <w:lang w:val="sq-AL"/>
              </w:rPr>
              <w:t>Tregu i Punës</w:t>
            </w:r>
          </w:p>
        </w:tc>
        <w:tc>
          <w:tcPr>
            <w:tcW w:w="0" w:type="auto"/>
            <w:tcBorders>
              <w:top w:val="nil"/>
              <w:left w:val="nil"/>
              <w:bottom w:val="single" w:sz="8" w:space="0" w:color="4BACC6"/>
              <w:right w:val="single" w:sz="8" w:space="0" w:color="4BACC6"/>
            </w:tcBorders>
            <w:shd w:val="clear" w:color="auto" w:fill="auto"/>
            <w:noWrap/>
            <w:vAlign w:val="center"/>
            <w:hideMark/>
          </w:tcPr>
          <w:p w:rsidR="006308E8" w:rsidRPr="00BB7F2F" w:rsidRDefault="006308E8" w:rsidP="00AF49E0">
            <w:pPr>
              <w:jc w:val="right"/>
              <w:rPr>
                <w:rFonts w:asciiTheme="minorHAnsi" w:hAnsiTheme="minorHAnsi"/>
                <w:color w:val="000000"/>
                <w:sz w:val="18"/>
                <w:szCs w:val="18"/>
                <w:lang w:val="sq-AL"/>
              </w:rPr>
            </w:pPr>
            <w:r w:rsidRPr="00BB7F2F">
              <w:rPr>
                <w:rFonts w:asciiTheme="minorHAnsi" w:hAnsiTheme="minorHAnsi"/>
                <w:color w:val="000000"/>
                <w:sz w:val="18"/>
                <w:szCs w:val="18"/>
                <w:lang w:val="sq-AL"/>
              </w:rPr>
              <w:t>14,067,800</w:t>
            </w:r>
          </w:p>
        </w:tc>
        <w:tc>
          <w:tcPr>
            <w:tcW w:w="0" w:type="auto"/>
            <w:tcBorders>
              <w:top w:val="nil"/>
              <w:left w:val="nil"/>
              <w:bottom w:val="single" w:sz="8" w:space="0" w:color="4BACC6"/>
              <w:right w:val="single" w:sz="8" w:space="0" w:color="4BACC6"/>
            </w:tcBorders>
            <w:shd w:val="clear" w:color="auto" w:fill="auto"/>
            <w:noWrap/>
            <w:vAlign w:val="center"/>
            <w:hideMark/>
          </w:tcPr>
          <w:p w:rsidR="006308E8" w:rsidRPr="00BB7F2F" w:rsidRDefault="006308E8" w:rsidP="00AF49E0">
            <w:pPr>
              <w:jc w:val="right"/>
              <w:rPr>
                <w:rFonts w:asciiTheme="minorHAnsi" w:hAnsiTheme="minorHAnsi"/>
                <w:color w:val="000000"/>
                <w:sz w:val="18"/>
                <w:szCs w:val="18"/>
                <w:lang w:val="sq-AL"/>
              </w:rPr>
            </w:pPr>
            <w:r w:rsidRPr="00BB7F2F">
              <w:rPr>
                <w:rFonts w:asciiTheme="minorHAnsi" w:hAnsiTheme="minorHAnsi"/>
                <w:color w:val="000000"/>
                <w:sz w:val="18"/>
                <w:szCs w:val="18"/>
                <w:lang w:val="sq-AL"/>
              </w:rPr>
              <w:t>30,000</w:t>
            </w:r>
          </w:p>
        </w:tc>
        <w:tc>
          <w:tcPr>
            <w:tcW w:w="0" w:type="auto"/>
            <w:tcBorders>
              <w:top w:val="nil"/>
              <w:left w:val="nil"/>
              <w:bottom w:val="single" w:sz="8" w:space="0" w:color="4BACC6"/>
              <w:right w:val="single" w:sz="8" w:space="0" w:color="4BACC6"/>
            </w:tcBorders>
            <w:shd w:val="clear" w:color="auto" w:fill="auto"/>
            <w:noWrap/>
            <w:vAlign w:val="center"/>
            <w:hideMark/>
          </w:tcPr>
          <w:p w:rsidR="006308E8" w:rsidRPr="00BB7F2F" w:rsidRDefault="006308E8" w:rsidP="00AF49E0">
            <w:pPr>
              <w:jc w:val="right"/>
              <w:rPr>
                <w:rFonts w:asciiTheme="minorHAnsi" w:hAnsiTheme="minorHAnsi"/>
                <w:color w:val="000000"/>
                <w:sz w:val="18"/>
                <w:szCs w:val="18"/>
                <w:lang w:val="sq-AL"/>
              </w:rPr>
            </w:pPr>
            <w:r w:rsidRPr="00BB7F2F">
              <w:rPr>
                <w:rFonts w:asciiTheme="minorHAnsi" w:hAnsiTheme="minorHAnsi"/>
                <w:color w:val="000000"/>
                <w:sz w:val="18"/>
                <w:szCs w:val="18"/>
                <w:lang w:val="sq-AL"/>
              </w:rPr>
              <w:t>4,972,109</w:t>
            </w:r>
          </w:p>
        </w:tc>
        <w:tc>
          <w:tcPr>
            <w:tcW w:w="0" w:type="auto"/>
            <w:tcBorders>
              <w:top w:val="nil"/>
              <w:left w:val="nil"/>
              <w:bottom w:val="single" w:sz="8" w:space="0" w:color="4BACC6"/>
              <w:right w:val="single" w:sz="8" w:space="0" w:color="4BACC6"/>
            </w:tcBorders>
            <w:shd w:val="clear" w:color="auto" w:fill="auto"/>
            <w:noWrap/>
            <w:vAlign w:val="center"/>
            <w:hideMark/>
          </w:tcPr>
          <w:p w:rsidR="006308E8" w:rsidRPr="00BB7F2F" w:rsidRDefault="006308E8" w:rsidP="00AF49E0">
            <w:pPr>
              <w:jc w:val="right"/>
              <w:rPr>
                <w:rFonts w:asciiTheme="minorHAnsi" w:hAnsiTheme="minorHAnsi"/>
                <w:color w:val="000000"/>
                <w:sz w:val="18"/>
                <w:szCs w:val="18"/>
                <w:lang w:val="sq-AL"/>
              </w:rPr>
            </w:pPr>
            <w:r w:rsidRPr="00BB7F2F">
              <w:rPr>
                <w:rFonts w:asciiTheme="minorHAnsi" w:hAnsiTheme="minorHAnsi"/>
                <w:color w:val="000000"/>
                <w:sz w:val="18"/>
                <w:szCs w:val="18"/>
                <w:lang w:val="sq-AL"/>
              </w:rPr>
              <w:t>0</w:t>
            </w:r>
          </w:p>
        </w:tc>
        <w:tc>
          <w:tcPr>
            <w:tcW w:w="0" w:type="auto"/>
            <w:tcBorders>
              <w:top w:val="nil"/>
              <w:left w:val="nil"/>
              <w:bottom w:val="single" w:sz="8" w:space="0" w:color="4BACC6"/>
              <w:right w:val="single" w:sz="8" w:space="0" w:color="4BACC6"/>
            </w:tcBorders>
            <w:shd w:val="clear" w:color="auto" w:fill="auto"/>
            <w:vAlign w:val="center"/>
            <w:hideMark/>
          </w:tcPr>
          <w:p w:rsidR="006308E8" w:rsidRPr="00BB7F2F" w:rsidRDefault="006308E8" w:rsidP="00AF49E0">
            <w:pPr>
              <w:jc w:val="center"/>
              <w:rPr>
                <w:rFonts w:asciiTheme="minorHAnsi" w:hAnsiTheme="minorHAnsi"/>
                <w:color w:val="000000"/>
                <w:sz w:val="18"/>
                <w:szCs w:val="18"/>
                <w:lang w:val="sq-AL"/>
              </w:rPr>
            </w:pPr>
            <w:r w:rsidRPr="00BB7F2F">
              <w:rPr>
                <w:rFonts w:asciiTheme="minorHAnsi" w:hAnsiTheme="minorHAnsi"/>
                <w:color w:val="000000"/>
                <w:sz w:val="18"/>
                <w:szCs w:val="18"/>
                <w:lang w:val="sq-AL"/>
              </w:rPr>
              <w:t>35.3%</w:t>
            </w:r>
          </w:p>
        </w:tc>
        <w:tc>
          <w:tcPr>
            <w:tcW w:w="0" w:type="auto"/>
            <w:tcBorders>
              <w:top w:val="nil"/>
              <w:left w:val="nil"/>
              <w:bottom w:val="single" w:sz="8" w:space="0" w:color="4BACC6"/>
              <w:right w:val="single" w:sz="8" w:space="0" w:color="4BACC6"/>
            </w:tcBorders>
            <w:shd w:val="clear" w:color="auto" w:fill="auto"/>
            <w:vAlign w:val="center"/>
            <w:hideMark/>
          </w:tcPr>
          <w:p w:rsidR="006308E8" w:rsidRPr="00BB7F2F" w:rsidRDefault="006308E8" w:rsidP="00AF49E0">
            <w:pPr>
              <w:jc w:val="center"/>
              <w:rPr>
                <w:rFonts w:asciiTheme="minorHAnsi" w:hAnsiTheme="minorHAnsi"/>
                <w:color w:val="000000"/>
                <w:sz w:val="18"/>
                <w:szCs w:val="18"/>
                <w:lang w:val="sq-AL"/>
              </w:rPr>
            </w:pPr>
            <w:r w:rsidRPr="00BB7F2F">
              <w:rPr>
                <w:rFonts w:asciiTheme="minorHAnsi" w:hAnsiTheme="minorHAnsi"/>
                <w:color w:val="000000"/>
                <w:sz w:val="18"/>
                <w:szCs w:val="18"/>
                <w:lang w:val="sq-AL"/>
              </w:rPr>
              <w:t>0.0%</w:t>
            </w:r>
          </w:p>
        </w:tc>
      </w:tr>
      <w:tr w:rsidR="006308E8" w:rsidRPr="00BB7F2F" w:rsidTr="002124D1">
        <w:trPr>
          <w:trHeight w:val="281"/>
          <w:jc w:val="center"/>
        </w:trPr>
        <w:tc>
          <w:tcPr>
            <w:tcW w:w="0" w:type="auto"/>
            <w:tcBorders>
              <w:top w:val="nil"/>
              <w:left w:val="single" w:sz="8" w:space="0" w:color="4BACC6"/>
              <w:bottom w:val="single" w:sz="8" w:space="0" w:color="4BACC6"/>
              <w:right w:val="single" w:sz="8" w:space="0" w:color="4BACC6"/>
            </w:tcBorders>
            <w:shd w:val="clear" w:color="000000" w:fill="FFFFFF"/>
            <w:noWrap/>
            <w:vAlign w:val="center"/>
            <w:hideMark/>
          </w:tcPr>
          <w:p w:rsidR="006308E8" w:rsidRPr="00BB7F2F" w:rsidRDefault="006308E8" w:rsidP="00AF49E0">
            <w:pPr>
              <w:rPr>
                <w:rFonts w:asciiTheme="minorHAnsi" w:hAnsiTheme="minorHAnsi"/>
                <w:b/>
                <w:bCs/>
                <w:color w:val="000000"/>
                <w:sz w:val="18"/>
                <w:szCs w:val="18"/>
                <w:lang w:val="sq-AL"/>
              </w:rPr>
            </w:pPr>
            <w:r w:rsidRPr="00BB7F2F">
              <w:rPr>
                <w:rFonts w:asciiTheme="minorHAnsi" w:hAnsiTheme="minorHAnsi"/>
                <w:b/>
                <w:bCs/>
                <w:color w:val="000000"/>
                <w:sz w:val="18"/>
                <w:szCs w:val="18"/>
                <w:lang w:val="sq-AL"/>
              </w:rPr>
              <w:t>Arsimi i  Mesëm Profesional</w:t>
            </w:r>
          </w:p>
        </w:tc>
        <w:tc>
          <w:tcPr>
            <w:tcW w:w="0" w:type="auto"/>
            <w:tcBorders>
              <w:top w:val="nil"/>
              <w:left w:val="nil"/>
              <w:bottom w:val="single" w:sz="8" w:space="0" w:color="4BACC6"/>
              <w:right w:val="single" w:sz="8" w:space="0" w:color="4BACC6"/>
            </w:tcBorders>
            <w:shd w:val="clear" w:color="auto" w:fill="auto"/>
            <w:noWrap/>
            <w:vAlign w:val="center"/>
            <w:hideMark/>
          </w:tcPr>
          <w:p w:rsidR="006308E8" w:rsidRPr="00BB7F2F" w:rsidRDefault="006308E8" w:rsidP="00AF49E0">
            <w:pPr>
              <w:jc w:val="right"/>
              <w:rPr>
                <w:rFonts w:asciiTheme="minorHAnsi" w:hAnsiTheme="minorHAnsi"/>
                <w:color w:val="000000"/>
                <w:sz w:val="18"/>
                <w:szCs w:val="18"/>
                <w:lang w:val="sq-AL"/>
              </w:rPr>
            </w:pPr>
            <w:r w:rsidRPr="00BB7F2F">
              <w:rPr>
                <w:rFonts w:asciiTheme="minorHAnsi" w:hAnsiTheme="minorHAnsi"/>
                <w:color w:val="000000"/>
                <w:sz w:val="18"/>
                <w:szCs w:val="18"/>
                <w:lang w:val="sq-AL"/>
              </w:rPr>
              <w:t>1,984,400</w:t>
            </w:r>
          </w:p>
        </w:tc>
        <w:tc>
          <w:tcPr>
            <w:tcW w:w="0" w:type="auto"/>
            <w:tcBorders>
              <w:top w:val="nil"/>
              <w:left w:val="nil"/>
              <w:bottom w:val="single" w:sz="8" w:space="0" w:color="4BACC6"/>
              <w:right w:val="single" w:sz="8" w:space="0" w:color="4BACC6"/>
            </w:tcBorders>
            <w:shd w:val="clear" w:color="auto" w:fill="auto"/>
            <w:noWrap/>
            <w:vAlign w:val="center"/>
            <w:hideMark/>
          </w:tcPr>
          <w:p w:rsidR="006308E8" w:rsidRPr="00BB7F2F" w:rsidRDefault="006308E8" w:rsidP="00AF49E0">
            <w:pPr>
              <w:jc w:val="right"/>
              <w:rPr>
                <w:rFonts w:asciiTheme="minorHAnsi" w:hAnsiTheme="minorHAnsi"/>
                <w:color w:val="000000"/>
                <w:sz w:val="18"/>
                <w:szCs w:val="18"/>
                <w:lang w:val="sq-AL"/>
              </w:rPr>
            </w:pPr>
            <w:r w:rsidRPr="00BB7F2F">
              <w:rPr>
                <w:rFonts w:asciiTheme="minorHAnsi" w:hAnsiTheme="minorHAnsi"/>
                <w:color w:val="000000"/>
                <w:sz w:val="18"/>
                <w:szCs w:val="18"/>
                <w:lang w:val="sq-AL"/>
              </w:rPr>
              <w:t>475,469</w:t>
            </w:r>
          </w:p>
        </w:tc>
        <w:tc>
          <w:tcPr>
            <w:tcW w:w="0" w:type="auto"/>
            <w:tcBorders>
              <w:top w:val="nil"/>
              <w:left w:val="nil"/>
              <w:bottom w:val="nil"/>
              <w:right w:val="nil"/>
            </w:tcBorders>
            <w:shd w:val="clear" w:color="auto" w:fill="auto"/>
            <w:noWrap/>
            <w:vAlign w:val="center"/>
            <w:hideMark/>
          </w:tcPr>
          <w:p w:rsidR="006308E8" w:rsidRPr="00BB7F2F" w:rsidRDefault="006308E8" w:rsidP="00AF49E0">
            <w:pPr>
              <w:jc w:val="right"/>
              <w:rPr>
                <w:rFonts w:asciiTheme="minorHAnsi" w:hAnsiTheme="minorHAnsi"/>
                <w:color w:val="000000"/>
                <w:sz w:val="18"/>
                <w:szCs w:val="18"/>
                <w:lang w:val="sq-AL"/>
              </w:rPr>
            </w:pPr>
            <w:r w:rsidRPr="00BB7F2F">
              <w:rPr>
                <w:rFonts w:asciiTheme="minorHAnsi" w:hAnsiTheme="minorHAnsi"/>
                <w:color w:val="000000"/>
                <w:sz w:val="18"/>
                <w:szCs w:val="18"/>
                <w:lang w:val="sq-AL"/>
              </w:rPr>
              <w:t>468,754</w:t>
            </w:r>
          </w:p>
        </w:tc>
        <w:tc>
          <w:tcPr>
            <w:tcW w:w="0" w:type="auto"/>
            <w:tcBorders>
              <w:top w:val="nil"/>
              <w:left w:val="single" w:sz="8" w:space="0" w:color="4BACC6"/>
              <w:bottom w:val="single" w:sz="8" w:space="0" w:color="4BACC6"/>
              <w:right w:val="single" w:sz="8" w:space="0" w:color="4BACC6"/>
            </w:tcBorders>
            <w:shd w:val="clear" w:color="auto" w:fill="auto"/>
            <w:noWrap/>
            <w:vAlign w:val="center"/>
            <w:hideMark/>
          </w:tcPr>
          <w:p w:rsidR="006308E8" w:rsidRPr="00BB7F2F" w:rsidRDefault="006308E8" w:rsidP="00AF49E0">
            <w:pPr>
              <w:jc w:val="right"/>
              <w:rPr>
                <w:rFonts w:asciiTheme="minorHAnsi" w:hAnsiTheme="minorHAnsi"/>
                <w:color w:val="000000"/>
                <w:sz w:val="18"/>
                <w:szCs w:val="18"/>
                <w:lang w:val="sq-AL"/>
              </w:rPr>
            </w:pPr>
            <w:r w:rsidRPr="00BB7F2F">
              <w:rPr>
                <w:rFonts w:asciiTheme="minorHAnsi" w:hAnsiTheme="minorHAnsi"/>
                <w:color w:val="000000"/>
                <w:sz w:val="18"/>
                <w:szCs w:val="18"/>
                <w:lang w:val="sq-AL"/>
              </w:rPr>
              <w:t>209,167</w:t>
            </w:r>
          </w:p>
        </w:tc>
        <w:tc>
          <w:tcPr>
            <w:tcW w:w="0" w:type="auto"/>
            <w:tcBorders>
              <w:top w:val="nil"/>
              <w:left w:val="nil"/>
              <w:bottom w:val="single" w:sz="8" w:space="0" w:color="4BACC6"/>
              <w:right w:val="single" w:sz="8" w:space="0" w:color="4BACC6"/>
            </w:tcBorders>
            <w:shd w:val="clear" w:color="auto" w:fill="auto"/>
            <w:vAlign w:val="center"/>
            <w:hideMark/>
          </w:tcPr>
          <w:p w:rsidR="006308E8" w:rsidRPr="00BB7F2F" w:rsidRDefault="006308E8" w:rsidP="00AF49E0">
            <w:pPr>
              <w:jc w:val="center"/>
              <w:rPr>
                <w:rFonts w:asciiTheme="minorHAnsi" w:hAnsiTheme="minorHAnsi"/>
                <w:color w:val="000000"/>
                <w:sz w:val="18"/>
                <w:szCs w:val="18"/>
                <w:lang w:val="sq-AL"/>
              </w:rPr>
            </w:pPr>
            <w:r w:rsidRPr="00BB7F2F">
              <w:rPr>
                <w:rFonts w:asciiTheme="minorHAnsi" w:hAnsiTheme="minorHAnsi"/>
                <w:color w:val="000000"/>
                <w:sz w:val="18"/>
                <w:szCs w:val="18"/>
                <w:lang w:val="sq-AL"/>
              </w:rPr>
              <w:t>23.6%</w:t>
            </w:r>
          </w:p>
        </w:tc>
        <w:tc>
          <w:tcPr>
            <w:tcW w:w="0" w:type="auto"/>
            <w:tcBorders>
              <w:top w:val="nil"/>
              <w:left w:val="nil"/>
              <w:bottom w:val="single" w:sz="8" w:space="0" w:color="4BACC6"/>
              <w:right w:val="single" w:sz="8" w:space="0" w:color="4BACC6"/>
            </w:tcBorders>
            <w:shd w:val="clear" w:color="auto" w:fill="auto"/>
            <w:vAlign w:val="center"/>
            <w:hideMark/>
          </w:tcPr>
          <w:p w:rsidR="006308E8" w:rsidRPr="00BB7F2F" w:rsidRDefault="006308E8" w:rsidP="00AF49E0">
            <w:pPr>
              <w:jc w:val="center"/>
              <w:rPr>
                <w:rFonts w:asciiTheme="minorHAnsi" w:hAnsiTheme="minorHAnsi"/>
                <w:color w:val="000000"/>
                <w:sz w:val="18"/>
                <w:szCs w:val="18"/>
                <w:lang w:val="sq-AL"/>
              </w:rPr>
            </w:pPr>
            <w:r w:rsidRPr="00BB7F2F">
              <w:rPr>
                <w:rFonts w:asciiTheme="minorHAnsi" w:hAnsiTheme="minorHAnsi"/>
                <w:color w:val="000000"/>
                <w:sz w:val="18"/>
                <w:szCs w:val="18"/>
                <w:lang w:val="sq-AL"/>
              </w:rPr>
              <w:t>44.0%</w:t>
            </w:r>
          </w:p>
        </w:tc>
      </w:tr>
      <w:tr w:rsidR="006308E8" w:rsidRPr="00BB7F2F" w:rsidTr="002124D1">
        <w:trPr>
          <w:trHeight w:val="281"/>
          <w:jc w:val="center"/>
        </w:trPr>
        <w:tc>
          <w:tcPr>
            <w:tcW w:w="0" w:type="auto"/>
            <w:tcBorders>
              <w:top w:val="nil"/>
              <w:left w:val="single" w:sz="8" w:space="0" w:color="4BACC6"/>
              <w:bottom w:val="single" w:sz="8" w:space="0" w:color="4BACC6"/>
              <w:right w:val="single" w:sz="8" w:space="0" w:color="4BACC6"/>
            </w:tcBorders>
            <w:shd w:val="clear" w:color="000000" w:fill="FFFFFF"/>
            <w:noWrap/>
            <w:vAlign w:val="center"/>
            <w:hideMark/>
          </w:tcPr>
          <w:p w:rsidR="006308E8" w:rsidRPr="00BB7F2F" w:rsidRDefault="006308E8" w:rsidP="00AF49E0">
            <w:pPr>
              <w:jc w:val="right"/>
              <w:rPr>
                <w:rFonts w:asciiTheme="minorHAnsi" w:hAnsiTheme="minorHAnsi"/>
                <w:b/>
                <w:bCs/>
                <w:color w:val="000000"/>
                <w:sz w:val="18"/>
                <w:szCs w:val="18"/>
                <w:lang w:val="sq-AL"/>
              </w:rPr>
            </w:pPr>
            <w:r w:rsidRPr="00BB7F2F">
              <w:rPr>
                <w:rFonts w:asciiTheme="minorHAnsi" w:hAnsiTheme="minorHAnsi"/>
                <w:b/>
                <w:bCs/>
                <w:color w:val="000000"/>
                <w:sz w:val="18"/>
                <w:szCs w:val="18"/>
                <w:lang w:val="sq-AL"/>
              </w:rPr>
              <w:t>Financimi i huaj</w:t>
            </w:r>
          </w:p>
        </w:tc>
        <w:tc>
          <w:tcPr>
            <w:tcW w:w="0" w:type="auto"/>
            <w:tcBorders>
              <w:top w:val="nil"/>
              <w:left w:val="nil"/>
              <w:bottom w:val="single" w:sz="8" w:space="0" w:color="4BACC6"/>
              <w:right w:val="single" w:sz="8" w:space="0" w:color="4BACC6"/>
            </w:tcBorders>
            <w:shd w:val="clear" w:color="auto" w:fill="auto"/>
            <w:noWrap/>
            <w:vAlign w:val="center"/>
            <w:hideMark/>
          </w:tcPr>
          <w:p w:rsidR="006308E8" w:rsidRPr="00BB7F2F" w:rsidRDefault="006308E8" w:rsidP="00AF49E0">
            <w:pPr>
              <w:jc w:val="right"/>
              <w:rPr>
                <w:rFonts w:asciiTheme="minorHAnsi" w:hAnsiTheme="minorHAnsi"/>
                <w:color w:val="000000"/>
                <w:sz w:val="18"/>
                <w:szCs w:val="18"/>
                <w:lang w:val="sq-AL"/>
              </w:rPr>
            </w:pPr>
            <w:r w:rsidRPr="00BB7F2F">
              <w:rPr>
                <w:rFonts w:asciiTheme="minorHAnsi" w:hAnsiTheme="minorHAnsi"/>
                <w:color w:val="000000"/>
                <w:sz w:val="18"/>
                <w:szCs w:val="18"/>
                <w:lang w:val="sq-AL"/>
              </w:rPr>
              <w:t> </w:t>
            </w:r>
          </w:p>
        </w:tc>
        <w:tc>
          <w:tcPr>
            <w:tcW w:w="0" w:type="auto"/>
            <w:tcBorders>
              <w:top w:val="nil"/>
              <w:left w:val="nil"/>
              <w:bottom w:val="single" w:sz="8" w:space="0" w:color="4BACC6"/>
              <w:right w:val="single" w:sz="8" w:space="0" w:color="4BACC6"/>
            </w:tcBorders>
            <w:shd w:val="clear" w:color="auto" w:fill="auto"/>
            <w:noWrap/>
            <w:vAlign w:val="center"/>
            <w:hideMark/>
          </w:tcPr>
          <w:p w:rsidR="006308E8" w:rsidRPr="00BB7F2F" w:rsidRDefault="006308E8" w:rsidP="00AF49E0">
            <w:pPr>
              <w:jc w:val="right"/>
              <w:rPr>
                <w:rFonts w:asciiTheme="minorHAnsi" w:hAnsiTheme="minorHAnsi"/>
                <w:color w:val="000000"/>
                <w:sz w:val="18"/>
                <w:szCs w:val="18"/>
                <w:lang w:val="sq-AL"/>
              </w:rPr>
            </w:pPr>
            <w:r w:rsidRPr="00BB7F2F">
              <w:rPr>
                <w:rFonts w:asciiTheme="minorHAnsi" w:hAnsiTheme="minorHAnsi"/>
                <w:color w:val="000000"/>
                <w:sz w:val="18"/>
                <w:szCs w:val="18"/>
                <w:lang w:val="sq-AL"/>
              </w:rPr>
              <w:t>703,900</w:t>
            </w:r>
          </w:p>
        </w:tc>
        <w:tc>
          <w:tcPr>
            <w:tcW w:w="0" w:type="auto"/>
            <w:tcBorders>
              <w:top w:val="single" w:sz="8" w:space="0" w:color="4BACC6"/>
              <w:left w:val="nil"/>
              <w:bottom w:val="single" w:sz="8" w:space="0" w:color="4BACC6"/>
              <w:right w:val="single" w:sz="8" w:space="0" w:color="4BACC6"/>
            </w:tcBorders>
            <w:shd w:val="clear" w:color="auto" w:fill="auto"/>
            <w:noWrap/>
            <w:vAlign w:val="center"/>
            <w:hideMark/>
          </w:tcPr>
          <w:p w:rsidR="006308E8" w:rsidRPr="00BB7F2F" w:rsidRDefault="006308E8" w:rsidP="00AF49E0">
            <w:pPr>
              <w:jc w:val="right"/>
              <w:rPr>
                <w:rFonts w:asciiTheme="minorHAnsi" w:hAnsiTheme="minorHAnsi"/>
                <w:color w:val="000000"/>
                <w:sz w:val="18"/>
                <w:szCs w:val="18"/>
                <w:lang w:val="sq-AL"/>
              </w:rPr>
            </w:pPr>
            <w:r w:rsidRPr="00BB7F2F">
              <w:rPr>
                <w:rFonts w:asciiTheme="minorHAnsi" w:hAnsiTheme="minorHAnsi"/>
                <w:color w:val="000000"/>
                <w:sz w:val="18"/>
                <w:szCs w:val="18"/>
                <w:lang w:val="sq-AL"/>
              </w:rPr>
              <w:t> </w:t>
            </w:r>
          </w:p>
        </w:tc>
        <w:tc>
          <w:tcPr>
            <w:tcW w:w="0" w:type="auto"/>
            <w:tcBorders>
              <w:top w:val="nil"/>
              <w:left w:val="nil"/>
              <w:bottom w:val="single" w:sz="8" w:space="0" w:color="4BACC6"/>
              <w:right w:val="single" w:sz="8" w:space="0" w:color="4BACC6"/>
            </w:tcBorders>
            <w:shd w:val="clear" w:color="auto" w:fill="auto"/>
            <w:noWrap/>
            <w:vAlign w:val="center"/>
            <w:hideMark/>
          </w:tcPr>
          <w:p w:rsidR="006308E8" w:rsidRPr="00BB7F2F" w:rsidRDefault="006308E8" w:rsidP="00AF49E0">
            <w:pPr>
              <w:jc w:val="right"/>
              <w:rPr>
                <w:rFonts w:asciiTheme="minorHAnsi" w:hAnsiTheme="minorHAnsi"/>
                <w:color w:val="000000"/>
                <w:sz w:val="18"/>
                <w:szCs w:val="18"/>
                <w:lang w:val="sq-AL"/>
              </w:rPr>
            </w:pPr>
            <w:r w:rsidRPr="00BB7F2F">
              <w:rPr>
                <w:rFonts w:asciiTheme="minorHAnsi" w:hAnsiTheme="minorHAnsi"/>
                <w:color w:val="000000"/>
                <w:sz w:val="18"/>
                <w:szCs w:val="18"/>
                <w:lang w:val="sq-AL"/>
              </w:rPr>
              <w:t>501.61</w:t>
            </w:r>
          </w:p>
        </w:tc>
        <w:tc>
          <w:tcPr>
            <w:tcW w:w="0" w:type="auto"/>
            <w:tcBorders>
              <w:top w:val="nil"/>
              <w:left w:val="nil"/>
              <w:bottom w:val="single" w:sz="8" w:space="0" w:color="4BACC6"/>
              <w:right w:val="single" w:sz="8" w:space="0" w:color="4BACC6"/>
            </w:tcBorders>
            <w:shd w:val="clear" w:color="auto" w:fill="auto"/>
            <w:vAlign w:val="center"/>
            <w:hideMark/>
          </w:tcPr>
          <w:p w:rsidR="006308E8" w:rsidRPr="00BB7F2F" w:rsidRDefault="006308E8" w:rsidP="00AF49E0">
            <w:pPr>
              <w:jc w:val="center"/>
              <w:rPr>
                <w:rFonts w:asciiTheme="minorHAnsi" w:hAnsiTheme="minorHAnsi"/>
                <w:color w:val="000000"/>
                <w:sz w:val="18"/>
                <w:szCs w:val="18"/>
                <w:lang w:val="sq-AL"/>
              </w:rPr>
            </w:pPr>
            <w:r w:rsidRPr="00BB7F2F">
              <w:rPr>
                <w:rFonts w:asciiTheme="minorHAnsi" w:hAnsiTheme="minorHAnsi"/>
                <w:color w:val="000000"/>
                <w:sz w:val="18"/>
                <w:szCs w:val="18"/>
                <w:lang w:val="sq-AL"/>
              </w:rPr>
              <w:t> </w:t>
            </w:r>
          </w:p>
        </w:tc>
        <w:tc>
          <w:tcPr>
            <w:tcW w:w="0" w:type="auto"/>
            <w:tcBorders>
              <w:top w:val="nil"/>
              <w:left w:val="nil"/>
              <w:bottom w:val="single" w:sz="8" w:space="0" w:color="4BACC6"/>
              <w:right w:val="single" w:sz="8" w:space="0" w:color="4BACC6"/>
            </w:tcBorders>
            <w:shd w:val="clear" w:color="auto" w:fill="auto"/>
            <w:vAlign w:val="center"/>
            <w:hideMark/>
          </w:tcPr>
          <w:p w:rsidR="006308E8" w:rsidRPr="00BB7F2F" w:rsidRDefault="006308E8" w:rsidP="00AF49E0">
            <w:pPr>
              <w:jc w:val="center"/>
              <w:rPr>
                <w:rFonts w:asciiTheme="minorHAnsi" w:hAnsiTheme="minorHAnsi"/>
                <w:color w:val="000000"/>
                <w:sz w:val="18"/>
                <w:szCs w:val="18"/>
                <w:lang w:val="sq-AL"/>
              </w:rPr>
            </w:pPr>
            <w:r w:rsidRPr="00BB7F2F">
              <w:rPr>
                <w:rFonts w:asciiTheme="minorHAnsi" w:hAnsiTheme="minorHAnsi"/>
                <w:color w:val="000000"/>
                <w:sz w:val="18"/>
                <w:szCs w:val="18"/>
                <w:lang w:val="sq-AL"/>
              </w:rPr>
              <w:t>0.1%</w:t>
            </w:r>
          </w:p>
        </w:tc>
      </w:tr>
      <w:tr w:rsidR="006308E8" w:rsidRPr="00BB7F2F" w:rsidTr="002124D1">
        <w:trPr>
          <w:trHeight w:val="281"/>
          <w:jc w:val="center"/>
        </w:trPr>
        <w:tc>
          <w:tcPr>
            <w:tcW w:w="0" w:type="auto"/>
            <w:tcBorders>
              <w:top w:val="nil"/>
              <w:left w:val="single" w:sz="8" w:space="0" w:color="4BACC6"/>
              <w:bottom w:val="single" w:sz="8" w:space="0" w:color="4BACC6"/>
              <w:right w:val="single" w:sz="8" w:space="0" w:color="4BACC6"/>
            </w:tcBorders>
            <w:shd w:val="clear" w:color="000000" w:fill="FFFFFF"/>
            <w:noWrap/>
            <w:vAlign w:val="center"/>
            <w:hideMark/>
          </w:tcPr>
          <w:p w:rsidR="006308E8" w:rsidRPr="00BB7F2F" w:rsidRDefault="006308E8" w:rsidP="00AF49E0">
            <w:pPr>
              <w:rPr>
                <w:rFonts w:asciiTheme="minorHAnsi" w:hAnsiTheme="minorHAnsi"/>
                <w:b/>
                <w:bCs/>
                <w:color w:val="000000"/>
                <w:sz w:val="18"/>
                <w:szCs w:val="18"/>
                <w:lang w:val="sq-AL"/>
              </w:rPr>
            </w:pPr>
            <w:r w:rsidRPr="00BB7F2F">
              <w:rPr>
                <w:rFonts w:asciiTheme="minorHAnsi" w:hAnsiTheme="minorHAnsi"/>
                <w:b/>
                <w:bCs/>
                <w:color w:val="000000"/>
                <w:sz w:val="18"/>
                <w:szCs w:val="18"/>
                <w:lang w:val="sq-AL"/>
              </w:rPr>
              <w:t>Strehimi</w:t>
            </w:r>
          </w:p>
        </w:tc>
        <w:tc>
          <w:tcPr>
            <w:tcW w:w="0" w:type="auto"/>
            <w:tcBorders>
              <w:top w:val="nil"/>
              <w:left w:val="nil"/>
              <w:bottom w:val="single" w:sz="8" w:space="0" w:color="4BACC6"/>
              <w:right w:val="single" w:sz="8" w:space="0" w:color="4BACC6"/>
            </w:tcBorders>
            <w:shd w:val="clear" w:color="auto" w:fill="auto"/>
            <w:noWrap/>
            <w:vAlign w:val="center"/>
            <w:hideMark/>
          </w:tcPr>
          <w:p w:rsidR="006308E8" w:rsidRPr="00BB7F2F" w:rsidRDefault="006308E8" w:rsidP="00AF49E0">
            <w:pPr>
              <w:jc w:val="right"/>
              <w:rPr>
                <w:rFonts w:asciiTheme="minorHAnsi" w:hAnsiTheme="minorHAnsi"/>
                <w:color w:val="000000"/>
                <w:sz w:val="18"/>
                <w:szCs w:val="18"/>
                <w:lang w:val="sq-AL"/>
              </w:rPr>
            </w:pPr>
            <w:r w:rsidRPr="00BB7F2F">
              <w:rPr>
                <w:rFonts w:asciiTheme="minorHAnsi" w:hAnsiTheme="minorHAnsi"/>
                <w:color w:val="000000"/>
                <w:sz w:val="18"/>
                <w:szCs w:val="18"/>
                <w:lang w:val="sq-AL"/>
              </w:rPr>
              <w:t>2,309,000</w:t>
            </w:r>
          </w:p>
        </w:tc>
        <w:tc>
          <w:tcPr>
            <w:tcW w:w="0" w:type="auto"/>
            <w:tcBorders>
              <w:top w:val="nil"/>
              <w:left w:val="nil"/>
              <w:bottom w:val="single" w:sz="8" w:space="0" w:color="4BACC6"/>
              <w:right w:val="single" w:sz="8" w:space="0" w:color="4BACC6"/>
            </w:tcBorders>
            <w:shd w:val="clear" w:color="auto" w:fill="auto"/>
            <w:noWrap/>
            <w:vAlign w:val="center"/>
            <w:hideMark/>
          </w:tcPr>
          <w:p w:rsidR="006308E8" w:rsidRPr="00BB7F2F" w:rsidRDefault="006308E8" w:rsidP="00AF49E0">
            <w:pPr>
              <w:jc w:val="right"/>
              <w:rPr>
                <w:rFonts w:asciiTheme="minorHAnsi" w:hAnsiTheme="minorHAnsi"/>
                <w:color w:val="000000"/>
                <w:sz w:val="18"/>
                <w:szCs w:val="18"/>
                <w:lang w:val="sq-AL"/>
              </w:rPr>
            </w:pPr>
            <w:r w:rsidRPr="00BB7F2F">
              <w:rPr>
                <w:rFonts w:asciiTheme="minorHAnsi" w:hAnsiTheme="minorHAnsi"/>
                <w:color w:val="000000"/>
                <w:sz w:val="18"/>
                <w:szCs w:val="18"/>
                <w:lang w:val="sq-AL"/>
              </w:rPr>
              <w:t>320,000</w:t>
            </w:r>
          </w:p>
        </w:tc>
        <w:tc>
          <w:tcPr>
            <w:tcW w:w="0" w:type="auto"/>
            <w:tcBorders>
              <w:top w:val="nil"/>
              <w:left w:val="nil"/>
              <w:bottom w:val="single" w:sz="8" w:space="0" w:color="4BACC6"/>
              <w:right w:val="single" w:sz="8" w:space="0" w:color="4BACC6"/>
            </w:tcBorders>
            <w:shd w:val="clear" w:color="auto" w:fill="auto"/>
            <w:noWrap/>
            <w:vAlign w:val="center"/>
            <w:hideMark/>
          </w:tcPr>
          <w:p w:rsidR="006308E8" w:rsidRPr="00BB7F2F" w:rsidRDefault="006308E8" w:rsidP="00AF49E0">
            <w:pPr>
              <w:jc w:val="right"/>
              <w:rPr>
                <w:rFonts w:asciiTheme="minorHAnsi" w:hAnsiTheme="minorHAnsi"/>
                <w:color w:val="000000"/>
                <w:sz w:val="18"/>
                <w:szCs w:val="18"/>
                <w:lang w:val="sq-AL"/>
              </w:rPr>
            </w:pPr>
            <w:r w:rsidRPr="00BB7F2F">
              <w:rPr>
                <w:rFonts w:asciiTheme="minorHAnsi" w:hAnsiTheme="minorHAnsi"/>
                <w:color w:val="000000"/>
                <w:sz w:val="18"/>
                <w:szCs w:val="18"/>
                <w:lang w:val="sq-AL"/>
              </w:rPr>
              <w:t>913,381</w:t>
            </w:r>
          </w:p>
        </w:tc>
        <w:tc>
          <w:tcPr>
            <w:tcW w:w="0" w:type="auto"/>
            <w:tcBorders>
              <w:top w:val="nil"/>
              <w:left w:val="nil"/>
              <w:bottom w:val="single" w:sz="8" w:space="0" w:color="4BACC6"/>
              <w:right w:val="single" w:sz="8" w:space="0" w:color="4BACC6"/>
            </w:tcBorders>
            <w:shd w:val="clear" w:color="auto" w:fill="auto"/>
            <w:noWrap/>
            <w:vAlign w:val="center"/>
            <w:hideMark/>
          </w:tcPr>
          <w:p w:rsidR="006308E8" w:rsidRPr="00BB7F2F" w:rsidRDefault="006308E8" w:rsidP="00AF49E0">
            <w:pPr>
              <w:jc w:val="right"/>
              <w:rPr>
                <w:rFonts w:asciiTheme="minorHAnsi" w:hAnsiTheme="minorHAnsi"/>
                <w:color w:val="000000"/>
                <w:sz w:val="18"/>
                <w:szCs w:val="18"/>
                <w:lang w:val="sq-AL"/>
              </w:rPr>
            </w:pPr>
            <w:r w:rsidRPr="00BB7F2F">
              <w:rPr>
                <w:rFonts w:asciiTheme="minorHAnsi" w:hAnsiTheme="minorHAnsi"/>
                <w:color w:val="000000"/>
                <w:sz w:val="18"/>
                <w:szCs w:val="18"/>
                <w:lang w:val="sq-AL"/>
              </w:rPr>
              <w:t>5,639</w:t>
            </w:r>
          </w:p>
        </w:tc>
        <w:tc>
          <w:tcPr>
            <w:tcW w:w="0" w:type="auto"/>
            <w:tcBorders>
              <w:top w:val="nil"/>
              <w:left w:val="nil"/>
              <w:bottom w:val="single" w:sz="8" w:space="0" w:color="4BACC6"/>
              <w:right w:val="single" w:sz="8" w:space="0" w:color="4BACC6"/>
            </w:tcBorders>
            <w:shd w:val="clear" w:color="auto" w:fill="auto"/>
            <w:vAlign w:val="center"/>
            <w:hideMark/>
          </w:tcPr>
          <w:p w:rsidR="006308E8" w:rsidRPr="00BB7F2F" w:rsidRDefault="006308E8" w:rsidP="00AF49E0">
            <w:pPr>
              <w:jc w:val="center"/>
              <w:rPr>
                <w:rFonts w:asciiTheme="minorHAnsi" w:hAnsiTheme="minorHAnsi"/>
                <w:color w:val="000000"/>
                <w:sz w:val="18"/>
                <w:szCs w:val="18"/>
                <w:lang w:val="sq-AL"/>
              </w:rPr>
            </w:pPr>
            <w:r w:rsidRPr="00BB7F2F">
              <w:rPr>
                <w:rFonts w:asciiTheme="minorHAnsi" w:hAnsiTheme="minorHAnsi"/>
                <w:color w:val="000000"/>
                <w:sz w:val="18"/>
                <w:szCs w:val="18"/>
                <w:lang w:val="sq-AL"/>
              </w:rPr>
              <w:t>39.6%</w:t>
            </w:r>
          </w:p>
        </w:tc>
        <w:tc>
          <w:tcPr>
            <w:tcW w:w="0" w:type="auto"/>
            <w:tcBorders>
              <w:top w:val="nil"/>
              <w:left w:val="nil"/>
              <w:bottom w:val="single" w:sz="8" w:space="0" w:color="4BACC6"/>
              <w:right w:val="single" w:sz="8" w:space="0" w:color="4BACC6"/>
            </w:tcBorders>
            <w:shd w:val="clear" w:color="auto" w:fill="auto"/>
            <w:vAlign w:val="center"/>
            <w:hideMark/>
          </w:tcPr>
          <w:p w:rsidR="006308E8" w:rsidRPr="00BB7F2F" w:rsidRDefault="006308E8" w:rsidP="00AF49E0">
            <w:pPr>
              <w:jc w:val="center"/>
              <w:rPr>
                <w:rFonts w:asciiTheme="minorHAnsi" w:hAnsiTheme="minorHAnsi"/>
                <w:color w:val="000000"/>
                <w:sz w:val="18"/>
                <w:szCs w:val="18"/>
                <w:lang w:val="sq-AL"/>
              </w:rPr>
            </w:pPr>
            <w:r w:rsidRPr="00BB7F2F">
              <w:rPr>
                <w:rFonts w:asciiTheme="minorHAnsi" w:hAnsiTheme="minorHAnsi"/>
                <w:color w:val="000000"/>
                <w:sz w:val="18"/>
                <w:szCs w:val="18"/>
                <w:lang w:val="sq-AL"/>
              </w:rPr>
              <w:t>1.8%</w:t>
            </w:r>
          </w:p>
        </w:tc>
      </w:tr>
    </w:tbl>
    <w:p w:rsidR="006308E8" w:rsidRPr="00BB7F2F" w:rsidRDefault="006308E8" w:rsidP="006308E8">
      <w:pPr>
        <w:spacing w:line="276" w:lineRule="auto"/>
        <w:jc w:val="right"/>
        <w:rPr>
          <w:rFonts w:asciiTheme="minorHAnsi" w:eastAsia="MS Mincho" w:hAnsiTheme="minorHAnsi"/>
          <w:i/>
          <w:lang w:val="sq-AL"/>
        </w:rPr>
      </w:pPr>
    </w:p>
    <w:p w:rsidR="002124D1" w:rsidRDefault="002124D1" w:rsidP="006308E8">
      <w:pPr>
        <w:spacing w:line="276" w:lineRule="auto"/>
        <w:jc w:val="both"/>
        <w:rPr>
          <w:rFonts w:asciiTheme="minorHAnsi" w:hAnsiTheme="minorHAnsi"/>
          <w:lang w:val="sq-AL"/>
        </w:rPr>
      </w:pPr>
    </w:p>
    <w:p w:rsidR="006308E8" w:rsidRPr="00BB7F2F" w:rsidRDefault="006308E8" w:rsidP="00D25385">
      <w:pPr>
        <w:spacing w:line="276" w:lineRule="auto"/>
        <w:jc w:val="both"/>
        <w:rPr>
          <w:rFonts w:asciiTheme="minorHAnsi" w:hAnsiTheme="minorHAnsi"/>
          <w:lang w:val="sq-AL"/>
        </w:rPr>
      </w:pPr>
      <w:r w:rsidRPr="00BB7F2F">
        <w:rPr>
          <w:rFonts w:asciiTheme="minorHAnsi" w:hAnsiTheme="minorHAnsi"/>
          <w:lang w:val="sq-AL"/>
        </w:rPr>
        <w:lastRenderedPageBreak/>
        <w:t>Sipas të dhënave, realizimi faktik i shpenzimeve korente paraqitet në mesataren e periudhës, ndërsa investimet pritet të kenë realizim më të lartë në periudhën në vazhdim.</w:t>
      </w:r>
    </w:p>
    <w:p w:rsidR="00D25385" w:rsidRPr="00D25385" w:rsidRDefault="00D25385" w:rsidP="00D25385">
      <w:pPr>
        <w:spacing w:line="276" w:lineRule="auto"/>
        <w:jc w:val="both"/>
        <w:rPr>
          <w:rFonts w:asciiTheme="minorHAnsi" w:hAnsiTheme="minorHAnsi"/>
          <w:sz w:val="8"/>
          <w:szCs w:val="8"/>
          <w:lang w:val="sq-AL"/>
        </w:rPr>
      </w:pPr>
    </w:p>
    <w:p w:rsidR="006308E8" w:rsidRPr="00BB7F2F" w:rsidRDefault="006308E8" w:rsidP="00D25385">
      <w:pPr>
        <w:spacing w:line="276" w:lineRule="auto"/>
        <w:jc w:val="both"/>
        <w:rPr>
          <w:rFonts w:asciiTheme="minorHAnsi" w:hAnsiTheme="minorHAnsi"/>
          <w:lang w:val="sq-AL"/>
        </w:rPr>
      </w:pPr>
      <w:r w:rsidRPr="00BB7F2F">
        <w:rPr>
          <w:rFonts w:asciiTheme="minorHAnsi" w:hAnsiTheme="minorHAnsi"/>
          <w:lang w:val="sq-AL"/>
        </w:rPr>
        <w:t>Sa i përket programit “</w:t>
      </w:r>
      <w:r w:rsidRPr="00D25385">
        <w:rPr>
          <w:rFonts w:asciiTheme="minorHAnsi" w:hAnsiTheme="minorHAnsi"/>
          <w:b/>
          <w:lang w:val="sq-AL"/>
        </w:rPr>
        <w:t>Menaxhimi i të Ardhurave Tatimore</w:t>
      </w:r>
      <w:r w:rsidRPr="00BB7F2F">
        <w:rPr>
          <w:rFonts w:asciiTheme="minorHAnsi" w:hAnsiTheme="minorHAnsi"/>
          <w:lang w:val="sq-AL"/>
        </w:rPr>
        <w:t xml:space="preserve">”, objektivi i këtij programi është </w:t>
      </w:r>
      <w:r w:rsidRPr="00BB7F2F">
        <w:rPr>
          <w:rFonts w:asciiTheme="minorHAnsi" w:hAnsiTheme="minorHAnsi"/>
          <w:i/>
          <w:lang w:val="sq-AL"/>
        </w:rPr>
        <w:t>Progresi organizativ i Administratës Tatimore dhe zhvillimi i kapaciteteve njerëzore, aplikimi i metodave dhe sistemeve të reja, modernizimi, ofrimi i shërbimeve cilësore dhe reduktimi i barrës administrative në pagesën e detyrimeve tatimore dhe kontributeve të sigurimeve shoqërore si rrjedhojë e rritjes së ndërgjegjësimit publik duke ndihmuar në zhvillimin e kulturës për përmbushje vullnetare më të lartë. Implementimi efikas i legjislacionit tatimor dhe sigurimeve shoqërore, hetimi i rasteve të mashtrimit tatimor, zbatimi i strategjisë së përmbushjes së menaxhimit të riskut, përmirësimi i mëtejshëm i kontrollit tatimor dhe gjurmimi i mashtrimeve tatimore, mbledhja efikase dhe efektive e borxhit</w:t>
      </w:r>
      <w:r w:rsidRPr="00BB7F2F">
        <w:rPr>
          <w:rFonts w:asciiTheme="minorHAnsi" w:hAnsiTheme="minorHAnsi"/>
          <w:lang w:val="sq-AL"/>
        </w:rPr>
        <w:t xml:space="preserve">. Për arritjen e këtij objektivi, për 4-mjujorin 2020, janë realizuar produktet me të dhënat si vijon: “Tatimpagues të asistuar” janë asistuar 159 461 tatimpagues ose 97 përqind e parashikimit, “Inspektime, hetime tatimore”, janë realizuar për 4-mujorin 6 825 inspektime  ose 15 përqind e planifikimit vjetor 2020. </w:t>
      </w:r>
    </w:p>
    <w:p w:rsidR="00D25385" w:rsidRPr="00D25385" w:rsidRDefault="00D25385" w:rsidP="00D25385">
      <w:pPr>
        <w:spacing w:line="276" w:lineRule="auto"/>
        <w:jc w:val="both"/>
        <w:rPr>
          <w:rFonts w:asciiTheme="minorHAnsi" w:hAnsiTheme="minorHAnsi"/>
          <w:sz w:val="8"/>
          <w:szCs w:val="8"/>
          <w:lang w:val="sq-AL"/>
        </w:rPr>
      </w:pPr>
    </w:p>
    <w:p w:rsidR="006308E8" w:rsidRPr="00BB7F2F" w:rsidRDefault="006308E8" w:rsidP="00D25385">
      <w:pPr>
        <w:spacing w:line="276" w:lineRule="auto"/>
        <w:jc w:val="both"/>
        <w:rPr>
          <w:rFonts w:asciiTheme="minorHAnsi" w:hAnsiTheme="minorHAnsi"/>
          <w:lang w:val="sq-AL"/>
        </w:rPr>
      </w:pPr>
      <w:r w:rsidRPr="00BB7F2F">
        <w:rPr>
          <w:rFonts w:asciiTheme="minorHAnsi" w:hAnsiTheme="minorHAnsi"/>
          <w:lang w:val="sq-AL"/>
        </w:rPr>
        <w:t>Sa i përket programit “</w:t>
      </w:r>
      <w:r w:rsidRPr="00D25385">
        <w:rPr>
          <w:rFonts w:asciiTheme="minorHAnsi" w:hAnsiTheme="minorHAnsi"/>
          <w:b/>
          <w:lang w:val="sq-AL"/>
        </w:rPr>
        <w:t>Menaxhimi i të Ardhurave Doganore</w:t>
      </w:r>
      <w:r w:rsidRPr="00BB7F2F">
        <w:rPr>
          <w:rFonts w:asciiTheme="minorHAnsi" w:hAnsiTheme="minorHAnsi"/>
          <w:lang w:val="sq-AL"/>
        </w:rPr>
        <w:t xml:space="preserve">” objektivi kryesor i këtij programi është </w:t>
      </w:r>
      <w:r w:rsidRPr="00BB7F2F">
        <w:rPr>
          <w:rFonts w:asciiTheme="minorHAnsi" w:hAnsiTheme="minorHAnsi"/>
          <w:i/>
          <w:lang w:val="sq-AL"/>
        </w:rPr>
        <w:t>Krijimi i lehtësirave për operatorët ekonomikë nëpërmjet lehtësimit dhe përshpejtimit të proçedurave doganore</w:t>
      </w:r>
      <w:r w:rsidRPr="00BB7F2F">
        <w:rPr>
          <w:rFonts w:asciiTheme="minorHAnsi" w:hAnsiTheme="minorHAnsi"/>
          <w:lang w:val="sq-AL"/>
        </w:rPr>
        <w:t>. Për arritjen e këtij objektivi, për 4-mujorin 2020, janë realizuar produktet me të dhënat si vijon: “Deklarata doganore të proçesuara” irealizuar në sasi në masën 146 801 deklarata.</w:t>
      </w:r>
    </w:p>
    <w:p w:rsidR="006308E8" w:rsidRPr="00D25385" w:rsidRDefault="006308E8" w:rsidP="00D25385">
      <w:pPr>
        <w:spacing w:line="276" w:lineRule="auto"/>
        <w:jc w:val="both"/>
        <w:rPr>
          <w:rFonts w:asciiTheme="minorHAnsi" w:hAnsiTheme="minorHAnsi"/>
          <w:sz w:val="8"/>
          <w:szCs w:val="8"/>
          <w:lang w:val="sq-AL"/>
        </w:rPr>
      </w:pPr>
    </w:p>
    <w:p w:rsidR="006308E8" w:rsidRPr="00BB7F2F" w:rsidRDefault="006308E8" w:rsidP="00D25385">
      <w:pPr>
        <w:spacing w:line="276" w:lineRule="auto"/>
        <w:jc w:val="both"/>
        <w:rPr>
          <w:rFonts w:asciiTheme="minorHAnsi" w:hAnsiTheme="minorHAnsi"/>
          <w:lang w:val="sq-AL"/>
        </w:rPr>
      </w:pPr>
      <w:r w:rsidRPr="00BB7F2F">
        <w:rPr>
          <w:rFonts w:asciiTheme="minorHAnsi" w:hAnsiTheme="minorHAnsi"/>
          <w:lang w:val="sq-AL"/>
        </w:rPr>
        <w:t>Në programin “</w:t>
      </w:r>
      <w:r w:rsidRPr="00D25385">
        <w:rPr>
          <w:rFonts w:asciiTheme="minorHAnsi" w:hAnsiTheme="minorHAnsi"/>
          <w:b/>
          <w:lang w:val="sq-AL"/>
        </w:rPr>
        <w:t>Tregu i Punës</w:t>
      </w:r>
      <w:r w:rsidRPr="00BB7F2F">
        <w:rPr>
          <w:rFonts w:asciiTheme="minorHAnsi" w:hAnsiTheme="minorHAnsi"/>
          <w:lang w:val="sq-AL"/>
        </w:rPr>
        <w:t xml:space="preserve">” në kuadër të rishikimit të buxhetit nëpërmjet dy Akteve Normative, Aktit Normativ Nr.6, datë 21.3.2020 “Për disa ndryshime dhe shtesa në Ligjin Nr. 88/2019, “Për buxhetin e vitit 2020” dhe Aktit Normativ Nr.15, datë 15.4.2020 “Për disa ndryshime në Ligjin Nr. 88/2019, “Për buxhetin e vitit 2020” të ndryshuar u mundësua alokimi i fondeve të nevojshme buxhetore për përballimin të situatës emergjente të krijuar nga Pandemia COVID-19, specifikisht me </w:t>
      </w:r>
      <w:r w:rsidRPr="00BB7F2F">
        <w:rPr>
          <w:rFonts w:asciiTheme="minorHAnsi" w:hAnsiTheme="minorHAnsi"/>
          <w:i/>
          <w:lang w:val="sq-AL"/>
        </w:rPr>
        <w:t>Vendimin nr. 254, datë 27.03.2020, të Këshillit të Ministrave “Për përcaktimin e procedurave, të dokumentacionit dhe të masës së përfitimit të ndihmës financiare  për të punësuarit në subjektet e biznesit me të ardhura vjetore deri në 14 milionë lekë, ndihmës ekonomike e të pagesës të së ardhurës nga papunësia gjatë periudhës së fatkeqësisë natyrore të shpallur si pasojë e Covid-19”</w:t>
      </w:r>
      <w:r w:rsidRPr="00BB7F2F">
        <w:rPr>
          <w:rFonts w:asciiTheme="minorHAnsi" w:hAnsiTheme="minorHAnsi"/>
          <w:lang w:val="sq-AL"/>
        </w:rPr>
        <w:t xml:space="preserve"> u mundësua </w:t>
      </w:r>
      <w:r w:rsidRPr="00BB7F2F">
        <w:rPr>
          <w:rFonts w:asciiTheme="minorHAnsi" w:hAnsiTheme="minorHAnsi"/>
          <w:u w:val="single"/>
          <w:lang w:val="sq-AL"/>
        </w:rPr>
        <w:t>paketa e parë e ndihmës</w:t>
      </w:r>
      <w:r w:rsidRPr="00BB7F2F">
        <w:rPr>
          <w:rFonts w:asciiTheme="minorHAnsi" w:hAnsiTheme="minorHAnsi"/>
          <w:lang w:val="sq-AL"/>
        </w:rPr>
        <w:t xml:space="preserve"> në produktin “Pagat e biznesit per masat anti COVID-19” u alokuan 4 700 milionë lekë dhe  në produktin “Persona të trajtuar me pagesë papunësie” rreth 118.4 milionë lekë. Me </w:t>
      </w:r>
      <w:r w:rsidRPr="00BB7F2F">
        <w:rPr>
          <w:rFonts w:asciiTheme="minorHAnsi" w:hAnsiTheme="minorHAnsi"/>
          <w:i/>
          <w:lang w:val="sq-AL"/>
        </w:rPr>
        <w:t>Vendimin nr. 305, datë 16.4.2020, të Këshillit të Ministrave “Për përcaktimin e procedurave, të dokumentacionit dhe të masës së përfitimit të ndihmës financiare  për të punësuarit aktualë dhe punonjësit e larguar nga puna si pasojë e Covid-19”</w:t>
      </w:r>
      <w:r w:rsidRPr="00BB7F2F">
        <w:rPr>
          <w:rFonts w:asciiTheme="minorHAnsi" w:hAnsiTheme="minorHAnsi"/>
          <w:lang w:val="sq-AL"/>
        </w:rPr>
        <w:t xml:space="preserve"> u mundësua </w:t>
      </w:r>
      <w:r w:rsidRPr="00BB7F2F">
        <w:rPr>
          <w:rFonts w:asciiTheme="minorHAnsi" w:hAnsiTheme="minorHAnsi"/>
          <w:u w:val="single"/>
          <w:lang w:val="sq-AL"/>
        </w:rPr>
        <w:t>paketa e dytë e ndihmës</w:t>
      </w:r>
      <w:r w:rsidRPr="00BB7F2F">
        <w:rPr>
          <w:rFonts w:asciiTheme="minorHAnsi" w:hAnsiTheme="minorHAnsi"/>
          <w:lang w:val="sq-AL"/>
        </w:rPr>
        <w:t xml:space="preserve"> në produktin “Pagat e biznesit per masat anti COVID-19” ku u alokuan 7 040 milionë lekë, të cilat deri në fund të 4 mujorit u disbursuan në masën 4 555 milonë lekë.</w:t>
      </w:r>
    </w:p>
    <w:p w:rsidR="00D25385" w:rsidRPr="00D25385" w:rsidRDefault="00D25385" w:rsidP="00D25385">
      <w:pPr>
        <w:spacing w:line="276" w:lineRule="auto"/>
        <w:jc w:val="both"/>
        <w:rPr>
          <w:rFonts w:asciiTheme="minorHAnsi" w:hAnsiTheme="minorHAnsi"/>
          <w:sz w:val="8"/>
          <w:szCs w:val="8"/>
          <w:lang w:val="sq-AL"/>
        </w:rPr>
      </w:pPr>
    </w:p>
    <w:p w:rsidR="006308E8" w:rsidRPr="00BB7F2F" w:rsidRDefault="006308E8" w:rsidP="00D25385">
      <w:pPr>
        <w:spacing w:line="276" w:lineRule="auto"/>
        <w:jc w:val="both"/>
        <w:rPr>
          <w:rFonts w:asciiTheme="minorHAnsi" w:hAnsiTheme="minorHAnsi"/>
          <w:lang w:val="sq-AL"/>
        </w:rPr>
      </w:pPr>
      <w:r w:rsidRPr="00BB7F2F">
        <w:rPr>
          <w:rFonts w:asciiTheme="minorHAnsi" w:hAnsiTheme="minorHAnsi"/>
          <w:lang w:val="sq-AL"/>
        </w:rPr>
        <w:t>Në programin “</w:t>
      </w:r>
      <w:r w:rsidRPr="00D25385">
        <w:rPr>
          <w:rFonts w:asciiTheme="minorHAnsi" w:hAnsiTheme="minorHAnsi"/>
          <w:b/>
          <w:lang w:val="sq-AL"/>
        </w:rPr>
        <w:t>Strehimi</w:t>
      </w:r>
      <w:r w:rsidRPr="00BB7F2F">
        <w:rPr>
          <w:rFonts w:asciiTheme="minorHAnsi" w:hAnsiTheme="minorHAnsi"/>
          <w:lang w:val="sq-AL"/>
        </w:rPr>
        <w:t>” realizimi i 4-mujorit të parë për vitin 2020 mund të rendisim sa mëposhtë:</w:t>
      </w:r>
    </w:p>
    <w:p w:rsidR="006308E8" w:rsidRPr="00D25385" w:rsidRDefault="006308E8" w:rsidP="00503465">
      <w:pPr>
        <w:numPr>
          <w:ilvl w:val="0"/>
          <w:numId w:val="49"/>
        </w:numPr>
        <w:spacing w:after="200" w:line="276" w:lineRule="auto"/>
        <w:ind w:left="360" w:hanging="270"/>
        <w:contextualSpacing/>
        <w:jc w:val="both"/>
        <w:rPr>
          <w:rFonts w:asciiTheme="minorHAnsi" w:eastAsiaTheme="minorHAnsi" w:hAnsiTheme="minorHAnsi"/>
          <w:i/>
          <w:lang w:val="sq-AL"/>
        </w:rPr>
      </w:pPr>
      <w:r w:rsidRPr="00D25385">
        <w:rPr>
          <w:rFonts w:asciiTheme="minorHAnsi" w:eastAsiaTheme="minorHAnsi" w:hAnsiTheme="minorHAnsi"/>
          <w:i/>
          <w:lang w:val="sq-AL"/>
        </w:rPr>
        <w:t>Subvencionimi i interesave për kreditë ekzistuese është realizuar në vlerën 34,057 mijë lekë. Si pasojë e situatës emergjente të shkaktuar nga Covid-19, pagesat e interesave të kredive për muajin Prill, nuk u paguan pasi nuk ishin pjesë e listës së pagesave prioritare të përcaktuara në Udhëzimin e Ministrit nr.14, datë 24.03.2020 “Për procedurat e menaxhimit dhe monitorimit të zbatimit të buxhetit në kushtet e gjendjes së fatkeqësisë natyrore”.</w:t>
      </w:r>
    </w:p>
    <w:p w:rsidR="006308E8" w:rsidRPr="00D25385" w:rsidRDefault="006308E8" w:rsidP="00503465">
      <w:pPr>
        <w:numPr>
          <w:ilvl w:val="0"/>
          <w:numId w:val="49"/>
        </w:numPr>
        <w:spacing w:after="200" w:line="276" w:lineRule="auto"/>
        <w:ind w:left="360" w:hanging="270"/>
        <w:contextualSpacing/>
        <w:jc w:val="both"/>
        <w:rPr>
          <w:rFonts w:asciiTheme="minorHAnsi" w:eastAsiaTheme="minorHAnsi" w:hAnsiTheme="minorHAnsi"/>
          <w:i/>
          <w:lang w:val="sq-AL"/>
        </w:rPr>
      </w:pPr>
      <w:r w:rsidRPr="00D25385">
        <w:rPr>
          <w:rFonts w:asciiTheme="minorHAnsi" w:eastAsiaTheme="minorHAnsi" w:hAnsiTheme="minorHAnsi"/>
          <w:i/>
          <w:lang w:val="sq-AL"/>
        </w:rPr>
        <w:lastRenderedPageBreak/>
        <w:t>Subvencionim qiraje në tregun e lirë, sipas Ligjit nr.22/2018, për 4-mujorin e parë, janë alokuar fondet prej 75,000 mijë lekë për 18 bashki të vendit.  Kërkesa totale e bashkive ishte në vlerën  91,360 mijë lekë dhe fondi i parashikuar për vitin 2020, për këtë program, u shpërnda duke u bazuar në pikën 7 të udhëzimit nr.31, datë 18.11.2020 “Për procedurat standarte të aplikimit dhe kriteret për përfitimin e fondeve nga buxheti i shtetit për programet e strehimit”. Realizimi faktik, për 4-mujorin e parë është në masën 27,812 mijë lekë.</w:t>
      </w:r>
    </w:p>
    <w:p w:rsidR="006308E8" w:rsidRPr="00D25385" w:rsidRDefault="006308E8" w:rsidP="00503465">
      <w:pPr>
        <w:numPr>
          <w:ilvl w:val="0"/>
          <w:numId w:val="49"/>
        </w:numPr>
        <w:spacing w:after="200" w:line="276" w:lineRule="auto"/>
        <w:ind w:left="360" w:hanging="270"/>
        <w:contextualSpacing/>
        <w:jc w:val="both"/>
        <w:rPr>
          <w:rFonts w:asciiTheme="minorHAnsi" w:eastAsiaTheme="minorHAnsi" w:hAnsiTheme="minorHAnsi"/>
          <w:i/>
          <w:lang w:val="sq-AL"/>
        </w:rPr>
      </w:pPr>
      <w:r w:rsidRPr="00D25385">
        <w:rPr>
          <w:rFonts w:asciiTheme="minorHAnsi" w:eastAsiaTheme="minorHAnsi" w:hAnsiTheme="minorHAnsi"/>
          <w:i/>
          <w:lang w:val="sq-AL"/>
        </w:rPr>
        <w:t>Subvencionimi i qirasë për familjet e prekura nga tërmeti, për 4-mujorin e parë, janë alokuar 1,401,612 mijë lekë, për 11 bashki të prekura nga tërmeti i datës 26.11.2019. Deri në fund të muajit Prill, realizimi faktit i fondeve është në vlerën 851,511 mijë lekë.</w:t>
      </w:r>
    </w:p>
    <w:p w:rsidR="006308E8" w:rsidRPr="00BB7F2F" w:rsidRDefault="006308E8" w:rsidP="006308E8">
      <w:pPr>
        <w:spacing w:line="276" w:lineRule="auto"/>
        <w:ind w:left="360"/>
        <w:jc w:val="both"/>
        <w:rPr>
          <w:rFonts w:asciiTheme="minorHAnsi" w:hAnsiTheme="minorHAnsi"/>
          <w:lang w:val="sq-AL"/>
        </w:rPr>
      </w:pPr>
    </w:p>
    <w:p w:rsidR="006308E8" w:rsidRPr="00BB7F2F" w:rsidRDefault="006308E8" w:rsidP="006308E8">
      <w:pPr>
        <w:spacing w:before="120" w:after="120" w:line="276" w:lineRule="auto"/>
        <w:jc w:val="both"/>
        <w:rPr>
          <w:rFonts w:asciiTheme="minorHAnsi" w:hAnsiTheme="minorHAnsi"/>
          <w:b/>
          <w:noProof/>
          <w:color w:val="0070C0"/>
          <w:lang w:val="sq-AL"/>
        </w:rPr>
      </w:pPr>
      <w:bookmarkStart w:id="185" w:name="_Toc10033299"/>
      <w:bookmarkStart w:id="186" w:name="_Toc10721435"/>
      <w:bookmarkStart w:id="187" w:name="_Toc11134234"/>
      <w:bookmarkEnd w:id="181"/>
      <w:bookmarkEnd w:id="182"/>
      <w:bookmarkEnd w:id="183"/>
      <w:r w:rsidRPr="00BB7F2F">
        <w:rPr>
          <w:rFonts w:asciiTheme="minorHAnsi" w:hAnsiTheme="minorHAnsi"/>
          <w:b/>
          <w:noProof/>
          <w:color w:val="0070C0"/>
          <w:lang w:val="sq-AL"/>
        </w:rPr>
        <w:t>MBROJTJA</w:t>
      </w:r>
    </w:p>
    <w:p w:rsidR="006308E8" w:rsidRDefault="006308E8" w:rsidP="00D25385">
      <w:pPr>
        <w:spacing w:line="276" w:lineRule="auto"/>
        <w:jc w:val="both"/>
        <w:rPr>
          <w:rFonts w:asciiTheme="minorHAnsi" w:eastAsia="MS Mincho" w:hAnsiTheme="minorHAnsi"/>
          <w:color w:val="000000"/>
          <w:lang w:val="sq-AL"/>
        </w:rPr>
      </w:pPr>
      <w:r w:rsidRPr="00BB7F2F">
        <w:rPr>
          <w:rFonts w:asciiTheme="minorHAnsi" w:eastAsia="MS Mincho" w:hAnsiTheme="minorHAnsi"/>
          <w:color w:val="000000"/>
          <w:lang w:val="sq-AL"/>
        </w:rPr>
        <w:t>Shpenzimet e planifikuara dhe ato faktike si dhe realizimi në përqindje për 4 mujorin e pare 2020 për Ministrinë e Mbrojtjes, paraqiten si më poshtë:</w:t>
      </w:r>
    </w:p>
    <w:p w:rsidR="00524EBF" w:rsidRDefault="00524EBF" w:rsidP="00524EBF">
      <w:pPr>
        <w:pStyle w:val="Caption"/>
        <w:spacing w:after="0"/>
        <w:rPr>
          <w:rFonts w:asciiTheme="minorHAnsi" w:hAnsiTheme="minorHAnsi"/>
          <w:b w:val="0"/>
          <w:bCs w:val="0"/>
          <w:i/>
          <w:noProof/>
          <w:color w:val="auto"/>
          <w:sz w:val="24"/>
          <w:szCs w:val="24"/>
        </w:rPr>
      </w:pPr>
    </w:p>
    <w:p w:rsidR="00524EBF" w:rsidRPr="00524EBF" w:rsidRDefault="00524EBF" w:rsidP="00AF49E0">
      <w:pPr>
        <w:pStyle w:val="Caption"/>
        <w:spacing w:after="0"/>
        <w:rPr>
          <w:rFonts w:asciiTheme="minorHAnsi" w:hAnsiTheme="minorHAnsi"/>
          <w:b w:val="0"/>
          <w:bCs w:val="0"/>
          <w:i/>
          <w:noProof/>
          <w:color w:val="auto"/>
          <w:sz w:val="24"/>
          <w:szCs w:val="24"/>
        </w:rPr>
      </w:pPr>
      <w:bookmarkStart w:id="188" w:name="_Toc44404437"/>
      <w:r w:rsidRPr="00524EBF">
        <w:rPr>
          <w:rFonts w:asciiTheme="minorHAnsi" w:hAnsiTheme="minorHAnsi"/>
          <w:b w:val="0"/>
          <w:bCs w:val="0"/>
          <w:i/>
          <w:noProof/>
          <w:color w:val="auto"/>
          <w:sz w:val="24"/>
          <w:szCs w:val="24"/>
        </w:rPr>
        <w:t xml:space="preserve">Tabela </w:t>
      </w:r>
      <w:r w:rsidRPr="00524EBF">
        <w:rPr>
          <w:rFonts w:asciiTheme="minorHAnsi" w:hAnsiTheme="minorHAnsi"/>
          <w:b w:val="0"/>
          <w:bCs w:val="0"/>
          <w:i/>
          <w:noProof/>
          <w:color w:val="auto"/>
          <w:sz w:val="24"/>
          <w:szCs w:val="24"/>
        </w:rPr>
        <w:fldChar w:fldCharType="begin"/>
      </w:r>
      <w:r w:rsidRPr="00524EBF">
        <w:rPr>
          <w:rFonts w:asciiTheme="minorHAnsi" w:hAnsiTheme="minorHAnsi"/>
          <w:b w:val="0"/>
          <w:bCs w:val="0"/>
          <w:i/>
          <w:noProof/>
          <w:color w:val="auto"/>
          <w:sz w:val="24"/>
          <w:szCs w:val="24"/>
        </w:rPr>
        <w:instrText xml:space="preserve"> SEQ Tabela \* ARABIC </w:instrText>
      </w:r>
      <w:r w:rsidRPr="00524EBF">
        <w:rPr>
          <w:rFonts w:asciiTheme="minorHAnsi" w:hAnsiTheme="minorHAnsi"/>
          <w:b w:val="0"/>
          <w:bCs w:val="0"/>
          <w:i/>
          <w:noProof/>
          <w:color w:val="auto"/>
          <w:sz w:val="24"/>
          <w:szCs w:val="24"/>
        </w:rPr>
        <w:fldChar w:fldCharType="separate"/>
      </w:r>
      <w:r w:rsidR="00C342E2">
        <w:rPr>
          <w:rFonts w:asciiTheme="minorHAnsi" w:hAnsiTheme="minorHAnsi"/>
          <w:b w:val="0"/>
          <w:bCs w:val="0"/>
          <w:i/>
          <w:noProof/>
          <w:color w:val="auto"/>
          <w:sz w:val="24"/>
          <w:szCs w:val="24"/>
        </w:rPr>
        <w:t>36</w:t>
      </w:r>
      <w:r w:rsidRPr="00524EBF">
        <w:rPr>
          <w:rFonts w:asciiTheme="minorHAnsi" w:hAnsiTheme="minorHAnsi"/>
          <w:b w:val="0"/>
          <w:bCs w:val="0"/>
          <w:i/>
          <w:noProof/>
          <w:color w:val="auto"/>
          <w:sz w:val="24"/>
          <w:szCs w:val="24"/>
        </w:rPr>
        <w:fldChar w:fldCharType="end"/>
      </w:r>
      <w:r w:rsidRPr="00524EBF">
        <w:rPr>
          <w:rFonts w:asciiTheme="minorHAnsi" w:hAnsiTheme="minorHAnsi"/>
          <w:b w:val="0"/>
          <w:bCs w:val="0"/>
          <w:i/>
          <w:noProof/>
          <w:color w:val="auto"/>
          <w:sz w:val="24"/>
          <w:szCs w:val="24"/>
        </w:rPr>
        <w:t>: M</w:t>
      </w:r>
      <w:r w:rsidR="00AF49E0">
        <w:rPr>
          <w:rFonts w:asciiTheme="minorHAnsi" w:hAnsiTheme="minorHAnsi"/>
          <w:b w:val="0"/>
          <w:bCs w:val="0"/>
          <w:i/>
          <w:noProof/>
          <w:color w:val="auto"/>
          <w:sz w:val="24"/>
          <w:szCs w:val="24"/>
        </w:rPr>
        <w:t>brojtja</w:t>
      </w:r>
      <w:bookmarkEnd w:id="188"/>
    </w:p>
    <w:p w:rsidR="006308E8" w:rsidRPr="00D25385" w:rsidRDefault="006308E8" w:rsidP="00AF49E0">
      <w:pPr>
        <w:ind w:left="2880" w:firstLine="720"/>
        <w:jc w:val="right"/>
        <w:rPr>
          <w:rFonts w:asciiTheme="minorHAnsi" w:eastAsia="MS Mincho" w:hAnsiTheme="minorHAnsi"/>
          <w:i/>
          <w:color w:val="000000"/>
          <w:sz w:val="22"/>
          <w:lang w:val="sq-AL"/>
        </w:rPr>
      </w:pPr>
      <w:r w:rsidRPr="00D25385">
        <w:rPr>
          <w:rFonts w:asciiTheme="minorHAnsi" w:eastAsia="MS Mincho" w:hAnsiTheme="minorHAnsi"/>
          <w:i/>
          <w:color w:val="000000"/>
          <w:sz w:val="22"/>
          <w:lang w:val="sq-AL"/>
        </w:rPr>
        <w:t>Në mijë lekë</w:t>
      </w:r>
    </w:p>
    <w:tbl>
      <w:tblPr>
        <w:tblW w:w="9954" w:type="dxa"/>
        <w:jc w:val="center"/>
        <w:tblLook w:val="04A0" w:firstRow="1" w:lastRow="0" w:firstColumn="1" w:lastColumn="0" w:noHBand="0" w:noVBand="1"/>
      </w:tblPr>
      <w:tblGrid>
        <w:gridCol w:w="3775"/>
        <w:gridCol w:w="1095"/>
        <w:gridCol w:w="1013"/>
        <w:gridCol w:w="1012"/>
        <w:gridCol w:w="1012"/>
        <w:gridCol w:w="1045"/>
        <w:gridCol w:w="1002"/>
      </w:tblGrid>
      <w:tr w:rsidR="006308E8" w:rsidRPr="00BB7F2F" w:rsidTr="00D25385">
        <w:trPr>
          <w:trHeight w:val="282"/>
          <w:jc w:val="center"/>
        </w:trPr>
        <w:tc>
          <w:tcPr>
            <w:tcW w:w="3775" w:type="dxa"/>
            <w:vMerge w:val="restart"/>
            <w:tcBorders>
              <w:top w:val="single" w:sz="8" w:space="0" w:color="4BACC6"/>
              <w:left w:val="single" w:sz="8" w:space="0" w:color="4BACC6"/>
              <w:bottom w:val="single" w:sz="8" w:space="0" w:color="4BACC6"/>
              <w:right w:val="single" w:sz="8" w:space="0" w:color="4BACC6"/>
            </w:tcBorders>
            <w:shd w:val="clear" w:color="000000" w:fill="4BACC6"/>
            <w:vAlign w:val="center"/>
            <w:hideMark/>
          </w:tcPr>
          <w:p w:rsidR="006308E8" w:rsidRPr="00BB7F2F" w:rsidRDefault="006308E8" w:rsidP="00121650">
            <w:pPr>
              <w:spacing w:line="276" w:lineRule="auto"/>
              <w:jc w:val="center"/>
              <w:rPr>
                <w:rFonts w:asciiTheme="minorHAnsi" w:hAnsiTheme="minorHAnsi"/>
                <w:b/>
                <w:bCs/>
                <w:color w:val="FFFFFF"/>
                <w:sz w:val="18"/>
                <w:szCs w:val="18"/>
                <w:lang w:val="sq-AL"/>
              </w:rPr>
            </w:pPr>
            <w:r w:rsidRPr="00BB7F2F">
              <w:rPr>
                <w:rFonts w:asciiTheme="minorHAnsi" w:hAnsiTheme="minorHAnsi"/>
                <w:b/>
                <w:bCs/>
                <w:color w:val="FFFFFF"/>
                <w:sz w:val="18"/>
                <w:szCs w:val="18"/>
                <w:lang w:val="sq-AL"/>
              </w:rPr>
              <w:t>Emërtimi i Programit</w:t>
            </w:r>
          </w:p>
        </w:tc>
        <w:tc>
          <w:tcPr>
            <w:tcW w:w="2108" w:type="dxa"/>
            <w:gridSpan w:val="2"/>
            <w:tcBorders>
              <w:top w:val="single" w:sz="8" w:space="0" w:color="4BACC6"/>
              <w:left w:val="nil"/>
              <w:bottom w:val="single" w:sz="8" w:space="0" w:color="4BACC6"/>
              <w:right w:val="single" w:sz="8" w:space="0" w:color="4BACC6"/>
            </w:tcBorders>
            <w:shd w:val="clear" w:color="000000" w:fill="4BACC6"/>
            <w:vAlign w:val="center"/>
            <w:hideMark/>
          </w:tcPr>
          <w:p w:rsidR="006308E8" w:rsidRPr="00BB7F2F" w:rsidRDefault="006308E8" w:rsidP="00121650">
            <w:pPr>
              <w:spacing w:line="276" w:lineRule="auto"/>
              <w:jc w:val="center"/>
              <w:rPr>
                <w:rFonts w:asciiTheme="minorHAnsi" w:hAnsiTheme="minorHAnsi"/>
                <w:b/>
                <w:bCs/>
                <w:color w:val="FFFFFF"/>
                <w:sz w:val="18"/>
                <w:szCs w:val="18"/>
                <w:lang w:val="sq-AL"/>
              </w:rPr>
            </w:pPr>
            <w:r w:rsidRPr="00BB7F2F">
              <w:rPr>
                <w:rFonts w:asciiTheme="minorHAnsi" w:hAnsiTheme="minorHAnsi"/>
                <w:b/>
                <w:bCs/>
                <w:color w:val="FFFFFF"/>
                <w:sz w:val="18"/>
                <w:szCs w:val="18"/>
                <w:lang w:val="sq-AL"/>
              </w:rPr>
              <w:t>Plani 2020</w:t>
            </w:r>
          </w:p>
        </w:tc>
        <w:tc>
          <w:tcPr>
            <w:tcW w:w="2024" w:type="dxa"/>
            <w:gridSpan w:val="2"/>
            <w:tcBorders>
              <w:top w:val="single" w:sz="8" w:space="0" w:color="4BACC6"/>
              <w:left w:val="nil"/>
              <w:bottom w:val="single" w:sz="8" w:space="0" w:color="4BACC6"/>
              <w:right w:val="single" w:sz="8" w:space="0" w:color="4BACC6"/>
            </w:tcBorders>
            <w:shd w:val="clear" w:color="000000" w:fill="4BACC6"/>
            <w:vAlign w:val="center"/>
            <w:hideMark/>
          </w:tcPr>
          <w:p w:rsidR="006308E8" w:rsidRPr="00BB7F2F" w:rsidRDefault="006308E8" w:rsidP="00121650">
            <w:pPr>
              <w:spacing w:line="276" w:lineRule="auto"/>
              <w:jc w:val="center"/>
              <w:rPr>
                <w:rFonts w:asciiTheme="minorHAnsi" w:hAnsiTheme="minorHAnsi"/>
                <w:b/>
                <w:bCs/>
                <w:color w:val="FFFFFF"/>
                <w:sz w:val="18"/>
                <w:szCs w:val="18"/>
                <w:lang w:val="sq-AL"/>
              </w:rPr>
            </w:pPr>
            <w:r w:rsidRPr="00BB7F2F">
              <w:rPr>
                <w:rFonts w:asciiTheme="minorHAnsi" w:hAnsiTheme="minorHAnsi"/>
                <w:b/>
                <w:bCs/>
                <w:color w:val="FFFFFF"/>
                <w:sz w:val="18"/>
                <w:szCs w:val="18"/>
                <w:lang w:val="sq-AL"/>
              </w:rPr>
              <w:t>Fakti 4 mujor</w:t>
            </w:r>
          </w:p>
        </w:tc>
        <w:tc>
          <w:tcPr>
            <w:tcW w:w="2047" w:type="dxa"/>
            <w:gridSpan w:val="2"/>
            <w:tcBorders>
              <w:top w:val="single" w:sz="8" w:space="0" w:color="4BACC6"/>
              <w:left w:val="nil"/>
              <w:bottom w:val="single" w:sz="8" w:space="0" w:color="4BACC6"/>
              <w:right w:val="single" w:sz="8" w:space="0" w:color="4BACC6"/>
            </w:tcBorders>
            <w:shd w:val="clear" w:color="000000" w:fill="4BACC6"/>
            <w:vAlign w:val="center"/>
            <w:hideMark/>
          </w:tcPr>
          <w:p w:rsidR="006308E8" w:rsidRPr="00BB7F2F" w:rsidRDefault="006308E8" w:rsidP="00121650">
            <w:pPr>
              <w:spacing w:line="276" w:lineRule="auto"/>
              <w:jc w:val="center"/>
              <w:rPr>
                <w:rFonts w:asciiTheme="minorHAnsi" w:hAnsiTheme="minorHAnsi"/>
                <w:b/>
                <w:bCs/>
                <w:color w:val="FFFFFF"/>
                <w:sz w:val="18"/>
                <w:szCs w:val="18"/>
                <w:lang w:val="sq-AL"/>
              </w:rPr>
            </w:pPr>
            <w:r w:rsidRPr="00BB7F2F">
              <w:rPr>
                <w:rFonts w:asciiTheme="minorHAnsi" w:hAnsiTheme="minorHAnsi"/>
                <w:b/>
                <w:bCs/>
                <w:color w:val="FFFFFF"/>
                <w:sz w:val="18"/>
                <w:szCs w:val="18"/>
                <w:lang w:val="sq-AL"/>
              </w:rPr>
              <w:t>Përqindja  e realizimit</w:t>
            </w:r>
          </w:p>
        </w:tc>
      </w:tr>
      <w:tr w:rsidR="006308E8" w:rsidRPr="00BB7F2F" w:rsidTr="00D25385">
        <w:trPr>
          <w:trHeight w:val="282"/>
          <w:jc w:val="center"/>
        </w:trPr>
        <w:tc>
          <w:tcPr>
            <w:tcW w:w="3775" w:type="dxa"/>
            <w:vMerge/>
            <w:tcBorders>
              <w:top w:val="single" w:sz="8" w:space="0" w:color="4BACC6"/>
              <w:left w:val="single" w:sz="8" w:space="0" w:color="4BACC6"/>
              <w:bottom w:val="single" w:sz="8" w:space="0" w:color="4BACC6"/>
              <w:right w:val="single" w:sz="8" w:space="0" w:color="4BACC6"/>
            </w:tcBorders>
            <w:vAlign w:val="center"/>
            <w:hideMark/>
          </w:tcPr>
          <w:p w:rsidR="006308E8" w:rsidRPr="00BB7F2F" w:rsidRDefault="006308E8" w:rsidP="00121650">
            <w:pPr>
              <w:spacing w:line="276" w:lineRule="auto"/>
              <w:rPr>
                <w:rFonts w:asciiTheme="minorHAnsi" w:hAnsiTheme="minorHAnsi"/>
                <w:b/>
                <w:bCs/>
                <w:color w:val="FFFFFF"/>
                <w:sz w:val="18"/>
                <w:szCs w:val="18"/>
                <w:lang w:val="sq-AL"/>
              </w:rPr>
            </w:pPr>
          </w:p>
        </w:tc>
        <w:tc>
          <w:tcPr>
            <w:tcW w:w="1095" w:type="dxa"/>
            <w:tcBorders>
              <w:top w:val="nil"/>
              <w:left w:val="nil"/>
              <w:bottom w:val="single" w:sz="8" w:space="0" w:color="4BACC6"/>
              <w:right w:val="single" w:sz="8" w:space="0" w:color="4BACC6"/>
            </w:tcBorders>
            <w:shd w:val="clear" w:color="auto" w:fill="auto"/>
            <w:vAlign w:val="center"/>
            <w:hideMark/>
          </w:tcPr>
          <w:p w:rsidR="006308E8" w:rsidRPr="00BB7F2F" w:rsidRDefault="006308E8" w:rsidP="00121650">
            <w:pPr>
              <w:spacing w:line="276" w:lineRule="auto"/>
              <w:jc w:val="center"/>
              <w:rPr>
                <w:rFonts w:asciiTheme="minorHAnsi" w:hAnsiTheme="minorHAnsi"/>
                <w:color w:val="000000"/>
                <w:sz w:val="18"/>
                <w:szCs w:val="18"/>
                <w:lang w:val="sq-AL"/>
              </w:rPr>
            </w:pPr>
            <w:r w:rsidRPr="00BB7F2F">
              <w:rPr>
                <w:rFonts w:asciiTheme="minorHAnsi" w:hAnsiTheme="minorHAnsi"/>
                <w:color w:val="000000"/>
                <w:sz w:val="18"/>
                <w:szCs w:val="18"/>
                <w:lang w:val="sq-AL"/>
              </w:rPr>
              <w:t>Korrente</w:t>
            </w:r>
          </w:p>
        </w:tc>
        <w:tc>
          <w:tcPr>
            <w:tcW w:w="1012" w:type="dxa"/>
            <w:tcBorders>
              <w:top w:val="nil"/>
              <w:left w:val="nil"/>
              <w:bottom w:val="single" w:sz="8" w:space="0" w:color="4BACC6"/>
              <w:right w:val="single" w:sz="8" w:space="0" w:color="4BACC6"/>
            </w:tcBorders>
            <w:shd w:val="clear" w:color="auto" w:fill="auto"/>
            <w:vAlign w:val="center"/>
            <w:hideMark/>
          </w:tcPr>
          <w:p w:rsidR="006308E8" w:rsidRPr="00BB7F2F" w:rsidRDefault="006308E8" w:rsidP="00121650">
            <w:pPr>
              <w:spacing w:line="276" w:lineRule="auto"/>
              <w:jc w:val="center"/>
              <w:rPr>
                <w:rFonts w:asciiTheme="minorHAnsi" w:hAnsiTheme="minorHAnsi"/>
                <w:color w:val="000000"/>
                <w:sz w:val="18"/>
                <w:szCs w:val="18"/>
                <w:lang w:val="sq-AL"/>
              </w:rPr>
            </w:pPr>
            <w:r w:rsidRPr="00BB7F2F">
              <w:rPr>
                <w:rFonts w:asciiTheme="minorHAnsi" w:hAnsiTheme="minorHAnsi"/>
                <w:color w:val="000000"/>
                <w:sz w:val="18"/>
                <w:szCs w:val="18"/>
                <w:lang w:val="sq-AL"/>
              </w:rPr>
              <w:t>Investime</w:t>
            </w:r>
          </w:p>
        </w:tc>
        <w:tc>
          <w:tcPr>
            <w:tcW w:w="1012" w:type="dxa"/>
            <w:tcBorders>
              <w:top w:val="nil"/>
              <w:left w:val="nil"/>
              <w:bottom w:val="single" w:sz="8" w:space="0" w:color="4BACC6"/>
              <w:right w:val="single" w:sz="8" w:space="0" w:color="4BACC6"/>
            </w:tcBorders>
            <w:shd w:val="clear" w:color="auto" w:fill="auto"/>
            <w:vAlign w:val="center"/>
            <w:hideMark/>
          </w:tcPr>
          <w:p w:rsidR="006308E8" w:rsidRPr="00BB7F2F" w:rsidRDefault="006308E8" w:rsidP="00121650">
            <w:pPr>
              <w:spacing w:line="276" w:lineRule="auto"/>
              <w:jc w:val="center"/>
              <w:rPr>
                <w:rFonts w:asciiTheme="minorHAnsi" w:hAnsiTheme="minorHAnsi"/>
                <w:color w:val="000000"/>
                <w:sz w:val="18"/>
                <w:szCs w:val="18"/>
                <w:lang w:val="sq-AL"/>
              </w:rPr>
            </w:pPr>
            <w:r w:rsidRPr="00BB7F2F">
              <w:rPr>
                <w:rFonts w:asciiTheme="minorHAnsi" w:hAnsiTheme="minorHAnsi"/>
                <w:color w:val="000000"/>
                <w:sz w:val="18"/>
                <w:szCs w:val="18"/>
                <w:lang w:val="sq-AL"/>
              </w:rPr>
              <w:t>Korrente</w:t>
            </w:r>
          </w:p>
        </w:tc>
        <w:tc>
          <w:tcPr>
            <w:tcW w:w="1012" w:type="dxa"/>
            <w:tcBorders>
              <w:top w:val="nil"/>
              <w:left w:val="nil"/>
              <w:bottom w:val="single" w:sz="8" w:space="0" w:color="4BACC6"/>
              <w:right w:val="single" w:sz="8" w:space="0" w:color="4BACC6"/>
            </w:tcBorders>
            <w:shd w:val="clear" w:color="auto" w:fill="auto"/>
            <w:vAlign w:val="center"/>
            <w:hideMark/>
          </w:tcPr>
          <w:p w:rsidR="006308E8" w:rsidRPr="00BB7F2F" w:rsidRDefault="006308E8" w:rsidP="00121650">
            <w:pPr>
              <w:spacing w:line="276" w:lineRule="auto"/>
              <w:jc w:val="center"/>
              <w:rPr>
                <w:rFonts w:asciiTheme="minorHAnsi" w:hAnsiTheme="minorHAnsi"/>
                <w:color w:val="000000"/>
                <w:sz w:val="18"/>
                <w:szCs w:val="18"/>
                <w:lang w:val="sq-AL"/>
              </w:rPr>
            </w:pPr>
            <w:r w:rsidRPr="00BB7F2F">
              <w:rPr>
                <w:rFonts w:asciiTheme="minorHAnsi" w:hAnsiTheme="minorHAnsi"/>
                <w:color w:val="000000"/>
                <w:sz w:val="18"/>
                <w:szCs w:val="18"/>
                <w:lang w:val="sq-AL"/>
              </w:rPr>
              <w:t>Investime</w:t>
            </w:r>
          </w:p>
        </w:tc>
        <w:tc>
          <w:tcPr>
            <w:tcW w:w="1045" w:type="dxa"/>
            <w:tcBorders>
              <w:top w:val="nil"/>
              <w:left w:val="nil"/>
              <w:bottom w:val="single" w:sz="8" w:space="0" w:color="4BACC6"/>
              <w:right w:val="single" w:sz="8" w:space="0" w:color="4BACC6"/>
            </w:tcBorders>
            <w:shd w:val="clear" w:color="auto" w:fill="auto"/>
            <w:vAlign w:val="center"/>
            <w:hideMark/>
          </w:tcPr>
          <w:p w:rsidR="006308E8" w:rsidRPr="00BB7F2F" w:rsidRDefault="006308E8" w:rsidP="00121650">
            <w:pPr>
              <w:spacing w:line="276" w:lineRule="auto"/>
              <w:jc w:val="center"/>
              <w:rPr>
                <w:rFonts w:asciiTheme="minorHAnsi" w:hAnsiTheme="minorHAnsi"/>
                <w:color w:val="000000"/>
                <w:sz w:val="18"/>
                <w:szCs w:val="18"/>
                <w:lang w:val="sq-AL"/>
              </w:rPr>
            </w:pPr>
            <w:r w:rsidRPr="00BB7F2F">
              <w:rPr>
                <w:rFonts w:asciiTheme="minorHAnsi" w:hAnsiTheme="minorHAnsi"/>
                <w:color w:val="000000"/>
                <w:sz w:val="18"/>
                <w:szCs w:val="18"/>
                <w:lang w:val="sq-AL"/>
              </w:rPr>
              <w:t>Korrente</w:t>
            </w:r>
          </w:p>
        </w:tc>
        <w:tc>
          <w:tcPr>
            <w:tcW w:w="1001" w:type="dxa"/>
            <w:tcBorders>
              <w:top w:val="nil"/>
              <w:left w:val="nil"/>
              <w:bottom w:val="single" w:sz="8" w:space="0" w:color="4BACC6"/>
              <w:right w:val="single" w:sz="8" w:space="0" w:color="4BACC6"/>
            </w:tcBorders>
            <w:shd w:val="clear" w:color="auto" w:fill="auto"/>
            <w:vAlign w:val="center"/>
            <w:hideMark/>
          </w:tcPr>
          <w:p w:rsidR="006308E8" w:rsidRPr="00BB7F2F" w:rsidRDefault="006308E8" w:rsidP="00121650">
            <w:pPr>
              <w:spacing w:line="276" w:lineRule="auto"/>
              <w:jc w:val="center"/>
              <w:rPr>
                <w:rFonts w:asciiTheme="minorHAnsi" w:hAnsiTheme="minorHAnsi"/>
                <w:color w:val="000000"/>
                <w:sz w:val="18"/>
                <w:szCs w:val="18"/>
                <w:lang w:val="sq-AL"/>
              </w:rPr>
            </w:pPr>
            <w:r w:rsidRPr="00BB7F2F">
              <w:rPr>
                <w:rFonts w:asciiTheme="minorHAnsi" w:hAnsiTheme="minorHAnsi"/>
                <w:color w:val="000000"/>
                <w:sz w:val="18"/>
                <w:szCs w:val="18"/>
                <w:lang w:val="sq-AL"/>
              </w:rPr>
              <w:t>Investime</w:t>
            </w:r>
          </w:p>
        </w:tc>
      </w:tr>
      <w:tr w:rsidR="006308E8" w:rsidRPr="00BB7F2F" w:rsidTr="00D25385">
        <w:trPr>
          <w:trHeight w:val="282"/>
          <w:jc w:val="center"/>
        </w:trPr>
        <w:tc>
          <w:tcPr>
            <w:tcW w:w="3775" w:type="dxa"/>
            <w:tcBorders>
              <w:top w:val="nil"/>
              <w:left w:val="single" w:sz="8" w:space="0" w:color="4BACC6"/>
              <w:bottom w:val="single" w:sz="8" w:space="0" w:color="4BACC6"/>
              <w:right w:val="single" w:sz="8" w:space="0" w:color="4BACC6"/>
            </w:tcBorders>
            <w:shd w:val="clear" w:color="000000" w:fill="FFFFFF"/>
            <w:noWrap/>
            <w:vAlign w:val="center"/>
            <w:hideMark/>
          </w:tcPr>
          <w:p w:rsidR="006308E8" w:rsidRPr="00BB7F2F" w:rsidRDefault="006308E8" w:rsidP="00121650">
            <w:pPr>
              <w:spacing w:line="276" w:lineRule="auto"/>
              <w:rPr>
                <w:rFonts w:asciiTheme="minorHAnsi" w:hAnsiTheme="minorHAnsi"/>
                <w:color w:val="000000"/>
                <w:sz w:val="18"/>
                <w:szCs w:val="18"/>
                <w:lang w:val="sq-AL"/>
              </w:rPr>
            </w:pPr>
            <w:r w:rsidRPr="00BB7F2F">
              <w:rPr>
                <w:rFonts w:asciiTheme="minorHAnsi" w:hAnsiTheme="minorHAnsi"/>
                <w:color w:val="000000"/>
                <w:sz w:val="18"/>
                <w:szCs w:val="18"/>
                <w:lang w:val="sq-AL"/>
              </w:rPr>
              <w:t>Planifikimi, Menaxhimi dhe Administrimi</w:t>
            </w:r>
          </w:p>
        </w:tc>
        <w:tc>
          <w:tcPr>
            <w:tcW w:w="1095" w:type="dxa"/>
            <w:tcBorders>
              <w:top w:val="nil"/>
              <w:left w:val="nil"/>
              <w:bottom w:val="single" w:sz="8" w:space="0" w:color="4BACC6"/>
              <w:right w:val="single" w:sz="8" w:space="0" w:color="4BACC6"/>
            </w:tcBorders>
            <w:shd w:val="clear" w:color="auto" w:fill="auto"/>
            <w:noWrap/>
            <w:vAlign w:val="center"/>
            <w:hideMark/>
          </w:tcPr>
          <w:p w:rsidR="006308E8" w:rsidRPr="00BB7F2F" w:rsidRDefault="006308E8" w:rsidP="00121650">
            <w:pPr>
              <w:spacing w:line="276" w:lineRule="auto"/>
              <w:jc w:val="center"/>
              <w:rPr>
                <w:rFonts w:asciiTheme="minorHAnsi" w:hAnsiTheme="minorHAnsi"/>
                <w:color w:val="000000"/>
                <w:sz w:val="18"/>
                <w:szCs w:val="18"/>
                <w:lang w:val="sq-AL"/>
              </w:rPr>
            </w:pPr>
            <w:r w:rsidRPr="00BB7F2F">
              <w:rPr>
                <w:rFonts w:asciiTheme="minorHAnsi" w:hAnsiTheme="minorHAnsi"/>
                <w:color w:val="000000"/>
                <w:sz w:val="18"/>
                <w:szCs w:val="18"/>
                <w:lang w:val="sq-AL"/>
              </w:rPr>
              <w:t>1,191,233</w:t>
            </w:r>
          </w:p>
        </w:tc>
        <w:tc>
          <w:tcPr>
            <w:tcW w:w="1012" w:type="dxa"/>
            <w:tcBorders>
              <w:top w:val="nil"/>
              <w:left w:val="nil"/>
              <w:bottom w:val="single" w:sz="8" w:space="0" w:color="4BACC6"/>
              <w:right w:val="single" w:sz="8" w:space="0" w:color="4BACC6"/>
            </w:tcBorders>
            <w:shd w:val="clear" w:color="auto" w:fill="auto"/>
            <w:noWrap/>
            <w:vAlign w:val="center"/>
            <w:hideMark/>
          </w:tcPr>
          <w:p w:rsidR="006308E8" w:rsidRPr="00BB7F2F" w:rsidRDefault="006308E8" w:rsidP="00121650">
            <w:pPr>
              <w:spacing w:line="276" w:lineRule="auto"/>
              <w:jc w:val="center"/>
              <w:rPr>
                <w:rFonts w:asciiTheme="minorHAnsi" w:hAnsiTheme="minorHAnsi"/>
                <w:color w:val="000000"/>
                <w:sz w:val="18"/>
                <w:szCs w:val="18"/>
                <w:lang w:val="sq-AL"/>
              </w:rPr>
            </w:pPr>
            <w:r w:rsidRPr="00BB7F2F">
              <w:rPr>
                <w:rFonts w:asciiTheme="minorHAnsi" w:hAnsiTheme="minorHAnsi"/>
                <w:color w:val="000000"/>
                <w:sz w:val="18"/>
                <w:szCs w:val="18"/>
                <w:lang w:val="sq-AL"/>
              </w:rPr>
              <w:t>20,000</w:t>
            </w:r>
          </w:p>
        </w:tc>
        <w:tc>
          <w:tcPr>
            <w:tcW w:w="1012" w:type="dxa"/>
            <w:tcBorders>
              <w:top w:val="nil"/>
              <w:left w:val="nil"/>
              <w:bottom w:val="single" w:sz="8" w:space="0" w:color="4BACC6"/>
              <w:right w:val="single" w:sz="8" w:space="0" w:color="4BACC6"/>
            </w:tcBorders>
            <w:shd w:val="clear" w:color="auto" w:fill="auto"/>
            <w:noWrap/>
            <w:vAlign w:val="center"/>
            <w:hideMark/>
          </w:tcPr>
          <w:p w:rsidR="006308E8" w:rsidRPr="00BB7F2F" w:rsidRDefault="006308E8" w:rsidP="00121650">
            <w:pPr>
              <w:spacing w:line="276" w:lineRule="auto"/>
              <w:jc w:val="center"/>
              <w:rPr>
                <w:rFonts w:asciiTheme="minorHAnsi" w:hAnsiTheme="minorHAnsi"/>
                <w:color w:val="000000"/>
                <w:sz w:val="18"/>
                <w:szCs w:val="18"/>
                <w:lang w:val="sq-AL"/>
              </w:rPr>
            </w:pPr>
            <w:r w:rsidRPr="00BB7F2F">
              <w:rPr>
                <w:rFonts w:asciiTheme="minorHAnsi" w:hAnsiTheme="minorHAnsi"/>
                <w:color w:val="000000"/>
                <w:sz w:val="18"/>
                <w:szCs w:val="18"/>
                <w:lang w:val="sq-AL"/>
              </w:rPr>
              <w:t>407,882</w:t>
            </w:r>
          </w:p>
        </w:tc>
        <w:tc>
          <w:tcPr>
            <w:tcW w:w="1012" w:type="dxa"/>
            <w:tcBorders>
              <w:top w:val="nil"/>
              <w:left w:val="nil"/>
              <w:bottom w:val="single" w:sz="8" w:space="0" w:color="4BACC6"/>
              <w:right w:val="single" w:sz="8" w:space="0" w:color="4BACC6"/>
            </w:tcBorders>
            <w:shd w:val="clear" w:color="auto" w:fill="auto"/>
            <w:noWrap/>
            <w:vAlign w:val="center"/>
            <w:hideMark/>
          </w:tcPr>
          <w:p w:rsidR="006308E8" w:rsidRPr="00BB7F2F" w:rsidRDefault="006308E8" w:rsidP="00121650">
            <w:pPr>
              <w:spacing w:line="276" w:lineRule="auto"/>
              <w:jc w:val="center"/>
              <w:rPr>
                <w:rFonts w:asciiTheme="minorHAnsi" w:hAnsiTheme="minorHAnsi"/>
                <w:color w:val="000000"/>
                <w:sz w:val="18"/>
                <w:szCs w:val="18"/>
                <w:lang w:val="sq-AL"/>
              </w:rPr>
            </w:pPr>
            <w:r w:rsidRPr="00BB7F2F">
              <w:rPr>
                <w:rFonts w:asciiTheme="minorHAnsi" w:hAnsiTheme="minorHAnsi"/>
                <w:color w:val="000000"/>
                <w:sz w:val="18"/>
                <w:szCs w:val="18"/>
                <w:lang w:val="sq-AL"/>
              </w:rPr>
              <w:t>0</w:t>
            </w:r>
          </w:p>
        </w:tc>
        <w:tc>
          <w:tcPr>
            <w:tcW w:w="1045" w:type="dxa"/>
            <w:tcBorders>
              <w:top w:val="nil"/>
              <w:left w:val="nil"/>
              <w:bottom w:val="single" w:sz="8" w:space="0" w:color="4BACC6"/>
              <w:right w:val="single" w:sz="8" w:space="0" w:color="4BACC6"/>
            </w:tcBorders>
            <w:shd w:val="clear" w:color="auto" w:fill="auto"/>
            <w:vAlign w:val="center"/>
            <w:hideMark/>
          </w:tcPr>
          <w:p w:rsidR="006308E8" w:rsidRPr="00BB7F2F" w:rsidRDefault="006308E8" w:rsidP="00121650">
            <w:pPr>
              <w:spacing w:line="276" w:lineRule="auto"/>
              <w:jc w:val="center"/>
              <w:rPr>
                <w:rFonts w:asciiTheme="minorHAnsi" w:hAnsiTheme="minorHAnsi"/>
                <w:color w:val="000000"/>
                <w:sz w:val="18"/>
                <w:szCs w:val="18"/>
                <w:lang w:val="sq-AL"/>
              </w:rPr>
            </w:pPr>
            <w:r w:rsidRPr="00BB7F2F">
              <w:rPr>
                <w:rFonts w:asciiTheme="minorHAnsi" w:eastAsia="MS Mincho" w:hAnsiTheme="minorHAnsi"/>
                <w:color w:val="000000"/>
                <w:sz w:val="18"/>
                <w:szCs w:val="18"/>
                <w:lang w:val="sq-AL"/>
              </w:rPr>
              <w:t>34.2%</w:t>
            </w:r>
          </w:p>
        </w:tc>
        <w:tc>
          <w:tcPr>
            <w:tcW w:w="1001" w:type="dxa"/>
            <w:tcBorders>
              <w:top w:val="nil"/>
              <w:left w:val="nil"/>
              <w:bottom w:val="single" w:sz="8" w:space="0" w:color="4BACC6"/>
              <w:right w:val="single" w:sz="8" w:space="0" w:color="4BACC6"/>
            </w:tcBorders>
            <w:shd w:val="clear" w:color="auto" w:fill="auto"/>
            <w:vAlign w:val="center"/>
            <w:hideMark/>
          </w:tcPr>
          <w:p w:rsidR="006308E8" w:rsidRPr="00BB7F2F" w:rsidRDefault="006308E8" w:rsidP="00121650">
            <w:pPr>
              <w:spacing w:line="276" w:lineRule="auto"/>
              <w:jc w:val="center"/>
              <w:rPr>
                <w:rFonts w:asciiTheme="minorHAnsi" w:hAnsiTheme="minorHAnsi"/>
                <w:color w:val="000000"/>
                <w:sz w:val="18"/>
                <w:szCs w:val="18"/>
                <w:lang w:val="sq-AL"/>
              </w:rPr>
            </w:pPr>
            <w:r w:rsidRPr="00BB7F2F">
              <w:rPr>
                <w:rFonts w:asciiTheme="minorHAnsi" w:eastAsia="MS Mincho" w:hAnsiTheme="minorHAnsi"/>
                <w:color w:val="000000"/>
                <w:sz w:val="18"/>
                <w:szCs w:val="18"/>
                <w:lang w:val="sq-AL"/>
              </w:rPr>
              <w:t>0.0%</w:t>
            </w:r>
          </w:p>
        </w:tc>
      </w:tr>
      <w:tr w:rsidR="006308E8" w:rsidRPr="00BB7F2F" w:rsidTr="00D25385">
        <w:trPr>
          <w:trHeight w:val="282"/>
          <w:jc w:val="center"/>
        </w:trPr>
        <w:tc>
          <w:tcPr>
            <w:tcW w:w="3775" w:type="dxa"/>
            <w:tcBorders>
              <w:top w:val="nil"/>
              <w:left w:val="single" w:sz="8" w:space="0" w:color="4BACC6"/>
              <w:bottom w:val="single" w:sz="8" w:space="0" w:color="4BACC6"/>
              <w:right w:val="single" w:sz="8" w:space="0" w:color="4BACC6"/>
            </w:tcBorders>
            <w:shd w:val="clear" w:color="000000" w:fill="FFFFFF"/>
            <w:noWrap/>
            <w:vAlign w:val="center"/>
            <w:hideMark/>
          </w:tcPr>
          <w:p w:rsidR="006308E8" w:rsidRPr="00BB7F2F" w:rsidRDefault="006308E8" w:rsidP="00121650">
            <w:pPr>
              <w:spacing w:line="276" w:lineRule="auto"/>
              <w:rPr>
                <w:rFonts w:asciiTheme="minorHAnsi" w:hAnsiTheme="minorHAnsi"/>
                <w:color w:val="000000"/>
                <w:sz w:val="18"/>
                <w:szCs w:val="18"/>
                <w:lang w:val="sq-AL"/>
              </w:rPr>
            </w:pPr>
            <w:r w:rsidRPr="00BB7F2F">
              <w:rPr>
                <w:rFonts w:asciiTheme="minorHAnsi" w:hAnsiTheme="minorHAnsi"/>
                <w:color w:val="000000"/>
                <w:sz w:val="18"/>
                <w:szCs w:val="18"/>
                <w:lang w:val="sq-AL"/>
              </w:rPr>
              <w:t>Forcat e Luftimit</w:t>
            </w:r>
          </w:p>
        </w:tc>
        <w:tc>
          <w:tcPr>
            <w:tcW w:w="1095" w:type="dxa"/>
            <w:tcBorders>
              <w:top w:val="nil"/>
              <w:left w:val="nil"/>
              <w:bottom w:val="single" w:sz="8" w:space="0" w:color="4BACC6"/>
              <w:right w:val="single" w:sz="8" w:space="0" w:color="4BACC6"/>
            </w:tcBorders>
            <w:shd w:val="clear" w:color="auto" w:fill="auto"/>
            <w:noWrap/>
            <w:vAlign w:val="center"/>
            <w:hideMark/>
          </w:tcPr>
          <w:p w:rsidR="006308E8" w:rsidRPr="00BB7F2F" w:rsidRDefault="006308E8" w:rsidP="00121650">
            <w:pPr>
              <w:spacing w:line="276" w:lineRule="auto"/>
              <w:jc w:val="center"/>
              <w:rPr>
                <w:rFonts w:asciiTheme="minorHAnsi" w:hAnsiTheme="minorHAnsi"/>
                <w:color w:val="000000"/>
                <w:sz w:val="18"/>
                <w:szCs w:val="18"/>
                <w:lang w:val="sq-AL"/>
              </w:rPr>
            </w:pPr>
            <w:r w:rsidRPr="00BB7F2F">
              <w:rPr>
                <w:rFonts w:asciiTheme="minorHAnsi" w:hAnsiTheme="minorHAnsi"/>
                <w:color w:val="000000"/>
                <w:sz w:val="18"/>
                <w:szCs w:val="18"/>
                <w:lang w:val="sq-AL"/>
              </w:rPr>
              <w:t>5,628,093</w:t>
            </w:r>
          </w:p>
        </w:tc>
        <w:tc>
          <w:tcPr>
            <w:tcW w:w="1012" w:type="dxa"/>
            <w:tcBorders>
              <w:top w:val="nil"/>
              <w:left w:val="nil"/>
              <w:bottom w:val="single" w:sz="8" w:space="0" w:color="4BACC6"/>
              <w:right w:val="single" w:sz="8" w:space="0" w:color="4BACC6"/>
            </w:tcBorders>
            <w:shd w:val="clear" w:color="auto" w:fill="auto"/>
            <w:noWrap/>
            <w:vAlign w:val="center"/>
            <w:hideMark/>
          </w:tcPr>
          <w:p w:rsidR="006308E8" w:rsidRPr="00BB7F2F" w:rsidRDefault="006308E8" w:rsidP="00121650">
            <w:pPr>
              <w:spacing w:line="276" w:lineRule="auto"/>
              <w:jc w:val="center"/>
              <w:rPr>
                <w:rFonts w:asciiTheme="minorHAnsi" w:hAnsiTheme="minorHAnsi"/>
                <w:color w:val="000000"/>
                <w:sz w:val="18"/>
                <w:szCs w:val="18"/>
                <w:lang w:val="sq-AL"/>
              </w:rPr>
            </w:pPr>
            <w:r w:rsidRPr="00BB7F2F">
              <w:rPr>
                <w:rFonts w:asciiTheme="minorHAnsi" w:hAnsiTheme="minorHAnsi"/>
                <w:color w:val="000000"/>
                <w:sz w:val="18"/>
                <w:szCs w:val="18"/>
                <w:lang w:val="sq-AL"/>
              </w:rPr>
              <w:t>2,231,264</w:t>
            </w:r>
          </w:p>
        </w:tc>
        <w:tc>
          <w:tcPr>
            <w:tcW w:w="1012" w:type="dxa"/>
            <w:tcBorders>
              <w:top w:val="nil"/>
              <w:left w:val="nil"/>
              <w:bottom w:val="single" w:sz="8" w:space="0" w:color="4BACC6"/>
              <w:right w:val="single" w:sz="8" w:space="0" w:color="4BACC6"/>
            </w:tcBorders>
            <w:shd w:val="clear" w:color="auto" w:fill="auto"/>
            <w:noWrap/>
            <w:vAlign w:val="center"/>
            <w:hideMark/>
          </w:tcPr>
          <w:p w:rsidR="006308E8" w:rsidRPr="00BB7F2F" w:rsidRDefault="006308E8" w:rsidP="00121650">
            <w:pPr>
              <w:spacing w:line="276" w:lineRule="auto"/>
              <w:jc w:val="center"/>
              <w:rPr>
                <w:rFonts w:asciiTheme="minorHAnsi" w:hAnsiTheme="minorHAnsi"/>
                <w:color w:val="000000"/>
                <w:sz w:val="18"/>
                <w:szCs w:val="18"/>
                <w:lang w:val="sq-AL"/>
              </w:rPr>
            </w:pPr>
            <w:r w:rsidRPr="00BB7F2F">
              <w:rPr>
                <w:rFonts w:asciiTheme="minorHAnsi" w:hAnsiTheme="minorHAnsi"/>
                <w:color w:val="000000"/>
                <w:sz w:val="18"/>
                <w:szCs w:val="18"/>
                <w:lang w:val="sq-AL"/>
              </w:rPr>
              <w:t>1,309,418</w:t>
            </w:r>
          </w:p>
        </w:tc>
        <w:tc>
          <w:tcPr>
            <w:tcW w:w="1012" w:type="dxa"/>
            <w:tcBorders>
              <w:top w:val="nil"/>
              <w:left w:val="nil"/>
              <w:bottom w:val="single" w:sz="8" w:space="0" w:color="4BACC6"/>
              <w:right w:val="single" w:sz="8" w:space="0" w:color="4BACC6"/>
            </w:tcBorders>
            <w:shd w:val="clear" w:color="auto" w:fill="auto"/>
            <w:noWrap/>
            <w:vAlign w:val="center"/>
            <w:hideMark/>
          </w:tcPr>
          <w:p w:rsidR="006308E8" w:rsidRPr="00BB7F2F" w:rsidRDefault="006308E8" w:rsidP="00121650">
            <w:pPr>
              <w:spacing w:line="276" w:lineRule="auto"/>
              <w:jc w:val="center"/>
              <w:rPr>
                <w:rFonts w:asciiTheme="minorHAnsi" w:hAnsiTheme="minorHAnsi"/>
                <w:color w:val="000000"/>
                <w:sz w:val="18"/>
                <w:szCs w:val="18"/>
                <w:lang w:val="sq-AL"/>
              </w:rPr>
            </w:pPr>
            <w:r w:rsidRPr="00BB7F2F">
              <w:rPr>
                <w:rFonts w:asciiTheme="minorHAnsi" w:hAnsiTheme="minorHAnsi"/>
                <w:color w:val="000000"/>
                <w:sz w:val="18"/>
                <w:szCs w:val="18"/>
                <w:lang w:val="sq-AL"/>
              </w:rPr>
              <w:t>88,454</w:t>
            </w:r>
          </w:p>
        </w:tc>
        <w:tc>
          <w:tcPr>
            <w:tcW w:w="1045" w:type="dxa"/>
            <w:tcBorders>
              <w:top w:val="nil"/>
              <w:left w:val="nil"/>
              <w:bottom w:val="single" w:sz="8" w:space="0" w:color="4BACC6"/>
              <w:right w:val="single" w:sz="8" w:space="0" w:color="4BACC6"/>
            </w:tcBorders>
            <w:shd w:val="clear" w:color="auto" w:fill="auto"/>
            <w:vAlign w:val="center"/>
            <w:hideMark/>
          </w:tcPr>
          <w:p w:rsidR="006308E8" w:rsidRPr="00BB7F2F" w:rsidRDefault="006308E8" w:rsidP="00121650">
            <w:pPr>
              <w:spacing w:line="276" w:lineRule="auto"/>
              <w:jc w:val="center"/>
              <w:rPr>
                <w:rFonts w:asciiTheme="minorHAnsi" w:hAnsiTheme="minorHAnsi"/>
                <w:color w:val="000000"/>
                <w:sz w:val="18"/>
                <w:szCs w:val="18"/>
                <w:lang w:val="sq-AL"/>
              </w:rPr>
            </w:pPr>
            <w:r w:rsidRPr="00BB7F2F">
              <w:rPr>
                <w:rFonts w:asciiTheme="minorHAnsi" w:hAnsiTheme="minorHAnsi"/>
                <w:color w:val="000000"/>
                <w:sz w:val="18"/>
                <w:szCs w:val="18"/>
                <w:lang w:val="sq-AL"/>
              </w:rPr>
              <w:t>23.3%</w:t>
            </w:r>
          </w:p>
        </w:tc>
        <w:tc>
          <w:tcPr>
            <w:tcW w:w="1001" w:type="dxa"/>
            <w:tcBorders>
              <w:top w:val="nil"/>
              <w:left w:val="nil"/>
              <w:bottom w:val="single" w:sz="8" w:space="0" w:color="4BACC6"/>
              <w:right w:val="single" w:sz="8" w:space="0" w:color="4BACC6"/>
            </w:tcBorders>
            <w:shd w:val="clear" w:color="auto" w:fill="auto"/>
            <w:vAlign w:val="center"/>
            <w:hideMark/>
          </w:tcPr>
          <w:p w:rsidR="006308E8" w:rsidRPr="00BB7F2F" w:rsidRDefault="006308E8" w:rsidP="00121650">
            <w:pPr>
              <w:spacing w:line="276" w:lineRule="auto"/>
              <w:jc w:val="center"/>
              <w:rPr>
                <w:rFonts w:asciiTheme="minorHAnsi" w:hAnsiTheme="minorHAnsi"/>
                <w:color w:val="000000"/>
                <w:sz w:val="18"/>
                <w:szCs w:val="18"/>
                <w:lang w:val="sq-AL"/>
              </w:rPr>
            </w:pPr>
            <w:r w:rsidRPr="00BB7F2F">
              <w:rPr>
                <w:rFonts w:asciiTheme="minorHAnsi" w:hAnsiTheme="minorHAnsi"/>
                <w:color w:val="000000"/>
                <w:sz w:val="18"/>
                <w:szCs w:val="18"/>
                <w:lang w:val="sq-AL"/>
              </w:rPr>
              <w:t>4.0%</w:t>
            </w:r>
          </w:p>
        </w:tc>
      </w:tr>
      <w:tr w:rsidR="006308E8" w:rsidRPr="00BB7F2F" w:rsidTr="00D25385">
        <w:trPr>
          <w:trHeight w:val="282"/>
          <w:jc w:val="center"/>
        </w:trPr>
        <w:tc>
          <w:tcPr>
            <w:tcW w:w="3775" w:type="dxa"/>
            <w:tcBorders>
              <w:top w:val="nil"/>
              <w:left w:val="single" w:sz="8" w:space="0" w:color="4BACC6"/>
              <w:bottom w:val="single" w:sz="8" w:space="0" w:color="4BACC6"/>
              <w:right w:val="single" w:sz="8" w:space="0" w:color="4BACC6"/>
            </w:tcBorders>
            <w:shd w:val="clear" w:color="000000" w:fill="FFFFFF"/>
            <w:noWrap/>
            <w:vAlign w:val="center"/>
            <w:hideMark/>
          </w:tcPr>
          <w:p w:rsidR="006308E8" w:rsidRPr="00BB7F2F" w:rsidRDefault="006308E8" w:rsidP="00121650">
            <w:pPr>
              <w:spacing w:line="276" w:lineRule="auto"/>
              <w:rPr>
                <w:rFonts w:asciiTheme="minorHAnsi" w:hAnsiTheme="minorHAnsi"/>
                <w:color w:val="000000"/>
                <w:sz w:val="18"/>
                <w:szCs w:val="18"/>
                <w:lang w:val="sq-AL"/>
              </w:rPr>
            </w:pPr>
            <w:r w:rsidRPr="00BB7F2F">
              <w:rPr>
                <w:rFonts w:asciiTheme="minorHAnsi" w:hAnsiTheme="minorHAnsi"/>
                <w:color w:val="000000"/>
                <w:sz w:val="18"/>
                <w:szCs w:val="18"/>
                <w:lang w:val="sq-AL"/>
              </w:rPr>
              <w:t>Arsimi Ushtarak</w:t>
            </w:r>
          </w:p>
        </w:tc>
        <w:tc>
          <w:tcPr>
            <w:tcW w:w="1095" w:type="dxa"/>
            <w:tcBorders>
              <w:top w:val="nil"/>
              <w:left w:val="nil"/>
              <w:bottom w:val="single" w:sz="8" w:space="0" w:color="4BACC6"/>
              <w:right w:val="single" w:sz="8" w:space="0" w:color="4BACC6"/>
            </w:tcBorders>
            <w:shd w:val="clear" w:color="auto" w:fill="auto"/>
            <w:noWrap/>
            <w:vAlign w:val="center"/>
            <w:hideMark/>
          </w:tcPr>
          <w:p w:rsidR="006308E8" w:rsidRPr="00BB7F2F" w:rsidRDefault="006308E8" w:rsidP="00121650">
            <w:pPr>
              <w:spacing w:line="276" w:lineRule="auto"/>
              <w:jc w:val="center"/>
              <w:rPr>
                <w:rFonts w:asciiTheme="minorHAnsi" w:hAnsiTheme="minorHAnsi"/>
                <w:color w:val="000000"/>
                <w:sz w:val="18"/>
                <w:szCs w:val="18"/>
                <w:lang w:val="sq-AL"/>
              </w:rPr>
            </w:pPr>
            <w:r w:rsidRPr="00BB7F2F">
              <w:rPr>
                <w:rFonts w:asciiTheme="minorHAnsi" w:hAnsiTheme="minorHAnsi"/>
                <w:color w:val="000000"/>
                <w:sz w:val="18"/>
                <w:szCs w:val="18"/>
                <w:lang w:val="sq-AL"/>
              </w:rPr>
              <w:t>5,753,167</w:t>
            </w:r>
          </w:p>
        </w:tc>
        <w:tc>
          <w:tcPr>
            <w:tcW w:w="1012" w:type="dxa"/>
            <w:tcBorders>
              <w:top w:val="nil"/>
              <w:left w:val="nil"/>
              <w:bottom w:val="single" w:sz="8" w:space="0" w:color="4BACC6"/>
              <w:right w:val="single" w:sz="8" w:space="0" w:color="4BACC6"/>
            </w:tcBorders>
            <w:shd w:val="clear" w:color="auto" w:fill="auto"/>
            <w:noWrap/>
            <w:vAlign w:val="center"/>
            <w:hideMark/>
          </w:tcPr>
          <w:p w:rsidR="006308E8" w:rsidRPr="00BB7F2F" w:rsidRDefault="006308E8" w:rsidP="00121650">
            <w:pPr>
              <w:spacing w:line="276" w:lineRule="auto"/>
              <w:jc w:val="center"/>
              <w:rPr>
                <w:rFonts w:asciiTheme="minorHAnsi" w:hAnsiTheme="minorHAnsi"/>
                <w:color w:val="000000"/>
                <w:sz w:val="18"/>
                <w:szCs w:val="18"/>
                <w:lang w:val="sq-AL"/>
              </w:rPr>
            </w:pPr>
            <w:r w:rsidRPr="00BB7F2F">
              <w:rPr>
                <w:rFonts w:asciiTheme="minorHAnsi" w:hAnsiTheme="minorHAnsi"/>
                <w:color w:val="000000"/>
                <w:sz w:val="18"/>
                <w:szCs w:val="18"/>
                <w:lang w:val="sq-AL"/>
              </w:rPr>
              <w:t>241800</w:t>
            </w:r>
          </w:p>
        </w:tc>
        <w:tc>
          <w:tcPr>
            <w:tcW w:w="1012" w:type="dxa"/>
            <w:tcBorders>
              <w:top w:val="nil"/>
              <w:left w:val="nil"/>
              <w:bottom w:val="single" w:sz="8" w:space="0" w:color="4BACC6"/>
              <w:right w:val="single" w:sz="8" w:space="0" w:color="4BACC6"/>
            </w:tcBorders>
            <w:shd w:val="clear" w:color="auto" w:fill="auto"/>
            <w:noWrap/>
            <w:vAlign w:val="center"/>
            <w:hideMark/>
          </w:tcPr>
          <w:p w:rsidR="006308E8" w:rsidRPr="00BB7F2F" w:rsidRDefault="006308E8" w:rsidP="00121650">
            <w:pPr>
              <w:spacing w:line="276" w:lineRule="auto"/>
              <w:jc w:val="center"/>
              <w:rPr>
                <w:rFonts w:asciiTheme="minorHAnsi" w:hAnsiTheme="minorHAnsi"/>
                <w:color w:val="000000"/>
                <w:sz w:val="18"/>
                <w:szCs w:val="18"/>
                <w:lang w:val="sq-AL"/>
              </w:rPr>
            </w:pPr>
            <w:r w:rsidRPr="00BB7F2F">
              <w:rPr>
                <w:rFonts w:asciiTheme="minorHAnsi" w:hAnsiTheme="minorHAnsi"/>
                <w:color w:val="000000"/>
                <w:sz w:val="18"/>
                <w:szCs w:val="18"/>
                <w:lang w:val="sq-AL"/>
              </w:rPr>
              <w:t>1,698,603</w:t>
            </w:r>
          </w:p>
        </w:tc>
        <w:tc>
          <w:tcPr>
            <w:tcW w:w="1012" w:type="dxa"/>
            <w:tcBorders>
              <w:top w:val="nil"/>
              <w:left w:val="nil"/>
              <w:bottom w:val="single" w:sz="8" w:space="0" w:color="4BACC6"/>
              <w:right w:val="single" w:sz="8" w:space="0" w:color="4BACC6"/>
            </w:tcBorders>
            <w:shd w:val="clear" w:color="auto" w:fill="auto"/>
            <w:noWrap/>
            <w:vAlign w:val="center"/>
            <w:hideMark/>
          </w:tcPr>
          <w:p w:rsidR="006308E8" w:rsidRPr="00BB7F2F" w:rsidRDefault="006308E8" w:rsidP="00121650">
            <w:pPr>
              <w:spacing w:line="276" w:lineRule="auto"/>
              <w:jc w:val="center"/>
              <w:rPr>
                <w:rFonts w:asciiTheme="minorHAnsi" w:hAnsiTheme="minorHAnsi"/>
                <w:color w:val="000000"/>
                <w:sz w:val="18"/>
                <w:szCs w:val="18"/>
                <w:lang w:val="sq-AL"/>
              </w:rPr>
            </w:pPr>
            <w:r w:rsidRPr="00BB7F2F">
              <w:rPr>
                <w:rFonts w:asciiTheme="minorHAnsi" w:hAnsiTheme="minorHAnsi"/>
                <w:color w:val="000000"/>
                <w:sz w:val="18"/>
                <w:szCs w:val="18"/>
                <w:lang w:val="sq-AL"/>
              </w:rPr>
              <w:t>0</w:t>
            </w:r>
          </w:p>
        </w:tc>
        <w:tc>
          <w:tcPr>
            <w:tcW w:w="1045" w:type="dxa"/>
            <w:tcBorders>
              <w:top w:val="nil"/>
              <w:left w:val="nil"/>
              <w:bottom w:val="single" w:sz="8" w:space="0" w:color="4BACC6"/>
              <w:right w:val="single" w:sz="8" w:space="0" w:color="4BACC6"/>
            </w:tcBorders>
            <w:shd w:val="clear" w:color="auto" w:fill="auto"/>
            <w:vAlign w:val="center"/>
            <w:hideMark/>
          </w:tcPr>
          <w:p w:rsidR="006308E8" w:rsidRPr="00BB7F2F" w:rsidRDefault="006308E8" w:rsidP="00121650">
            <w:pPr>
              <w:spacing w:line="276" w:lineRule="auto"/>
              <w:jc w:val="center"/>
              <w:rPr>
                <w:rFonts w:asciiTheme="minorHAnsi" w:hAnsiTheme="minorHAnsi"/>
                <w:color w:val="000000"/>
                <w:sz w:val="18"/>
                <w:szCs w:val="18"/>
                <w:lang w:val="sq-AL"/>
              </w:rPr>
            </w:pPr>
            <w:r w:rsidRPr="00BB7F2F">
              <w:rPr>
                <w:rFonts w:asciiTheme="minorHAnsi" w:hAnsiTheme="minorHAnsi"/>
                <w:color w:val="000000"/>
                <w:sz w:val="18"/>
                <w:szCs w:val="18"/>
                <w:lang w:val="sq-AL"/>
              </w:rPr>
              <w:t>29.5%</w:t>
            </w:r>
          </w:p>
        </w:tc>
        <w:tc>
          <w:tcPr>
            <w:tcW w:w="1001" w:type="dxa"/>
            <w:tcBorders>
              <w:top w:val="nil"/>
              <w:left w:val="nil"/>
              <w:bottom w:val="single" w:sz="8" w:space="0" w:color="4BACC6"/>
              <w:right w:val="single" w:sz="8" w:space="0" w:color="4BACC6"/>
            </w:tcBorders>
            <w:shd w:val="clear" w:color="auto" w:fill="auto"/>
            <w:vAlign w:val="center"/>
            <w:hideMark/>
          </w:tcPr>
          <w:p w:rsidR="006308E8" w:rsidRPr="00BB7F2F" w:rsidRDefault="006308E8" w:rsidP="00121650">
            <w:pPr>
              <w:spacing w:line="276" w:lineRule="auto"/>
              <w:jc w:val="center"/>
              <w:rPr>
                <w:rFonts w:asciiTheme="minorHAnsi" w:hAnsiTheme="minorHAnsi"/>
                <w:color w:val="000000"/>
                <w:sz w:val="18"/>
                <w:szCs w:val="18"/>
                <w:lang w:val="sq-AL"/>
              </w:rPr>
            </w:pPr>
            <w:r w:rsidRPr="00BB7F2F">
              <w:rPr>
                <w:rFonts w:asciiTheme="minorHAnsi" w:hAnsiTheme="minorHAnsi"/>
                <w:color w:val="000000"/>
                <w:sz w:val="18"/>
                <w:szCs w:val="18"/>
                <w:lang w:val="sq-AL"/>
              </w:rPr>
              <w:t>0.0%</w:t>
            </w:r>
          </w:p>
        </w:tc>
      </w:tr>
      <w:tr w:rsidR="006308E8" w:rsidRPr="00BB7F2F" w:rsidTr="00D25385">
        <w:trPr>
          <w:trHeight w:val="282"/>
          <w:jc w:val="center"/>
        </w:trPr>
        <w:tc>
          <w:tcPr>
            <w:tcW w:w="3775" w:type="dxa"/>
            <w:tcBorders>
              <w:top w:val="nil"/>
              <w:left w:val="single" w:sz="8" w:space="0" w:color="4BACC6"/>
              <w:bottom w:val="single" w:sz="8" w:space="0" w:color="4BACC6"/>
              <w:right w:val="single" w:sz="8" w:space="0" w:color="4BACC6"/>
            </w:tcBorders>
            <w:shd w:val="clear" w:color="000000" w:fill="FFFFFF"/>
            <w:noWrap/>
            <w:vAlign w:val="center"/>
            <w:hideMark/>
          </w:tcPr>
          <w:p w:rsidR="006308E8" w:rsidRPr="00BB7F2F" w:rsidRDefault="006308E8" w:rsidP="00121650">
            <w:pPr>
              <w:spacing w:line="276" w:lineRule="auto"/>
              <w:rPr>
                <w:rFonts w:asciiTheme="minorHAnsi" w:hAnsiTheme="minorHAnsi"/>
                <w:color w:val="000000"/>
                <w:sz w:val="18"/>
                <w:szCs w:val="18"/>
                <w:lang w:val="sq-AL"/>
              </w:rPr>
            </w:pPr>
            <w:r w:rsidRPr="00BB7F2F">
              <w:rPr>
                <w:rFonts w:asciiTheme="minorHAnsi" w:hAnsiTheme="minorHAnsi"/>
                <w:color w:val="000000"/>
                <w:sz w:val="18"/>
                <w:szCs w:val="18"/>
                <w:lang w:val="sq-AL"/>
              </w:rPr>
              <w:t>Mbështetja e Luftimit</w:t>
            </w:r>
          </w:p>
        </w:tc>
        <w:tc>
          <w:tcPr>
            <w:tcW w:w="1095" w:type="dxa"/>
            <w:tcBorders>
              <w:top w:val="nil"/>
              <w:left w:val="nil"/>
              <w:bottom w:val="single" w:sz="8" w:space="0" w:color="4BACC6"/>
              <w:right w:val="single" w:sz="8" w:space="0" w:color="4BACC6"/>
            </w:tcBorders>
            <w:shd w:val="clear" w:color="auto" w:fill="auto"/>
            <w:noWrap/>
            <w:vAlign w:val="center"/>
            <w:hideMark/>
          </w:tcPr>
          <w:p w:rsidR="006308E8" w:rsidRPr="00BB7F2F" w:rsidRDefault="006308E8" w:rsidP="00121650">
            <w:pPr>
              <w:spacing w:line="276" w:lineRule="auto"/>
              <w:jc w:val="center"/>
              <w:rPr>
                <w:rFonts w:asciiTheme="minorHAnsi" w:hAnsiTheme="minorHAnsi"/>
                <w:color w:val="000000"/>
                <w:sz w:val="18"/>
                <w:szCs w:val="18"/>
                <w:lang w:val="sq-AL"/>
              </w:rPr>
            </w:pPr>
            <w:r w:rsidRPr="00BB7F2F">
              <w:rPr>
                <w:rFonts w:asciiTheme="minorHAnsi" w:hAnsiTheme="minorHAnsi"/>
                <w:color w:val="000000"/>
                <w:sz w:val="18"/>
                <w:szCs w:val="18"/>
                <w:lang w:val="sq-AL"/>
              </w:rPr>
              <w:t>595,570</w:t>
            </w:r>
          </w:p>
        </w:tc>
        <w:tc>
          <w:tcPr>
            <w:tcW w:w="1012" w:type="dxa"/>
            <w:tcBorders>
              <w:top w:val="nil"/>
              <w:left w:val="nil"/>
              <w:bottom w:val="single" w:sz="8" w:space="0" w:color="4BACC6"/>
              <w:right w:val="single" w:sz="8" w:space="0" w:color="4BACC6"/>
            </w:tcBorders>
            <w:shd w:val="clear" w:color="auto" w:fill="auto"/>
            <w:noWrap/>
            <w:vAlign w:val="center"/>
            <w:hideMark/>
          </w:tcPr>
          <w:p w:rsidR="006308E8" w:rsidRPr="00BB7F2F" w:rsidRDefault="006308E8" w:rsidP="00121650">
            <w:pPr>
              <w:spacing w:line="276" w:lineRule="auto"/>
              <w:jc w:val="center"/>
              <w:rPr>
                <w:rFonts w:asciiTheme="minorHAnsi" w:hAnsiTheme="minorHAnsi"/>
                <w:color w:val="000000"/>
                <w:sz w:val="18"/>
                <w:szCs w:val="18"/>
                <w:lang w:val="sq-AL"/>
              </w:rPr>
            </w:pPr>
            <w:r w:rsidRPr="00BB7F2F">
              <w:rPr>
                <w:rFonts w:asciiTheme="minorHAnsi" w:hAnsiTheme="minorHAnsi"/>
                <w:color w:val="000000"/>
                <w:sz w:val="18"/>
                <w:szCs w:val="18"/>
                <w:lang w:val="sq-AL"/>
              </w:rPr>
              <w:t>110,000</w:t>
            </w:r>
          </w:p>
        </w:tc>
        <w:tc>
          <w:tcPr>
            <w:tcW w:w="1012" w:type="dxa"/>
            <w:tcBorders>
              <w:top w:val="nil"/>
              <w:left w:val="nil"/>
              <w:bottom w:val="single" w:sz="8" w:space="0" w:color="4BACC6"/>
              <w:right w:val="single" w:sz="8" w:space="0" w:color="4BACC6"/>
            </w:tcBorders>
            <w:shd w:val="clear" w:color="auto" w:fill="auto"/>
            <w:noWrap/>
            <w:vAlign w:val="center"/>
            <w:hideMark/>
          </w:tcPr>
          <w:p w:rsidR="006308E8" w:rsidRPr="00BB7F2F" w:rsidRDefault="006308E8" w:rsidP="00121650">
            <w:pPr>
              <w:spacing w:line="276" w:lineRule="auto"/>
              <w:jc w:val="center"/>
              <w:rPr>
                <w:rFonts w:asciiTheme="minorHAnsi" w:hAnsiTheme="minorHAnsi"/>
                <w:color w:val="000000"/>
                <w:sz w:val="18"/>
                <w:szCs w:val="18"/>
                <w:lang w:val="sq-AL"/>
              </w:rPr>
            </w:pPr>
            <w:r w:rsidRPr="00BB7F2F">
              <w:rPr>
                <w:rFonts w:asciiTheme="minorHAnsi" w:hAnsiTheme="minorHAnsi"/>
                <w:color w:val="000000"/>
                <w:sz w:val="18"/>
                <w:szCs w:val="18"/>
                <w:lang w:val="sq-AL"/>
              </w:rPr>
              <w:t>165,794</w:t>
            </w:r>
          </w:p>
        </w:tc>
        <w:tc>
          <w:tcPr>
            <w:tcW w:w="1012" w:type="dxa"/>
            <w:tcBorders>
              <w:top w:val="nil"/>
              <w:left w:val="nil"/>
              <w:bottom w:val="single" w:sz="8" w:space="0" w:color="4BACC6"/>
              <w:right w:val="single" w:sz="8" w:space="0" w:color="4BACC6"/>
            </w:tcBorders>
            <w:shd w:val="clear" w:color="auto" w:fill="auto"/>
            <w:noWrap/>
            <w:vAlign w:val="center"/>
            <w:hideMark/>
          </w:tcPr>
          <w:p w:rsidR="006308E8" w:rsidRPr="00BB7F2F" w:rsidRDefault="006308E8" w:rsidP="00121650">
            <w:pPr>
              <w:spacing w:line="276" w:lineRule="auto"/>
              <w:jc w:val="center"/>
              <w:rPr>
                <w:rFonts w:asciiTheme="minorHAnsi" w:hAnsiTheme="minorHAnsi"/>
                <w:color w:val="000000"/>
                <w:sz w:val="18"/>
                <w:szCs w:val="18"/>
                <w:lang w:val="sq-AL"/>
              </w:rPr>
            </w:pPr>
            <w:r w:rsidRPr="00BB7F2F">
              <w:rPr>
                <w:rFonts w:asciiTheme="minorHAnsi" w:hAnsiTheme="minorHAnsi"/>
                <w:color w:val="000000"/>
                <w:sz w:val="18"/>
                <w:szCs w:val="18"/>
                <w:lang w:val="sq-AL"/>
              </w:rPr>
              <w:t>0</w:t>
            </w:r>
          </w:p>
        </w:tc>
        <w:tc>
          <w:tcPr>
            <w:tcW w:w="1045" w:type="dxa"/>
            <w:tcBorders>
              <w:top w:val="nil"/>
              <w:left w:val="nil"/>
              <w:bottom w:val="single" w:sz="8" w:space="0" w:color="4BACC6"/>
              <w:right w:val="single" w:sz="8" w:space="0" w:color="4BACC6"/>
            </w:tcBorders>
            <w:shd w:val="clear" w:color="auto" w:fill="auto"/>
            <w:vAlign w:val="center"/>
            <w:hideMark/>
          </w:tcPr>
          <w:p w:rsidR="006308E8" w:rsidRPr="00BB7F2F" w:rsidRDefault="006308E8" w:rsidP="00121650">
            <w:pPr>
              <w:spacing w:line="276" w:lineRule="auto"/>
              <w:jc w:val="center"/>
              <w:rPr>
                <w:rFonts w:asciiTheme="minorHAnsi" w:hAnsiTheme="minorHAnsi"/>
                <w:color w:val="000000"/>
                <w:sz w:val="18"/>
                <w:szCs w:val="18"/>
                <w:lang w:val="sq-AL"/>
              </w:rPr>
            </w:pPr>
            <w:r w:rsidRPr="00BB7F2F">
              <w:rPr>
                <w:rFonts w:asciiTheme="minorHAnsi" w:hAnsiTheme="minorHAnsi"/>
                <w:color w:val="000000"/>
                <w:sz w:val="18"/>
                <w:szCs w:val="18"/>
                <w:lang w:val="sq-AL"/>
              </w:rPr>
              <w:t>27.8%</w:t>
            </w:r>
          </w:p>
        </w:tc>
        <w:tc>
          <w:tcPr>
            <w:tcW w:w="1001" w:type="dxa"/>
            <w:tcBorders>
              <w:top w:val="nil"/>
              <w:left w:val="nil"/>
              <w:bottom w:val="single" w:sz="8" w:space="0" w:color="4BACC6"/>
              <w:right w:val="single" w:sz="8" w:space="0" w:color="4BACC6"/>
            </w:tcBorders>
            <w:shd w:val="clear" w:color="auto" w:fill="auto"/>
            <w:vAlign w:val="center"/>
            <w:hideMark/>
          </w:tcPr>
          <w:p w:rsidR="006308E8" w:rsidRPr="00BB7F2F" w:rsidRDefault="006308E8" w:rsidP="00121650">
            <w:pPr>
              <w:spacing w:line="276" w:lineRule="auto"/>
              <w:jc w:val="center"/>
              <w:rPr>
                <w:rFonts w:asciiTheme="minorHAnsi" w:hAnsiTheme="minorHAnsi"/>
                <w:color w:val="000000"/>
                <w:sz w:val="18"/>
                <w:szCs w:val="18"/>
                <w:lang w:val="sq-AL"/>
              </w:rPr>
            </w:pPr>
            <w:r w:rsidRPr="00BB7F2F">
              <w:rPr>
                <w:rFonts w:asciiTheme="minorHAnsi" w:hAnsiTheme="minorHAnsi"/>
                <w:color w:val="000000"/>
                <w:sz w:val="18"/>
                <w:szCs w:val="18"/>
                <w:lang w:val="sq-AL"/>
              </w:rPr>
              <w:t>0.0%</w:t>
            </w:r>
          </w:p>
        </w:tc>
      </w:tr>
      <w:tr w:rsidR="006308E8" w:rsidRPr="00BB7F2F" w:rsidTr="00D25385">
        <w:trPr>
          <w:trHeight w:val="282"/>
          <w:jc w:val="center"/>
        </w:trPr>
        <w:tc>
          <w:tcPr>
            <w:tcW w:w="3775" w:type="dxa"/>
            <w:tcBorders>
              <w:top w:val="nil"/>
              <w:left w:val="single" w:sz="8" w:space="0" w:color="4BACC6"/>
              <w:bottom w:val="single" w:sz="8" w:space="0" w:color="4BACC6"/>
              <w:right w:val="single" w:sz="8" w:space="0" w:color="4BACC6"/>
            </w:tcBorders>
            <w:shd w:val="clear" w:color="000000" w:fill="FFFFFF"/>
            <w:noWrap/>
            <w:vAlign w:val="center"/>
            <w:hideMark/>
          </w:tcPr>
          <w:p w:rsidR="006308E8" w:rsidRPr="00BB7F2F" w:rsidRDefault="006308E8" w:rsidP="00121650">
            <w:pPr>
              <w:spacing w:line="276" w:lineRule="auto"/>
              <w:rPr>
                <w:rFonts w:asciiTheme="minorHAnsi" w:hAnsiTheme="minorHAnsi"/>
                <w:color w:val="000000"/>
                <w:sz w:val="18"/>
                <w:szCs w:val="18"/>
                <w:lang w:val="sq-AL"/>
              </w:rPr>
            </w:pPr>
            <w:r w:rsidRPr="00BB7F2F">
              <w:rPr>
                <w:rFonts w:asciiTheme="minorHAnsi" w:hAnsiTheme="minorHAnsi"/>
                <w:color w:val="000000"/>
                <w:sz w:val="18"/>
                <w:szCs w:val="18"/>
                <w:lang w:val="sq-AL"/>
              </w:rPr>
              <w:t>Mbështetje për Shëndetësinë</w:t>
            </w:r>
          </w:p>
        </w:tc>
        <w:tc>
          <w:tcPr>
            <w:tcW w:w="1095" w:type="dxa"/>
            <w:tcBorders>
              <w:top w:val="nil"/>
              <w:left w:val="nil"/>
              <w:bottom w:val="single" w:sz="8" w:space="0" w:color="4BACC6"/>
              <w:right w:val="single" w:sz="8" w:space="0" w:color="4BACC6"/>
            </w:tcBorders>
            <w:shd w:val="clear" w:color="auto" w:fill="auto"/>
            <w:noWrap/>
            <w:vAlign w:val="center"/>
            <w:hideMark/>
          </w:tcPr>
          <w:p w:rsidR="006308E8" w:rsidRPr="00BB7F2F" w:rsidRDefault="006308E8" w:rsidP="00121650">
            <w:pPr>
              <w:spacing w:line="276" w:lineRule="auto"/>
              <w:jc w:val="center"/>
              <w:rPr>
                <w:rFonts w:asciiTheme="minorHAnsi" w:hAnsiTheme="minorHAnsi"/>
                <w:color w:val="000000"/>
                <w:sz w:val="18"/>
                <w:szCs w:val="18"/>
                <w:lang w:val="sq-AL"/>
              </w:rPr>
            </w:pPr>
            <w:r w:rsidRPr="00BB7F2F">
              <w:rPr>
                <w:rFonts w:asciiTheme="minorHAnsi" w:hAnsiTheme="minorHAnsi"/>
                <w:color w:val="000000"/>
                <w:sz w:val="18"/>
                <w:szCs w:val="18"/>
                <w:lang w:val="sq-AL"/>
              </w:rPr>
              <w:t>1,279,224</w:t>
            </w:r>
          </w:p>
        </w:tc>
        <w:tc>
          <w:tcPr>
            <w:tcW w:w="1012" w:type="dxa"/>
            <w:tcBorders>
              <w:top w:val="nil"/>
              <w:left w:val="nil"/>
              <w:bottom w:val="single" w:sz="8" w:space="0" w:color="4BACC6"/>
              <w:right w:val="single" w:sz="8" w:space="0" w:color="4BACC6"/>
            </w:tcBorders>
            <w:shd w:val="clear" w:color="auto" w:fill="auto"/>
            <w:noWrap/>
            <w:vAlign w:val="center"/>
            <w:hideMark/>
          </w:tcPr>
          <w:p w:rsidR="006308E8" w:rsidRPr="00BB7F2F" w:rsidRDefault="006308E8" w:rsidP="00121650">
            <w:pPr>
              <w:spacing w:line="276" w:lineRule="auto"/>
              <w:jc w:val="center"/>
              <w:rPr>
                <w:rFonts w:asciiTheme="minorHAnsi" w:hAnsiTheme="minorHAnsi"/>
                <w:color w:val="000000"/>
                <w:sz w:val="18"/>
                <w:szCs w:val="18"/>
                <w:lang w:val="sq-AL"/>
              </w:rPr>
            </w:pPr>
            <w:r w:rsidRPr="00BB7F2F">
              <w:rPr>
                <w:rFonts w:asciiTheme="minorHAnsi" w:hAnsiTheme="minorHAnsi"/>
                <w:color w:val="000000"/>
                <w:sz w:val="18"/>
                <w:szCs w:val="18"/>
                <w:lang w:val="sq-AL"/>
              </w:rPr>
              <w:t>618,686</w:t>
            </w:r>
          </w:p>
        </w:tc>
        <w:tc>
          <w:tcPr>
            <w:tcW w:w="1012" w:type="dxa"/>
            <w:tcBorders>
              <w:top w:val="nil"/>
              <w:left w:val="nil"/>
              <w:bottom w:val="single" w:sz="8" w:space="0" w:color="4BACC6"/>
              <w:right w:val="single" w:sz="8" w:space="0" w:color="4BACC6"/>
            </w:tcBorders>
            <w:shd w:val="clear" w:color="auto" w:fill="auto"/>
            <w:noWrap/>
            <w:vAlign w:val="center"/>
            <w:hideMark/>
          </w:tcPr>
          <w:p w:rsidR="006308E8" w:rsidRPr="00BB7F2F" w:rsidRDefault="006308E8" w:rsidP="00121650">
            <w:pPr>
              <w:spacing w:line="276" w:lineRule="auto"/>
              <w:jc w:val="center"/>
              <w:rPr>
                <w:rFonts w:asciiTheme="minorHAnsi" w:hAnsiTheme="minorHAnsi"/>
                <w:color w:val="000000"/>
                <w:sz w:val="18"/>
                <w:szCs w:val="18"/>
                <w:lang w:val="sq-AL"/>
              </w:rPr>
            </w:pPr>
            <w:r w:rsidRPr="00BB7F2F">
              <w:rPr>
                <w:rFonts w:asciiTheme="minorHAnsi" w:hAnsiTheme="minorHAnsi"/>
                <w:color w:val="000000"/>
                <w:sz w:val="18"/>
                <w:szCs w:val="18"/>
                <w:lang w:val="sq-AL"/>
              </w:rPr>
              <w:t>285,755</w:t>
            </w:r>
          </w:p>
        </w:tc>
        <w:tc>
          <w:tcPr>
            <w:tcW w:w="1012" w:type="dxa"/>
            <w:tcBorders>
              <w:top w:val="nil"/>
              <w:left w:val="nil"/>
              <w:bottom w:val="single" w:sz="8" w:space="0" w:color="4BACC6"/>
              <w:right w:val="single" w:sz="8" w:space="0" w:color="4BACC6"/>
            </w:tcBorders>
            <w:shd w:val="clear" w:color="auto" w:fill="auto"/>
            <w:noWrap/>
            <w:vAlign w:val="center"/>
            <w:hideMark/>
          </w:tcPr>
          <w:p w:rsidR="006308E8" w:rsidRPr="00BB7F2F" w:rsidRDefault="006308E8" w:rsidP="00121650">
            <w:pPr>
              <w:spacing w:line="276" w:lineRule="auto"/>
              <w:jc w:val="center"/>
              <w:rPr>
                <w:rFonts w:asciiTheme="minorHAnsi" w:hAnsiTheme="minorHAnsi"/>
                <w:color w:val="000000"/>
                <w:sz w:val="18"/>
                <w:szCs w:val="18"/>
                <w:lang w:val="sq-AL"/>
              </w:rPr>
            </w:pPr>
            <w:r w:rsidRPr="00BB7F2F">
              <w:rPr>
                <w:rFonts w:asciiTheme="minorHAnsi" w:hAnsiTheme="minorHAnsi"/>
                <w:color w:val="000000"/>
                <w:sz w:val="18"/>
                <w:szCs w:val="18"/>
                <w:lang w:val="sq-AL"/>
              </w:rPr>
              <w:t>3582</w:t>
            </w:r>
          </w:p>
        </w:tc>
        <w:tc>
          <w:tcPr>
            <w:tcW w:w="1045" w:type="dxa"/>
            <w:tcBorders>
              <w:top w:val="nil"/>
              <w:left w:val="nil"/>
              <w:bottom w:val="single" w:sz="8" w:space="0" w:color="4BACC6"/>
              <w:right w:val="single" w:sz="8" w:space="0" w:color="4BACC6"/>
            </w:tcBorders>
            <w:shd w:val="clear" w:color="auto" w:fill="auto"/>
            <w:vAlign w:val="center"/>
            <w:hideMark/>
          </w:tcPr>
          <w:p w:rsidR="006308E8" w:rsidRPr="00BB7F2F" w:rsidRDefault="006308E8" w:rsidP="00121650">
            <w:pPr>
              <w:spacing w:line="276" w:lineRule="auto"/>
              <w:jc w:val="center"/>
              <w:rPr>
                <w:rFonts w:asciiTheme="minorHAnsi" w:hAnsiTheme="minorHAnsi"/>
                <w:color w:val="000000"/>
                <w:sz w:val="18"/>
                <w:szCs w:val="18"/>
                <w:lang w:val="sq-AL"/>
              </w:rPr>
            </w:pPr>
            <w:r w:rsidRPr="00BB7F2F">
              <w:rPr>
                <w:rFonts w:asciiTheme="minorHAnsi" w:hAnsiTheme="minorHAnsi"/>
                <w:color w:val="000000"/>
                <w:sz w:val="18"/>
                <w:szCs w:val="18"/>
                <w:lang w:val="sq-AL"/>
              </w:rPr>
              <w:t>22.3%</w:t>
            </w:r>
          </w:p>
        </w:tc>
        <w:tc>
          <w:tcPr>
            <w:tcW w:w="1001" w:type="dxa"/>
            <w:tcBorders>
              <w:top w:val="nil"/>
              <w:left w:val="nil"/>
              <w:bottom w:val="single" w:sz="8" w:space="0" w:color="4BACC6"/>
              <w:right w:val="single" w:sz="8" w:space="0" w:color="4BACC6"/>
            </w:tcBorders>
            <w:shd w:val="clear" w:color="auto" w:fill="auto"/>
            <w:vAlign w:val="center"/>
            <w:hideMark/>
          </w:tcPr>
          <w:p w:rsidR="006308E8" w:rsidRPr="00BB7F2F" w:rsidRDefault="006308E8" w:rsidP="00121650">
            <w:pPr>
              <w:spacing w:line="276" w:lineRule="auto"/>
              <w:jc w:val="center"/>
              <w:rPr>
                <w:rFonts w:asciiTheme="minorHAnsi" w:hAnsiTheme="minorHAnsi"/>
                <w:color w:val="000000"/>
                <w:sz w:val="18"/>
                <w:szCs w:val="18"/>
                <w:lang w:val="sq-AL"/>
              </w:rPr>
            </w:pPr>
            <w:r w:rsidRPr="00BB7F2F">
              <w:rPr>
                <w:rFonts w:asciiTheme="minorHAnsi" w:hAnsiTheme="minorHAnsi"/>
                <w:color w:val="000000"/>
                <w:sz w:val="18"/>
                <w:szCs w:val="18"/>
                <w:lang w:val="sq-AL"/>
              </w:rPr>
              <w:t>0.6%</w:t>
            </w:r>
          </w:p>
        </w:tc>
      </w:tr>
      <w:tr w:rsidR="006308E8" w:rsidRPr="00BB7F2F" w:rsidTr="00D25385">
        <w:trPr>
          <w:trHeight w:val="282"/>
          <w:jc w:val="center"/>
        </w:trPr>
        <w:tc>
          <w:tcPr>
            <w:tcW w:w="3775" w:type="dxa"/>
            <w:tcBorders>
              <w:top w:val="nil"/>
              <w:left w:val="single" w:sz="8" w:space="0" w:color="4BACC6"/>
              <w:bottom w:val="single" w:sz="8" w:space="0" w:color="4BACC6"/>
              <w:right w:val="single" w:sz="8" w:space="0" w:color="4BACC6"/>
            </w:tcBorders>
            <w:shd w:val="clear" w:color="000000" w:fill="FFFFFF"/>
            <w:noWrap/>
            <w:vAlign w:val="center"/>
            <w:hideMark/>
          </w:tcPr>
          <w:p w:rsidR="006308E8" w:rsidRPr="00BB7F2F" w:rsidRDefault="00FA0AEA" w:rsidP="00121650">
            <w:pPr>
              <w:spacing w:line="276" w:lineRule="auto"/>
              <w:rPr>
                <w:rFonts w:asciiTheme="minorHAnsi" w:hAnsiTheme="minorHAnsi"/>
                <w:color w:val="000000"/>
                <w:sz w:val="18"/>
                <w:szCs w:val="18"/>
                <w:lang w:val="sq-AL"/>
              </w:rPr>
            </w:pPr>
            <w:r w:rsidRPr="00BB7F2F">
              <w:rPr>
                <w:rFonts w:asciiTheme="minorHAnsi" w:hAnsiTheme="minorHAnsi"/>
                <w:color w:val="000000"/>
                <w:sz w:val="18"/>
                <w:szCs w:val="18"/>
                <w:lang w:val="sq-AL"/>
              </w:rPr>
              <w:t>Emergjencat Civile</w:t>
            </w:r>
          </w:p>
        </w:tc>
        <w:tc>
          <w:tcPr>
            <w:tcW w:w="1095" w:type="dxa"/>
            <w:tcBorders>
              <w:top w:val="nil"/>
              <w:left w:val="nil"/>
              <w:bottom w:val="single" w:sz="8" w:space="0" w:color="4BACC6"/>
              <w:right w:val="single" w:sz="8" w:space="0" w:color="4BACC6"/>
            </w:tcBorders>
            <w:shd w:val="clear" w:color="auto" w:fill="auto"/>
            <w:noWrap/>
            <w:vAlign w:val="center"/>
            <w:hideMark/>
          </w:tcPr>
          <w:p w:rsidR="006308E8" w:rsidRPr="00BB7F2F" w:rsidRDefault="006308E8" w:rsidP="00121650">
            <w:pPr>
              <w:spacing w:line="276" w:lineRule="auto"/>
              <w:jc w:val="center"/>
              <w:rPr>
                <w:rFonts w:asciiTheme="minorHAnsi" w:hAnsiTheme="minorHAnsi"/>
                <w:color w:val="000000"/>
                <w:sz w:val="18"/>
                <w:szCs w:val="18"/>
                <w:lang w:val="sq-AL"/>
              </w:rPr>
            </w:pPr>
            <w:r w:rsidRPr="00BB7F2F">
              <w:rPr>
                <w:rFonts w:asciiTheme="minorHAnsi" w:hAnsiTheme="minorHAnsi"/>
                <w:color w:val="000000"/>
                <w:sz w:val="18"/>
                <w:szCs w:val="18"/>
                <w:lang w:val="sq-AL"/>
              </w:rPr>
              <w:t>295,382</w:t>
            </w:r>
          </w:p>
        </w:tc>
        <w:tc>
          <w:tcPr>
            <w:tcW w:w="1012" w:type="dxa"/>
            <w:tcBorders>
              <w:top w:val="nil"/>
              <w:left w:val="nil"/>
              <w:bottom w:val="single" w:sz="8" w:space="0" w:color="4BACC6"/>
              <w:right w:val="single" w:sz="8" w:space="0" w:color="4BACC6"/>
            </w:tcBorders>
            <w:shd w:val="clear" w:color="auto" w:fill="auto"/>
            <w:noWrap/>
            <w:vAlign w:val="center"/>
            <w:hideMark/>
          </w:tcPr>
          <w:p w:rsidR="006308E8" w:rsidRPr="00BB7F2F" w:rsidRDefault="006308E8" w:rsidP="00121650">
            <w:pPr>
              <w:spacing w:line="276" w:lineRule="auto"/>
              <w:jc w:val="center"/>
              <w:rPr>
                <w:rFonts w:asciiTheme="minorHAnsi" w:hAnsiTheme="minorHAnsi"/>
                <w:color w:val="000000"/>
                <w:sz w:val="18"/>
                <w:szCs w:val="18"/>
                <w:lang w:val="sq-AL"/>
              </w:rPr>
            </w:pPr>
            <w:r w:rsidRPr="00BB7F2F">
              <w:rPr>
                <w:rFonts w:asciiTheme="minorHAnsi" w:hAnsiTheme="minorHAnsi"/>
                <w:color w:val="000000"/>
                <w:sz w:val="18"/>
                <w:szCs w:val="18"/>
                <w:lang w:val="sq-AL"/>
              </w:rPr>
              <w:t>139250</w:t>
            </w:r>
          </w:p>
        </w:tc>
        <w:tc>
          <w:tcPr>
            <w:tcW w:w="1012" w:type="dxa"/>
            <w:tcBorders>
              <w:top w:val="nil"/>
              <w:left w:val="nil"/>
              <w:bottom w:val="single" w:sz="8" w:space="0" w:color="4BACC6"/>
              <w:right w:val="single" w:sz="8" w:space="0" w:color="4BACC6"/>
            </w:tcBorders>
            <w:shd w:val="clear" w:color="auto" w:fill="auto"/>
            <w:noWrap/>
            <w:vAlign w:val="center"/>
            <w:hideMark/>
          </w:tcPr>
          <w:p w:rsidR="006308E8" w:rsidRPr="00BB7F2F" w:rsidRDefault="006308E8" w:rsidP="00121650">
            <w:pPr>
              <w:spacing w:line="276" w:lineRule="auto"/>
              <w:jc w:val="center"/>
              <w:rPr>
                <w:rFonts w:asciiTheme="minorHAnsi" w:hAnsiTheme="minorHAnsi"/>
                <w:color w:val="000000"/>
                <w:sz w:val="18"/>
                <w:szCs w:val="18"/>
                <w:lang w:val="sq-AL"/>
              </w:rPr>
            </w:pPr>
            <w:r w:rsidRPr="00BB7F2F">
              <w:rPr>
                <w:rFonts w:asciiTheme="minorHAnsi" w:hAnsiTheme="minorHAnsi"/>
                <w:color w:val="000000"/>
                <w:sz w:val="18"/>
                <w:szCs w:val="18"/>
                <w:lang w:val="sq-AL"/>
              </w:rPr>
              <w:t>26,390</w:t>
            </w:r>
          </w:p>
        </w:tc>
        <w:tc>
          <w:tcPr>
            <w:tcW w:w="1012" w:type="dxa"/>
            <w:tcBorders>
              <w:top w:val="nil"/>
              <w:left w:val="nil"/>
              <w:bottom w:val="single" w:sz="8" w:space="0" w:color="4BACC6"/>
              <w:right w:val="single" w:sz="8" w:space="0" w:color="4BACC6"/>
            </w:tcBorders>
            <w:shd w:val="clear" w:color="auto" w:fill="auto"/>
            <w:noWrap/>
            <w:vAlign w:val="center"/>
            <w:hideMark/>
          </w:tcPr>
          <w:p w:rsidR="006308E8" w:rsidRPr="00BB7F2F" w:rsidRDefault="006308E8" w:rsidP="00121650">
            <w:pPr>
              <w:spacing w:line="276" w:lineRule="auto"/>
              <w:jc w:val="center"/>
              <w:rPr>
                <w:rFonts w:asciiTheme="minorHAnsi" w:hAnsiTheme="minorHAnsi"/>
                <w:color w:val="000000"/>
                <w:sz w:val="18"/>
                <w:szCs w:val="18"/>
                <w:lang w:val="sq-AL"/>
              </w:rPr>
            </w:pPr>
            <w:r w:rsidRPr="00BB7F2F">
              <w:rPr>
                <w:rFonts w:asciiTheme="minorHAnsi" w:hAnsiTheme="minorHAnsi"/>
                <w:color w:val="000000"/>
                <w:sz w:val="18"/>
                <w:szCs w:val="18"/>
                <w:lang w:val="sq-AL"/>
              </w:rPr>
              <w:t>0</w:t>
            </w:r>
          </w:p>
        </w:tc>
        <w:tc>
          <w:tcPr>
            <w:tcW w:w="1045" w:type="dxa"/>
            <w:tcBorders>
              <w:top w:val="nil"/>
              <w:left w:val="nil"/>
              <w:bottom w:val="single" w:sz="8" w:space="0" w:color="4BACC6"/>
              <w:right w:val="single" w:sz="8" w:space="0" w:color="4BACC6"/>
            </w:tcBorders>
            <w:shd w:val="clear" w:color="auto" w:fill="auto"/>
            <w:vAlign w:val="center"/>
            <w:hideMark/>
          </w:tcPr>
          <w:p w:rsidR="006308E8" w:rsidRPr="00BB7F2F" w:rsidRDefault="006308E8" w:rsidP="00121650">
            <w:pPr>
              <w:spacing w:line="276" w:lineRule="auto"/>
              <w:jc w:val="center"/>
              <w:rPr>
                <w:rFonts w:asciiTheme="minorHAnsi" w:hAnsiTheme="minorHAnsi"/>
                <w:color w:val="000000"/>
                <w:sz w:val="18"/>
                <w:szCs w:val="18"/>
                <w:lang w:val="sq-AL"/>
              </w:rPr>
            </w:pPr>
            <w:r w:rsidRPr="00BB7F2F">
              <w:rPr>
                <w:rFonts w:asciiTheme="minorHAnsi" w:hAnsiTheme="minorHAnsi"/>
                <w:color w:val="000000"/>
                <w:sz w:val="18"/>
                <w:szCs w:val="18"/>
                <w:lang w:val="sq-AL"/>
              </w:rPr>
              <w:t>8.9%</w:t>
            </w:r>
          </w:p>
        </w:tc>
        <w:tc>
          <w:tcPr>
            <w:tcW w:w="1001" w:type="dxa"/>
            <w:tcBorders>
              <w:top w:val="nil"/>
              <w:left w:val="nil"/>
              <w:bottom w:val="single" w:sz="8" w:space="0" w:color="4BACC6"/>
              <w:right w:val="single" w:sz="8" w:space="0" w:color="4BACC6"/>
            </w:tcBorders>
            <w:shd w:val="clear" w:color="auto" w:fill="auto"/>
            <w:vAlign w:val="center"/>
            <w:hideMark/>
          </w:tcPr>
          <w:p w:rsidR="006308E8" w:rsidRPr="00BB7F2F" w:rsidRDefault="006308E8" w:rsidP="00121650">
            <w:pPr>
              <w:spacing w:line="276" w:lineRule="auto"/>
              <w:jc w:val="center"/>
              <w:rPr>
                <w:rFonts w:asciiTheme="minorHAnsi" w:hAnsiTheme="minorHAnsi"/>
                <w:color w:val="000000"/>
                <w:sz w:val="18"/>
                <w:szCs w:val="18"/>
                <w:lang w:val="sq-AL"/>
              </w:rPr>
            </w:pPr>
            <w:r w:rsidRPr="00BB7F2F">
              <w:rPr>
                <w:rFonts w:asciiTheme="minorHAnsi" w:hAnsiTheme="minorHAnsi"/>
                <w:color w:val="000000"/>
                <w:sz w:val="18"/>
                <w:szCs w:val="18"/>
                <w:lang w:val="sq-AL"/>
              </w:rPr>
              <w:t>0.0%</w:t>
            </w:r>
          </w:p>
        </w:tc>
      </w:tr>
      <w:tr w:rsidR="006308E8" w:rsidRPr="00BB7F2F" w:rsidTr="00D25385">
        <w:trPr>
          <w:trHeight w:val="282"/>
          <w:jc w:val="center"/>
        </w:trPr>
        <w:tc>
          <w:tcPr>
            <w:tcW w:w="3775" w:type="dxa"/>
            <w:tcBorders>
              <w:top w:val="nil"/>
              <w:left w:val="single" w:sz="8" w:space="0" w:color="4BACC6"/>
              <w:bottom w:val="single" w:sz="8" w:space="0" w:color="4BACC6"/>
              <w:right w:val="single" w:sz="8" w:space="0" w:color="4BACC6"/>
            </w:tcBorders>
            <w:shd w:val="clear" w:color="000000" w:fill="FFFFFF"/>
            <w:noWrap/>
            <w:vAlign w:val="center"/>
            <w:hideMark/>
          </w:tcPr>
          <w:p w:rsidR="006308E8" w:rsidRPr="00BB7F2F" w:rsidRDefault="00FA0AEA" w:rsidP="00121650">
            <w:pPr>
              <w:spacing w:line="276" w:lineRule="auto"/>
              <w:rPr>
                <w:rFonts w:asciiTheme="minorHAnsi" w:hAnsiTheme="minorHAnsi"/>
                <w:color w:val="000000"/>
                <w:sz w:val="18"/>
                <w:szCs w:val="18"/>
                <w:lang w:val="sq-AL"/>
              </w:rPr>
            </w:pPr>
            <w:r w:rsidRPr="00BB7F2F">
              <w:rPr>
                <w:rFonts w:asciiTheme="minorHAnsi" w:hAnsiTheme="minorHAnsi"/>
                <w:color w:val="000000"/>
                <w:sz w:val="18"/>
                <w:szCs w:val="18"/>
                <w:lang w:val="sq-AL"/>
              </w:rPr>
              <w:t>Sigurimet Shoqerore per ushtaraket</w:t>
            </w:r>
          </w:p>
        </w:tc>
        <w:tc>
          <w:tcPr>
            <w:tcW w:w="1095" w:type="dxa"/>
            <w:tcBorders>
              <w:top w:val="nil"/>
              <w:left w:val="nil"/>
              <w:bottom w:val="single" w:sz="8" w:space="0" w:color="4BACC6"/>
              <w:right w:val="single" w:sz="8" w:space="0" w:color="4BACC6"/>
            </w:tcBorders>
            <w:shd w:val="clear" w:color="auto" w:fill="auto"/>
            <w:noWrap/>
            <w:vAlign w:val="center"/>
            <w:hideMark/>
          </w:tcPr>
          <w:p w:rsidR="006308E8" w:rsidRPr="00BB7F2F" w:rsidRDefault="006308E8" w:rsidP="00121650">
            <w:pPr>
              <w:spacing w:line="276" w:lineRule="auto"/>
              <w:jc w:val="center"/>
              <w:rPr>
                <w:rFonts w:asciiTheme="minorHAnsi" w:hAnsiTheme="minorHAnsi"/>
                <w:color w:val="000000"/>
                <w:sz w:val="18"/>
                <w:szCs w:val="18"/>
                <w:lang w:val="sq-AL"/>
              </w:rPr>
            </w:pPr>
            <w:r w:rsidRPr="00BB7F2F">
              <w:rPr>
                <w:rFonts w:asciiTheme="minorHAnsi" w:hAnsiTheme="minorHAnsi"/>
                <w:color w:val="000000"/>
                <w:sz w:val="18"/>
                <w:szCs w:val="18"/>
                <w:lang w:val="sq-AL"/>
              </w:rPr>
              <w:t>5,122,136</w:t>
            </w:r>
          </w:p>
        </w:tc>
        <w:tc>
          <w:tcPr>
            <w:tcW w:w="1012" w:type="dxa"/>
            <w:tcBorders>
              <w:top w:val="nil"/>
              <w:left w:val="nil"/>
              <w:bottom w:val="single" w:sz="8" w:space="0" w:color="4BACC6"/>
              <w:right w:val="single" w:sz="8" w:space="0" w:color="4BACC6"/>
            </w:tcBorders>
            <w:shd w:val="clear" w:color="auto" w:fill="auto"/>
            <w:noWrap/>
            <w:vAlign w:val="center"/>
            <w:hideMark/>
          </w:tcPr>
          <w:p w:rsidR="006308E8" w:rsidRPr="00BB7F2F" w:rsidRDefault="006308E8" w:rsidP="00121650">
            <w:pPr>
              <w:spacing w:line="276" w:lineRule="auto"/>
              <w:jc w:val="center"/>
              <w:rPr>
                <w:rFonts w:asciiTheme="minorHAnsi" w:hAnsiTheme="minorHAnsi"/>
                <w:color w:val="000000"/>
                <w:sz w:val="18"/>
                <w:szCs w:val="18"/>
                <w:lang w:val="sq-AL"/>
              </w:rPr>
            </w:pPr>
            <w:r w:rsidRPr="00BB7F2F">
              <w:rPr>
                <w:rFonts w:asciiTheme="minorHAnsi" w:hAnsiTheme="minorHAnsi"/>
                <w:color w:val="000000"/>
                <w:sz w:val="18"/>
                <w:szCs w:val="18"/>
                <w:lang w:val="sq-AL"/>
              </w:rPr>
              <w:t>0</w:t>
            </w:r>
          </w:p>
        </w:tc>
        <w:tc>
          <w:tcPr>
            <w:tcW w:w="1012" w:type="dxa"/>
            <w:tcBorders>
              <w:top w:val="nil"/>
              <w:left w:val="nil"/>
              <w:bottom w:val="single" w:sz="8" w:space="0" w:color="4BACC6"/>
              <w:right w:val="single" w:sz="8" w:space="0" w:color="4BACC6"/>
            </w:tcBorders>
            <w:shd w:val="clear" w:color="auto" w:fill="auto"/>
            <w:noWrap/>
            <w:vAlign w:val="center"/>
            <w:hideMark/>
          </w:tcPr>
          <w:p w:rsidR="006308E8" w:rsidRPr="00BB7F2F" w:rsidRDefault="006308E8" w:rsidP="00121650">
            <w:pPr>
              <w:spacing w:line="276" w:lineRule="auto"/>
              <w:jc w:val="center"/>
              <w:rPr>
                <w:rFonts w:asciiTheme="minorHAnsi" w:hAnsiTheme="minorHAnsi"/>
                <w:color w:val="000000"/>
                <w:sz w:val="18"/>
                <w:szCs w:val="18"/>
                <w:lang w:val="sq-AL"/>
              </w:rPr>
            </w:pPr>
            <w:r w:rsidRPr="00BB7F2F">
              <w:rPr>
                <w:rFonts w:asciiTheme="minorHAnsi" w:hAnsiTheme="minorHAnsi"/>
                <w:color w:val="000000"/>
                <w:sz w:val="18"/>
                <w:szCs w:val="18"/>
                <w:lang w:val="sq-AL"/>
              </w:rPr>
              <w:t>1,663,000</w:t>
            </w:r>
          </w:p>
        </w:tc>
        <w:tc>
          <w:tcPr>
            <w:tcW w:w="1012" w:type="dxa"/>
            <w:tcBorders>
              <w:top w:val="nil"/>
              <w:left w:val="nil"/>
              <w:bottom w:val="single" w:sz="8" w:space="0" w:color="4BACC6"/>
              <w:right w:val="single" w:sz="8" w:space="0" w:color="4BACC6"/>
            </w:tcBorders>
            <w:shd w:val="clear" w:color="auto" w:fill="auto"/>
            <w:noWrap/>
            <w:vAlign w:val="center"/>
            <w:hideMark/>
          </w:tcPr>
          <w:p w:rsidR="006308E8" w:rsidRPr="00BB7F2F" w:rsidRDefault="006308E8" w:rsidP="00121650">
            <w:pPr>
              <w:spacing w:line="276" w:lineRule="auto"/>
              <w:jc w:val="center"/>
              <w:rPr>
                <w:rFonts w:asciiTheme="minorHAnsi" w:hAnsiTheme="minorHAnsi"/>
                <w:color w:val="000000"/>
                <w:sz w:val="18"/>
                <w:szCs w:val="18"/>
                <w:lang w:val="sq-AL"/>
              </w:rPr>
            </w:pPr>
            <w:r w:rsidRPr="00BB7F2F">
              <w:rPr>
                <w:rFonts w:asciiTheme="minorHAnsi" w:hAnsiTheme="minorHAnsi"/>
                <w:color w:val="000000"/>
                <w:sz w:val="18"/>
                <w:szCs w:val="18"/>
                <w:lang w:val="sq-AL"/>
              </w:rPr>
              <w:t>0</w:t>
            </w:r>
          </w:p>
        </w:tc>
        <w:tc>
          <w:tcPr>
            <w:tcW w:w="1045" w:type="dxa"/>
            <w:tcBorders>
              <w:top w:val="nil"/>
              <w:left w:val="nil"/>
              <w:bottom w:val="single" w:sz="8" w:space="0" w:color="4BACC6"/>
              <w:right w:val="single" w:sz="8" w:space="0" w:color="4BACC6"/>
            </w:tcBorders>
            <w:shd w:val="clear" w:color="auto" w:fill="auto"/>
            <w:vAlign w:val="center"/>
            <w:hideMark/>
          </w:tcPr>
          <w:p w:rsidR="006308E8" w:rsidRPr="00BB7F2F" w:rsidRDefault="006308E8" w:rsidP="00121650">
            <w:pPr>
              <w:spacing w:line="276" w:lineRule="auto"/>
              <w:jc w:val="center"/>
              <w:rPr>
                <w:rFonts w:asciiTheme="minorHAnsi" w:hAnsiTheme="minorHAnsi"/>
                <w:color w:val="000000"/>
                <w:sz w:val="18"/>
                <w:szCs w:val="18"/>
                <w:lang w:val="sq-AL"/>
              </w:rPr>
            </w:pPr>
            <w:r w:rsidRPr="00BB7F2F">
              <w:rPr>
                <w:rFonts w:asciiTheme="minorHAnsi" w:hAnsiTheme="minorHAnsi"/>
                <w:color w:val="000000"/>
                <w:sz w:val="18"/>
                <w:szCs w:val="18"/>
                <w:lang w:val="sq-AL"/>
              </w:rPr>
              <w:t>32.5%</w:t>
            </w:r>
          </w:p>
        </w:tc>
        <w:tc>
          <w:tcPr>
            <w:tcW w:w="1001" w:type="dxa"/>
            <w:tcBorders>
              <w:top w:val="nil"/>
              <w:left w:val="nil"/>
              <w:bottom w:val="single" w:sz="8" w:space="0" w:color="4BACC6"/>
              <w:right w:val="single" w:sz="8" w:space="0" w:color="4BACC6"/>
            </w:tcBorders>
            <w:shd w:val="clear" w:color="auto" w:fill="auto"/>
            <w:vAlign w:val="center"/>
            <w:hideMark/>
          </w:tcPr>
          <w:p w:rsidR="006308E8" w:rsidRPr="00BB7F2F" w:rsidRDefault="006308E8" w:rsidP="00121650">
            <w:pPr>
              <w:spacing w:line="276" w:lineRule="auto"/>
              <w:jc w:val="center"/>
              <w:rPr>
                <w:rFonts w:asciiTheme="minorHAnsi" w:hAnsiTheme="minorHAnsi"/>
                <w:color w:val="000000"/>
                <w:sz w:val="18"/>
                <w:szCs w:val="18"/>
                <w:lang w:val="sq-AL"/>
              </w:rPr>
            </w:pPr>
            <w:r w:rsidRPr="00BB7F2F">
              <w:rPr>
                <w:rFonts w:asciiTheme="minorHAnsi" w:hAnsiTheme="minorHAnsi"/>
                <w:color w:val="000000"/>
                <w:sz w:val="18"/>
                <w:szCs w:val="18"/>
                <w:lang w:val="sq-AL"/>
              </w:rPr>
              <w:t> </w:t>
            </w:r>
          </w:p>
        </w:tc>
      </w:tr>
      <w:tr w:rsidR="006308E8" w:rsidRPr="00BB7F2F" w:rsidTr="00D25385">
        <w:trPr>
          <w:trHeight w:val="282"/>
          <w:jc w:val="center"/>
        </w:trPr>
        <w:tc>
          <w:tcPr>
            <w:tcW w:w="3775" w:type="dxa"/>
            <w:tcBorders>
              <w:top w:val="nil"/>
              <w:left w:val="single" w:sz="8" w:space="0" w:color="4BACC6"/>
              <w:bottom w:val="single" w:sz="8" w:space="0" w:color="4BACC6"/>
              <w:right w:val="single" w:sz="8" w:space="0" w:color="4BACC6"/>
            </w:tcBorders>
            <w:shd w:val="clear" w:color="000000" w:fill="FFFFFF"/>
            <w:vAlign w:val="center"/>
            <w:hideMark/>
          </w:tcPr>
          <w:p w:rsidR="006308E8" w:rsidRPr="00BB7F2F" w:rsidRDefault="006308E8" w:rsidP="00121650">
            <w:pPr>
              <w:spacing w:line="276" w:lineRule="auto"/>
              <w:jc w:val="center"/>
              <w:rPr>
                <w:rFonts w:asciiTheme="minorHAnsi" w:hAnsiTheme="minorHAnsi"/>
                <w:b/>
                <w:bCs/>
                <w:color w:val="000000"/>
                <w:sz w:val="18"/>
                <w:szCs w:val="18"/>
                <w:lang w:val="sq-AL"/>
              </w:rPr>
            </w:pPr>
            <w:r w:rsidRPr="00BB7F2F">
              <w:rPr>
                <w:rFonts w:asciiTheme="minorHAnsi" w:hAnsiTheme="minorHAnsi"/>
                <w:b/>
                <w:bCs/>
                <w:color w:val="000000"/>
                <w:sz w:val="18"/>
                <w:szCs w:val="18"/>
                <w:lang w:val="sq-AL"/>
              </w:rPr>
              <w:t>Totali MM</w:t>
            </w:r>
          </w:p>
        </w:tc>
        <w:tc>
          <w:tcPr>
            <w:tcW w:w="1095" w:type="dxa"/>
            <w:tcBorders>
              <w:top w:val="nil"/>
              <w:left w:val="nil"/>
              <w:bottom w:val="single" w:sz="8" w:space="0" w:color="4BACC6"/>
              <w:right w:val="single" w:sz="8" w:space="0" w:color="4BACC6"/>
            </w:tcBorders>
            <w:shd w:val="clear" w:color="auto" w:fill="auto"/>
            <w:vAlign w:val="center"/>
            <w:hideMark/>
          </w:tcPr>
          <w:p w:rsidR="006308E8" w:rsidRPr="00BB7F2F" w:rsidRDefault="006308E8" w:rsidP="00121650">
            <w:pPr>
              <w:spacing w:line="276" w:lineRule="auto"/>
              <w:jc w:val="center"/>
              <w:rPr>
                <w:rFonts w:asciiTheme="minorHAnsi" w:hAnsiTheme="minorHAnsi"/>
                <w:b/>
                <w:bCs/>
                <w:color w:val="000000"/>
                <w:sz w:val="18"/>
                <w:szCs w:val="18"/>
                <w:lang w:val="sq-AL"/>
              </w:rPr>
            </w:pPr>
            <w:r w:rsidRPr="00BB7F2F">
              <w:rPr>
                <w:rFonts w:asciiTheme="minorHAnsi" w:hAnsiTheme="minorHAnsi"/>
                <w:b/>
                <w:bCs/>
                <w:color w:val="000000"/>
                <w:sz w:val="18"/>
                <w:szCs w:val="18"/>
                <w:lang w:val="sq-AL"/>
              </w:rPr>
              <w:t>19,864,805</w:t>
            </w:r>
          </w:p>
        </w:tc>
        <w:tc>
          <w:tcPr>
            <w:tcW w:w="1012" w:type="dxa"/>
            <w:tcBorders>
              <w:top w:val="nil"/>
              <w:left w:val="nil"/>
              <w:bottom w:val="single" w:sz="8" w:space="0" w:color="4BACC6"/>
              <w:right w:val="single" w:sz="8" w:space="0" w:color="4BACC6"/>
            </w:tcBorders>
            <w:shd w:val="clear" w:color="auto" w:fill="auto"/>
            <w:vAlign w:val="center"/>
            <w:hideMark/>
          </w:tcPr>
          <w:p w:rsidR="006308E8" w:rsidRPr="00BB7F2F" w:rsidRDefault="006308E8" w:rsidP="00121650">
            <w:pPr>
              <w:spacing w:line="276" w:lineRule="auto"/>
              <w:jc w:val="center"/>
              <w:rPr>
                <w:rFonts w:asciiTheme="minorHAnsi" w:hAnsiTheme="minorHAnsi"/>
                <w:b/>
                <w:bCs/>
                <w:color w:val="000000"/>
                <w:sz w:val="18"/>
                <w:szCs w:val="18"/>
                <w:lang w:val="sq-AL"/>
              </w:rPr>
            </w:pPr>
            <w:r w:rsidRPr="00BB7F2F">
              <w:rPr>
                <w:rFonts w:asciiTheme="minorHAnsi" w:hAnsiTheme="minorHAnsi"/>
                <w:b/>
                <w:bCs/>
                <w:color w:val="000000"/>
                <w:sz w:val="18"/>
                <w:szCs w:val="18"/>
                <w:lang w:val="sq-AL"/>
              </w:rPr>
              <w:t>3,361,000</w:t>
            </w:r>
          </w:p>
        </w:tc>
        <w:tc>
          <w:tcPr>
            <w:tcW w:w="1012" w:type="dxa"/>
            <w:tcBorders>
              <w:top w:val="nil"/>
              <w:left w:val="nil"/>
              <w:bottom w:val="single" w:sz="8" w:space="0" w:color="4BACC6"/>
              <w:right w:val="single" w:sz="8" w:space="0" w:color="4BACC6"/>
            </w:tcBorders>
            <w:shd w:val="clear" w:color="auto" w:fill="auto"/>
            <w:vAlign w:val="center"/>
            <w:hideMark/>
          </w:tcPr>
          <w:p w:rsidR="006308E8" w:rsidRPr="00BB7F2F" w:rsidRDefault="006308E8" w:rsidP="00121650">
            <w:pPr>
              <w:spacing w:line="276" w:lineRule="auto"/>
              <w:jc w:val="center"/>
              <w:rPr>
                <w:rFonts w:asciiTheme="minorHAnsi" w:hAnsiTheme="minorHAnsi"/>
                <w:b/>
                <w:bCs/>
                <w:color w:val="000000"/>
                <w:sz w:val="18"/>
                <w:szCs w:val="18"/>
                <w:lang w:val="sq-AL"/>
              </w:rPr>
            </w:pPr>
            <w:r w:rsidRPr="00BB7F2F">
              <w:rPr>
                <w:rFonts w:asciiTheme="minorHAnsi" w:hAnsiTheme="minorHAnsi"/>
                <w:b/>
                <w:bCs/>
                <w:color w:val="000000"/>
                <w:sz w:val="18"/>
                <w:szCs w:val="18"/>
                <w:lang w:val="sq-AL"/>
              </w:rPr>
              <w:t>5,556,842</w:t>
            </w:r>
          </w:p>
        </w:tc>
        <w:tc>
          <w:tcPr>
            <w:tcW w:w="1012" w:type="dxa"/>
            <w:tcBorders>
              <w:top w:val="nil"/>
              <w:left w:val="nil"/>
              <w:bottom w:val="single" w:sz="8" w:space="0" w:color="4BACC6"/>
              <w:right w:val="single" w:sz="8" w:space="0" w:color="4BACC6"/>
            </w:tcBorders>
            <w:shd w:val="clear" w:color="auto" w:fill="auto"/>
            <w:vAlign w:val="center"/>
            <w:hideMark/>
          </w:tcPr>
          <w:p w:rsidR="006308E8" w:rsidRPr="00BB7F2F" w:rsidRDefault="006308E8" w:rsidP="00121650">
            <w:pPr>
              <w:spacing w:line="276" w:lineRule="auto"/>
              <w:jc w:val="center"/>
              <w:rPr>
                <w:rFonts w:asciiTheme="minorHAnsi" w:hAnsiTheme="minorHAnsi"/>
                <w:b/>
                <w:bCs/>
                <w:color w:val="000000"/>
                <w:sz w:val="18"/>
                <w:szCs w:val="18"/>
                <w:lang w:val="sq-AL"/>
              </w:rPr>
            </w:pPr>
            <w:r w:rsidRPr="00BB7F2F">
              <w:rPr>
                <w:rFonts w:asciiTheme="minorHAnsi" w:hAnsiTheme="minorHAnsi"/>
                <w:b/>
                <w:bCs/>
                <w:color w:val="000000"/>
                <w:sz w:val="18"/>
                <w:szCs w:val="18"/>
                <w:lang w:val="sq-AL"/>
              </w:rPr>
              <w:t>92,036</w:t>
            </w:r>
          </w:p>
        </w:tc>
        <w:tc>
          <w:tcPr>
            <w:tcW w:w="1045" w:type="dxa"/>
            <w:tcBorders>
              <w:top w:val="nil"/>
              <w:left w:val="nil"/>
              <w:bottom w:val="single" w:sz="8" w:space="0" w:color="4BACC6"/>
              <w:right w:val="single" w:sz="8" w:space="0" w:color="4BACC6"/>
            </w:tcBorders>
            <w:shd w:val="clear" w:color="auto" w:fill="auto"/>
            <w:vAlign w:val="center"/>
            <w:hideMark/>
          </w:tcPr>
          <w:p w:rsidR="006308E8" w:rsidRPr="00BB7F2F" w:rsidRDefault="006308E8" w:rsidP="00121650">
            <w:pPr>
              <w:spacing w:line="276" w:lineRule="auto"/>
              <w:jc w:val="center"/>
              <w:rPr>
                <w:rFonts w:asciiTheme="minorHAnsi" w:hAnsiTheme="minorHAnsi"/>
                <w:b/>
                <w:bCs/>
                <w:color w:val="000000"/>
                <w:sz w:val="18"/>
                <w:szCs w:val="18"/>
                <w:lang w:val="sq-AL"/>
              </w:rPr>
            </w:pPr>
            <w:r w:rsidRPr="00BB7F2F">
              <w:rPr>
                <w:rFonts w:asciiTheme="minorHAnsi" w:hAnsiTheme="minorHAnsi"/>
                <w:b/>
                <w:bCs/>
                <w:color w:val="000000"/>
                <w:sz w:val="18"/>
                <w:szCs w:val="18"/>
                <w:lang w:val="sq-AL"/>
              </w:rPr>
              <w:t>28.0%</w:t>
            </w:r>
          </w:p>
        </w:tc>
        <w:tc>
          <w:tcPr>
            <w:tcW w:w="1001" w:type="dxa"/>
            <w:tcBorders>
              <w:top w:val="nil"/>
              <w:left w:val="nil"/>
              <w:bottom w:val="single" w:sz="8" w:space="0" w:color="4BACC6"/>
              <w:right w:val="single" w:sz="8" w:space="0" w:color="4BACC6"/>
            </w:tcBorders>
            <w:shd w:val="clear" w:color="auto" w:fill="auto"/>
            <w:vAlign w:val="center"/>
            <w:hideMark/>
          </w:tcPr>
          <w:p w:rsidR="006308E8" w:rsidRPr="00BB7F2F" w:rsidRDefault="006308E8" w:rsidP="00121650">
            <w:pPr>
              <w:spacing w:line="276" w:lineRule="auto"/>
              <w:jc w:val="center"/>
              <w:rPr>
                <w:rFonts w:asciiTheme="minorHAnsi" w:hAnsiTheme="minorHAnsi"/>
                <w:b/>
                <w:bCs/>
                <w:color w:val="000000"/>
                <w:sz w:val="18"/>
                <w:szCs w:val="18"/>
                <w:lang w:val="sq-AL"/>
              </w:rPr>
            </w:pPr>
            <w:r w:rsidRPr="00BB7F2F">
              <w:rPr>
                <w:rFonts w:asciiTheme="minorHAnsi" w:hAnsiTheme="minorHAnsi"/>
                <w:b/>
                <w:bCs/>
                <w:color w:val="000000"/>
                <w:sz w:val="18"/>
                <w:szCs w:val="18"/>
                <w:lang w:val="sq-AL"/>
              </w:rPr>
              <w:t>2.7%</w:t>
            </w:r>
          </w:p>
        </w:tc>
      </w:tr>
    </w:tbl>
    <w:p w:rsidR="006308E8" w:rsidRPr="00C06A39" w:rsidRDefault="006308E8" w:rsidP="00C06A39">
      <w:pPr>
        <w:rPr>
          <w:rFonts w:asciiTheme="minorHAnsi" w:eastAsia="MS Mincho" w:hAnsiTheme="minorHAnsi"/>
          <w:i/>
          <w:color w:val="000000"/>
          <w:sz w:val="8"/>
          <w:szCs w:val="8"/>
          <w:lang w:val="sq-AL"/>
        </w:rPr>
      </w:pPr>
    </w:p>
    <w:p w:rsidR="00C06A39" w:rsidRDefault="006308E8" w:rsidP="00FA0AEA">
      <w:pPr>
        <w:spacing w:line="276" w:lineRule="auto"/>
        <w:jc w:val="both"/>
        <w:rPr>
          <w:rFonts w:asciiTheme="minorHAnsi" w:hAnsiTheme="minorHAnsi"/>
          <w:lang w:val="sq-AL"/>
        </w:rPr>
      </w:pPr>
      <w:r w:rsidRPr="00BB7F2F">
        <w:rPr>
          <w:rFonts w:asciiTheme="minorHAnsi" w:hAnsiTheme="minorHAnsi"/>
          <w:lang w:val="sq-AL"/>
        </w:rPr>
        <w:t>Sipas të dhënave, realizimi faktik i shpenzimeve korente paraqitet pak nën mesataren e periudhës, si pasojë e procedurave në funksion të situatës së krijuar nga pandemia e Covid-19, po ashtu edhe investimet për të cilat u ndërpre procesi prokurimit, por pritet të kenë realizim në periudhën në vazhdim</w:t>
      </w:r>
      <w:r w:rsidR="00FA0AEA">
        <w:rPr>
          <w:rFonts w:asciiTheme="minorHAnsi" w:hAnsiTheme="minorHAnsi"/>
          <w:lang w:val="sq-AL"/>
        </w:rPr>
        <w:t>.</w:t>
      </w:r>
      <w:r w:rsidR="00C06A39">
        <w:rPr>
          <w:rFonts w:asciiTheme="minorHAnsi" w:hAnsiTheme="minorHAnsi"/>
          <w:lang w:val="sq-AL"/>
        </w:rPr>
        <w:t xml:space="preserve"> </w:t>
      </w:r>
    </w:p>
    <w:p w:rsidR="00C06A39" w:rsidRPr="00C06A39" w:rsidRDefault="00C06A39" w:rsidP="00FA0AEA">
      <w:pPr>
        <w:spacing w:line="276" w:lineRule="auto"/>
        <w:jc w:val="both"/>
        <w:rPr>
          <w:rFonts w:asciiTheme="minorHAnsi" w:hAnsiTheme="minorHAnsi"/>
          <w:sz w:val="8"/>
          <w:szCs w:val="8"/>
          <w:lang w:val="sq-AL"/>
        </w:rPr>
      </w:pPr>
    </w:p>
    <w:p w:rsidR="00FA0AEA" w:rsidRPr="00C06A39" w:rsidRDefault="00FA0AEA" w:rsidP="00FA0AEA">
      <w:pPr>
        <w:spacing w:line="276" w:lineRule="auto"/>
        <w:jc w:val="both"/>
        <w:rPr>
          <w:rFonts w:asciiTheme="minorHAnsi" w:hAnsiTheme="minorHAnsi" w:cstheme="minorHAnsi"/>
          <w:lang w:val="sq-AL"/>
        </w:rPr>
      </w:pPr>
      <w:r w:rsidRPr="00C06A39">
        <w:rPr>
          <w:rFonts w:asciiTheme="minorHAnsi" w:hAnsiTheme="minorHAnsi" w:cstheme="minorHAnsi"/>
          <w:lang w:val="sq-AL"/>
        </w:rPr>
        <w:t>Për vitin 2020 objektivat kryesore në programin “</w:t>
      </w:r>
      <w:r w:rsidRPr="00C06A39">
        <w:rPr>
          <w:rFonts w:asciiTheme="minorHAnsi" w:hAnsiTheme="minorHAnsi" w:cstheme="minorHAnsi"/>
          <w:b/>
          <w:lang w:val="sq-AL"/>
        </w:rPr>
        <w:t xml:space="preserve">Planifikimi </w:t>
      </w:r>
      <w:r w:rsidR="00C06A39" w:rsidRPr="00C06A39">
        <w:rPr>
          <w:rFonts w:asciiTheme="minorHAnsi" w:hAnsiTheme="minorHAnsi" w:cstheme="minorHAnsi"/>
          <w:b/>
          <w:lang w:val="sq-AL"/>
        </w:rPr>
        <w:t xml:space="preserve">menaxhimi </w:t>
      </w:r>
      <w:r w:rsidRPr="00C06A39">
        <w:rPr>
          <w:rFonts w:asciiTheme="minorHAnsi" w:hAnsiTheme="minorHAnsi" w:cstheme="minorHAnsi"/>
          <w:b/>
          <w:lang w:val="sq-AL"/>
        </w:rPr>
        <w:t>administrimi</w:t>
      </w:r>
      <w:r w:rsidRPr="00C06A39">
        <w:rPr>
          <w:rFonts w:asciiTheme="minorHAnsi" w:hAnsiTheme="minorHAnsi" w:cstheme="minorHAnsi"/>
          <w:lang w:val="sq-AL"/>
        </w:rPr>
        <w:t>” janë:</w:t>
      </w:r>
    </w:p>
    <w:p w:rsidR="00FA0AEA" w:rsidRPr="00C06A39" w:rsidRDefault="00FA0AEA" w:rsidP="00C06A39">
      <w:pPr>
        <w:jc w:val="both"/>
        <w:rPr>
          <w:rFonts w:asciiTheme="minorHAnsi" w:hAnsiTheme="minorHAnsi" w:cstheme="minorHAnsi"/>
          <w:color w:val="000000"/>
          <w:lang w:val="sq-AL"/>
        </w:rPr>
      </w:pPr>
      <w:r w:rsidRPr="00C06A39">
        <w:rPr>
          <w:rFonts w:asciiTheme="minorHAnsi" w:hAnsiTheme="minorHAnsi" w:cstheme="minorHAnsi"/>
          <w:color w:val="000000"/>
          <w:lang w:val="sq-AL"/>
        </w:rPr>
        <w:t xml:space="preserve">Menaxhimi me efiçence dhe efektivitet i burimeve njerëzore dhe financiare. Treguesit e performancës për këtë objektiv: </w:t>
      </w:r>
    </w:p>
    <w:p w:rsidR="00FA0AEA" w:rsidRPr="00C06A39" w:rsidRDefault="00FA0AEA" w:rsidP="00C06A39">
      <w:pPr>
        <w:numPr>
          <w:ilvl w:val="0"/>
          <w:numId w:val="49"/>
        </w:numPr>
        <w:spacing w:after="200" w:line="276" w:lineRule="auto"/>
        <w:ind w:left="360" w:hanging="270"/>
        <w:contextualSpacing/>
        <w:jc w:val="both"/>
        <w:rPr>
          <w:rFonts w:asciiTheme="minorHAnsi" w:eastAsiaTheme="minorHAnsi" w:hAnsiTheme="minorHAnsi"/>
          <w:i/>
          <w:lang w:val="sq-AL"/>
        </w:rPr>
      </w:pPr>
      <w:r w:rsidRPr="00C06A39">
        <w:rPr>
          <w:rFonts w:asciiTheme="minorHAnsi" w:eastAsiaTheme="minorHAnsi" w:hAnsiTheme="minorHAnsi"/>
          <w:i/>
          <w:lang w:val="sq-AL"/>
        </w:rPr>
        <w:t>Rritja e % e punonjësve të trajnuar kundrejt totalit.</w:t>
      </w:r>
    </w:p>
    <w:p w:rsidR="00FA0AEA" w:rsidRPr="00C06A39" w:rsidRDefault="00FA0AEA" w:rsidP="00C06A39">
      <w:pPr>
        <w:numPr>
          <w:ilvl w:val="0"/>
          <w:numId w:val="49"/>
        </w:numPr>
        <w:spacing w:after="200" w:line="276" w:lineRule="auto"/>
        <w:ind w:left="360" w:hanging="270"/>
        <w:contextualSpacing/>
        <w:jc w:val="both"/>
        <w:rPr>
          <w:rFonts w:asciiTheme="minorHAnsi" w:eastAsiaTheme="minorHAnsi" w:hAnsiTheme="minorHAnsi"/>
          <w:i/>
          <w:lang w:val="sq-AL"/>
        </w:rPr>
      </w:pPr>
      <w:r w:rsidRPr="00C06A39">
        <w:rPr>
          <w:rFonts w:asciiTheme="minorHAnsi" w:eastAsiaTheme="minorHAnsi" w:hAnsiTheme="minorHAnsi"/>
          <w:i/>
          <w:lang w:val="sq-AL"/>
        </w:rPr>
        <w:t>Numër raportesh vlerësimi të kryera,</w:t>
      </w:r>
    </w:p>
    <w:p w:rsidR="00FA0AEA" w:rsidRPr="00C06A39" w:rsidRDefault="00FA0AEA" w:rsidP="00C06A39">
      <w:pPr>
        <w:numPr>
          <w:ilvl w:val="0"/>
          <w:numId w:val="49"/>
        </w:numPr>
        <w:spacing w:after="200" w:line="276" w:lineRule="auto"/>
        <w:ind w:left="360" w:hanging="270"/>
        <w:contextualSpacing/>
        <w:jc w:val="both"/>
        <w:rPr>
          <w:rFonts w:asciiTheme="minorHAnsi" w:eastAsiaTheme="minorHAnsi" w:hAnsiTheme="minorHAnsi"/>
          <w:i/>
          <w:lang w:val="sq-AL"/>
        </w:rPr>
      </w:pPr>
      <w:r w:rsidRPr="00C06A39">
        <w:rPr>
          <w:rFonts w:asciiTheme="minorHAnsi" w:eastAsiaTheme="minorHAnsi" w:hAnsiTheme="minorHAnsi"/>
          <w:i/>
          <w:lang w:val="sq-AL"/>
        </w:rPr>
        <w:t>Numër Aktesh  ligjore e nënligjore të përgatitura kundrejt planifikimit</w:t>
      </w:r>
    </w:p>
    <w:p w:rsidR="00FA0AEA" w:rsidRPr="00C06A39" w:rsidRDefault="00FA0AEA" w:rsidP="00C06A39">
      <w:pPr>
        <w:numPr>
          <w:ilvl w:val="0"/>
          <w:numId w:val="49"/>
        </w:numPr>
        <w:spacing w:after="200" w:line="276" w:lineRule="auto"/>
        <w:ind w:left="360" w:hanging="270"/>
        <w:contextualSpacing/>
        <w:jc w:val="both"/>
        <w:rPr>
          <w:rFonts w:asciiTheme="minorHAnsi" w:eastAsiaTheme="minorHAnsi" w:hAnsiTheme="minorHAnsi"/>
          <w:i/>
          <w:lang w:val="sq-AL"/>
        </w:rPr>
      </w:pPr>
      <w:r w:rsidRPr="00C06A39">
        <w:rPr>
          <w:rFonts w:asciiTheme="minorHAnsi" w:eastAsiaTheme="minorHAnsi" w:hAnsiTheme="minorHAnsi"/>
          <w:i/>
          <w:lang w:val="sq-AL"/>
        </w:rPr>
        <w:t>Numër Auditimesh  të kryera kundrejt planifikimit,</w:t>
      </w:r>
    </w:p>
    <w:p w:rsidR="00FA0AEA" w:rsidRPr="00C06A39" w:rsidRDefault="00FA0AEA" w:rsidP="00C06A39">
      <w:pPr>
        <w:numPr>
          <w:ilvl w:val="0"/>
          <w:numId w:val="49"/>
        </w:numPr>
        <w:spacing w:after="200" w:line="276" w:lineRule="auto"/>
        <w:ind w:left="360" w:hanging="270"/>
        <w:contextualSpacing/>
        <w:jc w:val="both"/>
        <w:rPr>
          <w:rFonts w:asciiTheme="minorHAnsi" w:eastAsiaTheme="minorHAnsi" w:hAnsiTheme="minorHAnsi"/>
          <w:i/>
          <w:lang w:val="sq-AL"/>
        </w:rPr>
      </w:pPr>
      <w:r w:rsidRPr="00C06A39">
        <w:rPr>
          <w:rFonts w:asciiTheme="minorHAnsi" w:eastAsiaTheme="minorHAnsi" w:hAnsiTheme="minorHAnsi"/>
          <w:i/>
          <w:lang w:val="sq-AL"/>
        </w:rPr>
        <w:t>Rritja e numrit të  personave  të rekrutuar.</w:t>
      </w:r>
    </w:p>
    <w:p w:rsidR="00FA0AEA" w:rsidRPr="00C06A39" w:rsidRDefault="00FA0AEA" w:rsidP="00C06A39">
      <w:pPr>
        <w:numPr>
          <w:ilvl w:val="0"/>
          <w:numId w:val="49"/>
        </w:numPr>
        <w:spacing w:after="200" w:line="276" w:lineRule="auto"/>
        <w:ind w:left="360" w:hanging="270"/>
        <w:contextualSpacing/>
        <w:jc w:val="both"/>
        <w:rPr>
          <w:rFonts w:asciiTheme="minorHAnsi" w:eastAsiaTheme="minorHAnsi" w:hAnsiTheme="minorHAnsi"/>
          <w:i/>
          <w:lang w:val="sq-AL"/>
        </w:rPr>
      </w:pPr>
      <w:r w:rsidRPr="00C06A39">
        <w:rPr>
          <w:rFonts w:asciiTheme="minorHAnsi" w:eastAsiaTheme="minorHAnsi" w:hAnsiTheme="minorHAnsi"/>
          <w:i/>
          <w:lang w:val="sq-AL"/>
        </w:rPr>
        <w:t>Rritja e numrit të    Marrëveshjeve të realizuara kundrejt planifikimit.</w:t>
      </w:r>
    </w:p>
    <w:p w:rsidR="00C06A39" w:rsidRPr="00C06A39" w:rsidRDefault="00C06A39" w:rsidP="00FA0AEA">
      <w:pPr>
        <w:autoSpaceDE w:val="0"/>
        <w:autoSpaceDN w:val="0"/>
        <w:adjustRightInd w:val="0"/>
        <w:jc w:val="both"/>
        <w:rPr>
          <w:rFonts w:asciiTheme="minorHAnsi" w:hAnsiTheme="minorHAnsi" w:cstheme="minorHAnsi"/>
          <w:sz w:val="8"/>
          <w:szCs w:val="8"/>
          <w:lang w:val="sq-AL"/>
        </w:rPr>
      </w:pPr>
    </w:p>
    <w:p w:rsidR="00FA0AEA" w:rsidRPr="00C06A39" w:rsidRDefault="00FA0AEA" w:rsidP="00FA0AEA">
      <w:pPr>
        <w:autoSpaceDE w:val="0"/>
        <w:autoSpaceDN w:val="0"/>
        <w:adjustRightInd w:val="0"/>
        <w:jc w:val="both"/>
        <w:rPr>
          <w:rFonts w:asciiTheme="minorHAnsi" w:hAnsiTheme="minorHAnsi" w:cstheme="minorHAnsi"/>
          <w:lang w:val="sq-AL"/>
        </w:rPr>
      </w:pPr>
      <w:r w:rsidRPr="00C06A39">
        <w:rPr>
          <w:rFonts w:asciiTheme="minorHAnsi" w:hAnsiTheme="minorHAnsi" w:cstheme="minorHAnsi"/>
          <w:lang w:val="sq-AL"/>
        </w:rPr>
        <w:t>Për ketë program buxhetor janë parashikuar 3 produkte si më poshtë:</w:t>
      </w:r>
    </w:p>
    <w:p w:rsidR="00FA0AEA" w:rsidRPr="00C06A39" w:rsidRDefault="00FA0AEA" w:rsidP="00C06A39">
      <w:pPr>
        <w:numPr>
          <w:ilvl w:val="0"/>
          <w:numId w:val="49"/>
        </w:numPr>
        <w:spacing w:after="200" w:line="276" w:lineRule="auto"/>
        <w:ind w:left="360" w:hanging="270"/>
        <w:contextualSpacing/>
        <w:jc w:val="both"/>
        <w:rPr>
          <w:rFonts w:asciiTheme="minorHAnsi" w:eastAsiaTheme="minorHAnsi" w:hAnsiTheme="minorHAnsi"/>
          <w:i/>
          <w:lang w:val="sq-AL"/>
        </w:rPr>
      </w:pPr>
      <w:r w:rsidRPr="00C06A39">
        <w:rPr>
          <w:rFonts w:asciiTheme="minorHAnsi" w:eastAsiaTheme="minorHAnsi" w:hAnsiTheme="minorHAnsi"/>
          <w:i/>
          <w:lang w:val="sq-AL"/>
        </w:rPr>
        <w:t>Akte ligjore e nënligjore te përgatitura nga Ministria e Mbrojtjes</w:t>
      </w:r>
    </w:p>
    <w:p w:rsidR="00FA0AEA" w:rsidRPr="00C06A39" w:rsidRDefault="00FA0AEA" w:rsidP="00C06A39">
      <w:pPr>
        <w:numPr>
          <w:ilvl w:val="0"/>
          <w:numId w:val="49"/>
        </w:numPr>
        <w:spacing w:after="200" w:line="276" w:lineRule="auto"/>
        <w:ind w:left="360" w:hanging="270"/>
        <w:contextualSpacing/>
        <w:jc w:val="both"/>
        <w:rPr>
          <w:rFonts w:asciiTheme="minorHAnsi" w:eastAsiaTheme="minorHAnsi" w:hAnsiTheme="minorHAnsi"/>
          <w:i/>
          <w:lang w:val="sq-AL"/>
        </w:rPr>
      </w:pPr>
      <w:r w:rsidRPr="00C06A39">
        <w:rPr>
          <w:rFonts w:asciiTheme="minorHAnsi" w:eastAsiaTheme="minorHAnsi" w:hAnsiTheme="minorHAnsi"/>
          <w:i/>
          <w:lang w:val="sq-AL"/>
        </w:rPr>
        <w:t xml:space="preserve">Marrëveshje ndërkombëtare të nënshkruara </w:t>
      </w:r>
    </w:p>
    <w:p w:rsidR="00FA0AEA" w:rsidRPr="00C06A39" w:rsidRDefault="00FA0AEA" w:rsidP="00C06A39">
      <w:pPr>
        <w:numPr>
          <w:ilvl w:val="0"/>
          <w:numId w:val="49"/>
        </w:numPr>
        <w:spacing w:after="200" w:line="276" w:lineRule="auto"/>
        <w:ind w:left="360" w:hanging="270"/>
        <w:contextualSpacing/>
        <w:jc w:val="both"/>
        <w:rPr>
          <w:rFonts w:asciiTheme="minorHAnsi" w:eastAsiaTheme="minorHAnsi" w:hAnsiTheme="minorHAnsi"/>
          <w:i/>
          <w:lang w:val="sq-AL"/>
        </w:rPr>
      </w:pPr>
      <w:r w:rsidRPr="00C06A39">
        <w:rPr>
          <w:rFonts w:asciiTheme="minorHAnsi" w:eastAsiaTheme="minorHAnsi" w:hAnsiTheme="minorHAnsi"/>
          <w:i/>
          <w:lang w:val="sq-AL"/>
        </w:rPr>
        <w:t>Sisteme te mirëmbajtura për aparatin e  Ministrisë së Mbrojtjes</w:t>
      </w:r>
    </w:p>
    <w:p w:rsidR="00FA0AEA" w:rsidRPr="00C06A39" w:rsidRDefault="00C06A39" w:rsidP="00C06A39">
      <w:pPr>
        <w:autoSpaceDE w:val="0"/>
        <w:autoSpaceDN w:val="0"/>
        <w:adjustRightInd w:val="0"/>
        <w:spacing w:line="276" w:lineRule="auto"/>
        <w:jc w:val="both"/>
        <w:rPr>
          <w:rFonts w:asciiTheme="minorHAnsi" w:hAnsiTheme="minorHAnsi" w:cstheme="minorHAnsi"/>
          <w:lang w:val="sq-AL"/>
        </w:rPr>
      </w:pPr>
      <w:r>
        <w:rPr>
          <w:rFonts w:asciiTheme="minorHAnsi" w:hAnsiTheme="minorHAnsi" w:cstheme="minorHAnsi"/>
          <w:lang w:val="sq-AL"/>
        </w:rPr>
        <w:lastRenderedPageBreak/>
        <w:t>Këto produk</w:t>
      </w:r>
      <w:r w:rsidR="00FA0AEA" w:rsidRPr="00C06A39">
        <w:rPr>
          <w:rFonts w:asciiTheme="minorHAnsi" w:hAnsiTheme="minorHAnsi" w:cstheme="minorHAnsi"/>
          <w:lang w:val="sq-AL"/>
        </w:rPr>
        <w:t>te janë realizuar në vlerë në masën 407.428 mijë lekë ose 34 përqind të planit vjetor. Realizimi në këtë nivel është si rezultat i masave të marra anti Covid-19 dhe mosrealizimit të fondeve për disa projekte investimesh.</w:t>
      </w:r>
    </w:p>
    <w:p w:rsidR="00FA0AEA" w:rsidRPr="00C06A39" w:rsidRDefault="00FA0AEA" w:rsidP="00C06A39">
      <w:pPr>
        <w:autoSpaceDE w:val="0"/>
        <w:autoSpaceDN w:val="0"/>
        <w:adjustRightInd w:val="0"/>
        <w:spacing w:line="276" w:lineRule="auto"/>
        <w:jc w:val="both"/>
        <w:rPr>
          <w:rFonts w:asciiTheme="minorHAnsi" w:hAnsiTheme="minorHAnsi" w:cstheme="minorHAnsi"/>
          <w:lang w:val="sq-AL"/>
        </w:rPr>
      </w:pPr>
    </w:p>
    <w:p w:rsidR="00FA0AEA" w:rsidRPr="00C06A39" w:rsidRDefault="00FA0AEA" w:rsidP="00C06A39">
      <w:pPr>
        <w:pStyle w:val="ListParagraph"/>
        <w:autoSpaceDE w:val="0"/>
        <w:autoSpaceDN w:val="0"/>
        <w:adjustRightInd w:val="0"/>
        <w:spacing w:line="276" w:lineRule="auto"/>
        <w:ind w:left="0"/>
        <w:jc w:val="both"/>
        <w:rPr>
          <w:rFonts w:asciiTheme="minorHAnsi" w:hAnsiTheme="minorHAnsi" w:cstheme="minorHAnsi"/>
          <w:lang w:val="sq-AL"/>
        </w:rPr>
      </w:pPr>
      <w:r w:rsidRPr="00C06A39">
        <w:rPr>
          <w:rFonts w:asciiTheme="minorHAnsi" w:hAnsiTheme="minorHAnsi" w:cstheme="minorHAnsi"/>
          <w:lang w:val="sq-AL"/>
        </w:rPr>
        <w:t>Fondet e akorduara për programin “</w:t>
      </w:r>
      <w:r w:rsidRPr="00C06A39">
        <w:rPr>
          <w:rFonts w:asciiTheme="minorHAnsi" w:hAnsiTheme="minorHAnsi" w:cstheme="minorHAnsi"/>
          <w:b/>
          <w:lang w:val="sq-AL"/>
        </w:rPr>
        <w:t>Forca e Luftimit</w:t>
      </w:r>
      <w:r w:rsidRPr="00C06A39">
        <w:rPr>
          <w:rFonts w:asciiTheme="minorHAnsi" w:hAnsiTheme="minorHAnsi" w:cstheme="minorHAnsi"/>
          <w:lang w:val="sq-AL"/>
        </w:rPr>
        <w:t xml:space="preserve">” përbëjnë rreth 34 </w:t>
      </w:r>
      <w:r w:rsidRPr="00C06A39">
        <w:rPr>
          <w:rFonts w:asciiTheme="minorHAnsi" w:hAnsiTheme="minorHAnsi" w:cstheme="minorHAnsi"/>
          <w:color w:val="000000"/>
          <w:lang w:val="sq-AL" w:eastAsia="en-GB"/>
        </w:rPr>
        <w:t>përqind</w:t>
      </w:r>
      <w:r w:rsidRPr="00C06A39">
        <w:rPr>
          <w:rFonts w:asciiTheme="minorHAnsi" w:hAnsiTheme="minorHAnsi" w:cstheme="minorHAnsi"/>
          <w:lang w:val="sq-AL"/>
        </w:rPr>
        <w:t xml:space="preserve"> të buxhetit me ndryshime të miratuar për Ministrinë e Mbrojtjes për vitin 2020. Programi Forcat e Luftimit ka parashikuar objektiva specifike dhe plane veprimi për realizimin e tyre. Objektivat e këtij programi për vitin 2020 janë:</w:t>
      </w:r>
    </w:p>
    <w:p w:rsidR="00FA0AEA" w:rsidRPr="00C06A39" w:rsidRDefault="00FA0AEA" w:rsidP="00C06A39">
      <w:pPr>
        <w:numPr>
          <w:ilvl w:val="0"/>
          <w:numId w:val="49"/>
        </w:numPr>
        <w:spacing w:after="200" w:line="276" w:lineRule="auto"/>
        <w:ind w:left="360" w:hanging="270"/>
        <w:contextualSpacing/>
        <w:jc w:val="both"/>
        <w:rPr>
          <w:rFonts w:asciiTheme="minorHAnsi" w:eastAsiaTheme="minorHAnsi" w:hAnsiTheme="minorHAnsi"/>
          <w:i/>
          <w:lang w:val="sq-AL"/>
        </w:rPr>
      </w:pPr>
      <w:r w:rsidRPr="00C06A39">
        <w:rPr>
          <w:rFonts w:asciiTheme="minorHAnsi" w:eastAsiaTheme="minorHAnsi" w:hAnsiTheme="minorHAnsi"/>
          <w:i/>
          <w:lang w:val="sq-AL"/>
        </w:rPr>
        <w:t>Mbajtja në gatishmëri dhe përmirësimi i kapaciteteve Operacionale të Forcës Tokësore</w:t>
      </w:r>
    </w:p>
    <w:p w:rsidR="00FA0AEA" w:rsidRPr="00C06A39" w:rsidRDefault="00FA0AEA" w:rsidP="00C06A39">
      <w:pPr>
        <w:numPr>
          <w:ilvl w:val="0"/>
          <w:numId w:val="49"/>
        </w:numPr>
        <w:spacing w:after="200" w:line="276" w:lineRule="auto"/>
        <w:ind w:left="360" w:hanging="270"/>
        <w:contextualSpacing/>
        <w:jc w:val="both"/>
        <w:rPr>
          <w:rFonts w:asciiTheme="minorHAnsi" w:eastAsiaTheme="minorHAnsi" w:hAnsiTheme="minorHAnsi"/>
          <w:i/>
          <w:lang w:val="sq-AL"/>
        </w:rPr>
      </w:pPr>
      <w:r w:rsidRPr="00C06A39">
        <w:rPr>
          <w:rFonts w:asciiTheme="minorHAnsi" w:eastAsiaTheme="minorHAnsi" w:hAnsiTheme="minorHAnsi"/>
          <w:i/>
          <w:lang w:val="sq-AL"/>
        </w:rPr>
        <w:t>Mbajtja në gatishmëri dhe përmirësimi i kapaciteteve Operacionale të Forcës Detare</w:t>
      </w:r>
    </w:p>
    <w:p w:rsidR="00FA0AEA" w:rsidRPr="00C06A39" w:rsidRDefault="00FA0AEA" w:rsidP="00C06A39">
      <w:pPr>
        <w:numPr>
          <w:ilvl w:val="0"/>
          <w:numId w:val="49"/>
        </w:numPr>
        <w:spacing w:after="200" w:line="276" w:lineRule="auto"/>
        <w:ind w:left="360" w:hanging="270"/>
        <w:contextualSpacing/>
        <w:jc w:val="both"/>
        <w:rPr>
          <w:rFonts w:asciiTheme="minorHAnsi" w:eastAsiaTheme="minorHAnsi" w:hAnsiTheme="minorHAnsi"/>
          <w:i/>
          <w:lang w:val="sq-AL"/>
        </w:rPr>
      </w:pPr>
      <w:r w:rsidRPr="00C06A39">
        <w:rPr>
          <w:rFonts w:asciiTheme="minorHAnsi" w:eastAsiaTheme="minorHAnsi" w:hAnsiTheme="minorHAnsi"/>
          <w:i/>
          <w:lang w:val="sq-AL"/>
        </w:rPr>
        <w:t>Mbajtja në gatishmëri dhe përmirësimi i kapaciteteve Operacionale të Forcës Ajrore</w:t>
      </w:r>
    </w:p>
    <w:p w:rsidR="00C06A39" w:rsidRPr="00C06A39" w:rsidRDefault="00C06A39" w:rsidP="00C06A39">
      <w:pPr>
        <w:spacing w:line="276" w:lineRule="auto"/>
        <w:jc w:val="both"/>
        <w:rPr>
          <w:rFonts w:asciiTheme="minorHAnsi" w:hAnsiTheme="minorHAnsi" w:cstheme="minorHAnsi"/>
          <w:color w:val="000000"/>
          <w:sz w:val="8"/>
          <w:szCs w:val="8"/>
          <w:lang w:val="sq-AL"/>
        </w:rPr>
      </w:pPr>
    </w:p>
    <w:p w:rsidR="00FA0AEA" w:rsidRPr="00C06A39" w:rsidRDefault="00FA0AEA" w:rsidP="00C06A39">
      <w:pPr>
        <w:spacing w:line="276" w:lineRule="auto"/>
        <w:jc w:val="both"/>
        <w:rPr>
          <w:rFonts w:asciiTheme="minorHAnsi" w:hAnsiTheme="minorHAnsi" w:cstheme="minorHAnsi"/>
          <w:color w:val="000000"/>
          <w:lang w:val="sq-AL"/>
        </w:rPr>
      </w:pPr>
      <w:r w:rsidRPr="00C06A39">
        <w:rPr>
          <w:rFonts w:asciiTheme="minorHAnsi" w:hAnsiTheme="minorHAnsi" w:cstheme="minorHAnsi"/>
          <w:color w:val="000000"/>
          <w:lang w:val="sq-AL"/>
        </w:rPr>
        <w:t>Treguesit e performancës për këto objektiva:</w:t>
      </w:r>
    </w:p>
    <w:p w:rsidR="00FA0AEA" w:rsidRPr="00C06A39" w:rsidRDefault="00FA0AEA" w:rsidP="00C06A39">
      <w:pPr>
        <w:numPr>
          <w:ilvl w:val="0"/>
          <w:numId w:val="49"/>
        </w:numPr>
        <w:spacing w:after="200" w:line="276" w:lineRule="auto"/>
        <w:ind w:left="360" w:hanging="270"/>
        <w:contextualSpacing/>
        <w:jc w:val="both"/>
        <w:rPr>
          <w:rFonts w:asciiTheme="minorHAnsi" w:eastAsiaTheme="minorHAnsi" w:hAnsiTheme="minorHAnsi"/>
          <w:i/>
          <w:lang w:val="sq-AL"/>
        </w:rPr>
      </w:pPr>
      <w:r w:rsidRPr="00C06A39">
        <w:rPr>
          <w:rFonts w:asciiTheme="minorHAnsi" w:eastAsiaTheme="minorHAnsi" w:hAnsiTheme="minorHAnsi"/>
          <w:i/>
          <w:lang w:val="sq-AL"/>
        </w:rPr>
        <w:t>Përgatitja e trupave për misione paqeruajtëse.</w:t>
      </w:r>
    </w:p>
    <w:p w:rsidR="00FA0AEA" w:rsidRPr="00C06A39" w:rsidRDefault="00FA0AEA" w:rsidP="00C06A39">
      <w:pPr>
        <w:numPr>
          <w:ilvl w:val="0"/>
          <w:numId w:val="49"/>
        </w:numPr>
        <w:spacing w:after="200" w:line="276" w:lineRule="auto"/>
        <w:ind w:left="360" w:hanging="270"/>
        <w:contextualSpacing/>
        <w:jc w:val="both"/>
        <w:rPr>
          <w:rFonts w:asciiTheme="minorHAnsi" w:eastAsiaTheme="minorHAnsi" w:hAnsiTheme="minorHAnsi"/>
          <w:i/>
          <w:lang w:val="sq-AL"/>
        </w:rPr>
      </w:pPr>
      <w:r w:rsidRPr="00C06A39">
        <w:rPr>
          <w:rFonts w:asciiTheme="minorHAnsi" w:eastAsiaTheme="minorHAnsi" w:hAnsiTheme="minorHAnsi"/>
          <w:i/>
          <w:lang w:val="sq-AL"/>
        </w:rPr>
        <w:t>Aftësia dislokuese e trupave për përmbushjen e misionit në një kohë rekord.</w:t>
      </w:r>
    </w:p>
    <w:p w:rsidR="00FA0AEA" w:rsidRPr="00C06A39" w:rsidRDefault="00FA0AEA" w:rsidP="00C06A39">
      <w:pPr>
        <w:numPr>
          <w:ilvl w:val="0"/>
          <w:numId w:val="49"/>
        </w:numPr>
        <w:spacing w:after="200" w:line="276" w:lineRule="auto"/>
        <w:ind w:left="360" w:hanging="270"/>
        <w:contextualSpacing/>
        <w:jc w:val="both"/>
        <w:rPr>
          <w:rFonts w:asciiTheme="minorHAnsi" w:eastAsiaTheme="minorHAnsi" w:hAnsiTheme="minorHAnsi"/>
          <w:i/>
          <w:lang w:val="sq-AL"/>
        </w:rPr>
      </w:pPr>
      <w:r w:rsidRPr="00C06A39">
        <w:rPr>
          <w:rFonts w:asciiTheme="minorHAnsi" w:eastAsiaTheme="minorHAnsi" w:hAnsiTheme="minorHAnsi"/>
          <w:i/>
          <w:lang w:val="sq-AL"/>
        </w:rPr>
        <w:t>Ndërveprueshmëria e trupave për përmbushjen e misioneve në det.</w:t>
      </w:r>
    </w:p>
    <w:p w:rsidR="00FA0AEA" w:rsidRPr="00C06A39" w:rsidRDefault="00FA0AEA" w:rsidP="00C06A39">
      <w:pPr>
        <w:numPr>
          <w:ilvl w:val="0"/>
          <w:numId w:val="49"/>
        </w:numPr>
        <w:spacing w:after="200" w:line="276" w:lineRule="auto"/>
        <w:ind w:left="360" w:hanging="270"/>
        <w:contextualSpacing/>
        <w:jc w:val="both"/>
        <w:rPr>
          <w:rFonts w:asciiTheme="minorHAnsi" w:eastAsiaTheme="minorHAnsi" w:hAnsiTheme="minorHAnsi"/>
          <w:i/>
          <w:lang w:val="sq-AL"/>
        </w:rPr>
      </w:pPr>
      <w:r w:rsidRPr="00C06A39">
        <w:rPr>
          <w:rFonts w:asciiTheme="minorHAnsi" w:eastAsiaTheme="minorHAnsi" w:hAnsiTheme="minorHAnsi"/>
          <w:i/>
          <w:lang w:val="sq-AL"/>
        </w:rPr>
        <w:t>Kontrolli i hapësirës ajrore të Republikës së Shqipërisë.</w:t>
      </w:r>
    </w:p>
    <w:p w:rsidR="00C06A39" w:rsidRDefault="00C06A39" w:rsidP="00C06A39">
      <w:pPr>
        <w:spacing w:line="276" w:lineRule="auto"/>
        <w:jc w:val="both"/>
        <w:rPr>
          <w:rFonts w:asciiTheme="minorHAnsi" w:hAnsiTheme="minorHAnsi" w:cstheme="minorHAnsi"/>
          <w:lang w:val="sq-AL" w:eastAsia="sq-AL"/>
        </w:rPr>
      </w:pPr>
    </w:p>
    <w:p w:rsidR="00FA0AEA" w:rsidRPr="00C06A39" w:rsidRDefault="00FA0AEA" w:rsidP="00C06A39">
      <w:pPr>
        <w:spacing w:line="276" w:lineRule="auto"/>
        <w:jc w:val="both"/>
        <w:rPr>
          <w:rFonts w:asciiTheme="minorHAnsi" w:hAnsiTheme="minorHAnsi" w:cstheme="minorHAnsi"/>
          <w:lang w:val="sq-AL" w:eastAsia="sq-AL"/>
        </w:rPr>
      </w:pPr>
      <w:r w:rsidRPr="00C06A39">
        <w:rPr>
          <w:rFonts w:asciiTheme="minorHAnsi" w:hAnsiTheme="minorHAnsi" w:cstheme="minorHAnsi"/>
          <w:lang w:val="sq-AL" w:eastAsia="sq-AL"/>
        </w:rPr>
        <w:t>Fondet e akorduara për Programin “</w:t>
      </w:r>
      <w:r w:rsidRPr="00C06A39">
        <w:rPr>
          <w:rFonts w:asciiTheme="minorHAnsi" w:hAnsiTheme="minorHAnsi" w:cstheme="minorHAnsi"/>
          <w:b/>
          <w:bCs/>
          <w:color w:val="000000"/>
          <w:lang w:val="sq-AL"/>
        </w:rPr>
        <w:t>Mbështetja e Luftimit</w:t>
      </w:r>
      <w:r w:rsidRPr="00C06A39">
        <w:rPr>
          <w:rFonts w:asciiTheme="minorHAnsi" w:hAnsiTheme="minorHAnsi" w:cstheme="minorHAnsi"/>
          <w:lang w:val="sq-AL" w:eastAsia="sq-AL"/>
        </w:rPr>
        <w:t xml:space="preserve">” përbëjnë rreth 25.9 </w:t>
      </w:r>
      <w:r w:rsidRPr="00C06A39">
        <w:rPr>
          <w:rFonts w:asciiTheme="minorHAnsi" w:hAnsiTheme="minorHAnsi" w:cstheme="minorHAnsi"/>
          <w:color w:val="000000"/>
          <w:lang w:val="sq-AL" w:eastAsia="en-GB"/>
        </w:rPr>
        <w:t>përqind</w:t>
      </w:r>
      <w:r w:rsidRPr="00C06A39">
        <w:rPr>
          <w:rFonts w:asciiTheme="minorHAnsi" w:hAnsiTheme="minorHAnsi" w:cstheme="minorHAnsi"/>
          <w:lang w:val="sq-AL" w:eastAsia="sq-AL"/>
        </w:rPr>
        <w:t xml:space="preserve"> të buxhetit me ndryshime të miratuar për </w:t>
      </w:r>
      <w:r w:rsidRPr="00C06A39">
        <w:rPr>
          <w:rFonts w:asciiTheme="minorHAnsi" w:hAnsiTheme="minorHAnsi" w:cstheme="minorHAnsi"/>
          <w:lang w:val="sq-AL"/>
        </w:rPr>
        <w:t xml:space="preserve">Ministrinë e Mbrojtjes </w:t>
      </w:r>
      <w:r w:rsidRPr="00C06A39">
        <w:rPr>
          <w:rFonts w:asciiTheme="minorHAnsi" w:hAnsiTheme="minorHAnsi" w:cstheme="minorHAnsi"/>
          <w:lang w:val="sq-AL" w:eastAsia="sq-AL"/>
        </w:rPr>
        <w:t>për 4-mujorin e parë të vitit 2020. Për këtë program janë parashikuar objektiva specifike për realizimin e tyre</w:t>
      </w:r>
      <w:r w:rsidR="00C06A39">
        <w:rPr>
          <w:rFonts w:asciiTheme="minorHAnsi" w:hAnsiTheme="minorHAnsi" w:cstheme="minorHAnsi"/>
          <w:lang w:val="sq-AL" w:eastAsia="sq-AL"/>
        </w:rPr>
        <w:t>,</w:t>
      </w:r>
      <w:r w:rsidRPr="00C06A39">
        <w:rPr>
          <w:rFonts w:asciiTheme="minorHAnsi" w:hAnsiTheme="minorHAnsi" w:cstheme="minorHAnsi"/>
          <w:lang w:val="sq-AL" w:eastAsia="sq-AL"/>
        </w:rPr>
        <w:t xml:space="preserve"> </w:t>
      </w:r>
      <w:r w:rsidR="00C06A39">
        <w:rPr>
          <w:rFonts w:asciiTheme="minorHAnsi" w:hAnsiTheme="minorHAnsi" w:cstheme="minorHAnsi"/>
          <w:lang w:val="sq-AL" w:eastAsia="sq-AL"/>
        </w:rPr>
        <w:t>si</w:t>
      </w:r>
      <w:r w:rsidRPr="00C06A39">
        <w:rPr>
          <w:rFonts w:asciiTheme="minorHAnsi" w:hAnsiTheme="minorHAnsi" w:cstheme="minorHAnsi"/>
          <w:lang w:val="sq-AL" w:eastAsia="sq-AL"/>
        </w:rPr>
        <w:t>:</w:t>
      </w:r>
    </w:p>
    <w:p w:rsidR="00FA0AEA" w:rsidRPr="00C06A39" w:rsidRDefault="00FA0AEA" w:rsidP="00C06A39">
      <w:pPr>
        <w:numPr>
          <w:ilvl w:val="0"/>
          <w:numId w:val="49"/>
        </w:numPr>
        <w:spacing w:line="276" w:lineRule="auto"/>
        <w:ind w:left="360" w:hanging="270"/>
        <w:contextualSpacing/>
        <w:jc w:val="both"/>
        <w:rPr>
          <w:rFonts w:asciiTheme="minorHAnsi" w:eastAsiaTheme="minorHAnsi" w:hAnsiTheme="minorHAnsi"/>
          <w:i/>
          <w:lang w:val="sq-AL"/>
        </w:rPr>
      </w:pPr>
      <w:r w:rsidRPr="00C06A39">
        <w:rPr>
          <w:rFonts w:asciiTheme="minorHAnsi" w:eastAsiaTheme="minorHAnsi" w:hAnsiTheme="minorHAnsi"/>
          <w:i/>
          <w:lang w:val="sq-AL"/>
        </w:rPr>
        <w:t xml:space="preserve">Sigurimi i logjistikes së  nevojshme si dhe mbështetja në operacione humanitare dhe misione ndërkombëtare.Treguesit e performancës për këtë objektiv janë: </w:t>
      </w:r>
    </w:p>
    <w:p w:rsidR="00FA0AEA" w:rsidRPr="00C06A39" w:rsidRDefault="00FA0AEA" w:rsidP="00C06A39">
      <w:pPr>
        <w:pStyle w:val="ListParagraph"/>
        <w:numPr>
          <w:ilvl w:val="0"/>
          <w:numId w:val="56"/>
        </w:numPr>
        <w:autoSpaceDE w:val="0"/>
        <w:autoSpaceDN w:val="0"/>
        <w:adjustRightInd w:val="0"/>
        <w:spacing w:line="276" w:lineRule="auto"/>
        <w:jc w:val="both"/>
        <w:rPr>
          <w:rFonts w:asciiTheme="minorHAnsi" w:hAnsiTheme="minorHAnsi" w:cstheme="minorHAnsi"/>
          <w:color w:val="000000"/>
          <w:lang w:val="sq-AL"/>
        </w:rPr>
      </w:pPr>
      <w:r w:rsidRPr="00C06A39">
        <w:rPr>
          <w:rFonts w:asciiTheme="minorHAnsi" w:hAnsiTheme="minorHAnsi" w:cstheme="minorHAnsi"/>
          <w:color w:val="000000"/>
          <w:lang w:val="sq-AL"/>
        </w:rPr>
        <w:t>Përqindja e furnizimit në kohë dhe mbështetja logjistike e Forcave të Armatosura.</w:t>
      </w:r>
    </w:p>
    <w:p w:rsidR="00FA0AEA" w:rsidRPr="00C06A39" w:rsidRDefault="00FA0AEA" w:rsidP="00C06A39">
      <w:pPr>
        <w:pStyle w:val="ListParagraph"/>
        <w:numPr>
          <w:ilvl w:val="0"/>
          <w:numId w:val="56"/>
        </w:numPr>
        <w:autoSpaceDE w:val="0"/>
        <w:autoSpaceDN w:val="0"/>
        <w:adjustRightInd w:val="0"/>
        <w:spacing w:line="276" w:lineRule="auto"/>
        <w:jc w:val="both"/>
        <w:rPr>
          <w:rFonts w:asciiTheme="minorHAnsi" w:hAnsiTheme="minorHAnsi" w:cstheme="minorHAnsi"/>
          <w:color w:val="000000"/>
          <w:lang w:val="sq-AL"/>
        </w:rPr>
      </w:pPr>
      <w:r w:rsidRPr="00C06A39">
        <w:rPr>
          <w:rFonts w:asciiTheme="minorHAnsi" w:hAnsiTheme="minorHAnsi" w:cstheme="minorHAnsi"/>
          <w:color w:val="000000"/>
          <w:lang w:val="sq-AL"/>
        </w:rPr>
        <w:t>Menaxhimi në kohë dhe profesional i operacioneve të EC dhe CIMIC.</w:t>
      </w:r>
    </w:p>
    <w:p w:rsidR="00FA0AEA" w:rsidRPr="00C06A39" w:rsidRDefault="00FA0AEA" w:rsidP="00C06A39">
      <w:pPr>
        <w:pStyle w:val="ListParagraph"/>
        <w:numPr>
          <w:ilvl w:val="0"/>
          <w:numId w:val="56"/>
        </w:numPr>
        <w:autoSpaceDE w:val="0"/>
        <w:autoSpaceDN w:val="0"/>
        <w:adjustRightInd w:val="0"/>
        <w:spacing w:line="276" w:lineRule="auto"/>
        <w:jc w:val="both"/>
        <w:rPr>
          <w:rFonts w:asciiTheme="minorHAnsi" w:hAnsiTheme="minorHAnsi" w:cstheme="minorHAnsi"/>
          <w:color w:val="000000"/>
          <w:lang w:val="sq-AL"/>
        </w:rPr>
      </w:pPr>
      <w:r w:rsidRPr="00C06A39">
        <w:rPr>
          <w:rFonts w:asciiTheme="minorHAnsi" w:hAnsiTheme="minorHAnsi" w:cstheme="minorHAnsi"/>
          <w:color w:val="000000"/>
          <w:lang w:val="sq-AL"/>
        </w:rPr>
        <w:t>Dokumente të procesuara dhe arkivuara sipas legjislacionit ne fuqi.</w:t>
      </w:r>
    </w:p>
    <w:p w:rsidR="00FA0AEA" w:rsidRPr="00C06A39" w:rsidRDefault="00FA0AEA" w:rsidP="00C06A39">
      <w:pPr>
        <w:pStyle w:val="ListParagraph"/>
        <w:spacing w:line="276" w:lineRule="auto"/>
        <w:ind w:left="2160"/>
        <w:jc w:val="both"/>
        <w:rPr>
          <w:rFonts w:asciiTheme="minorHAnsi" w:hAnsiTheme="minorHAnsi" w:cstheme="minorHAnsi"/>
          <w:sz w:val="8"/>
          <w:szCs w:val="8"/>
          <w:lang w:val="sq-AL" w:eastAsia="sq-AL"/>
        </w:rPr>
      </w:pPr>
    </w:p>
    <w:p w:rsidR="00FA0AEA" w:rsidRPr="00C06A39" w:rsidRDefault="00FA0AEA" w:rsidP="00C06A39">
      <w:pPr>
        <w:numPr>
          <w:ilvl w:val="0"/>
          <w:numId w:val="49"/>
        </w:numPr>
        <w:spacing w:line="276" w:lineRule="auto"/>
        <w:ind w:left="360" w:hanging="270"/>
        <w:contextualSpacing/>
        <w:jc w:val="both"/>
        <w:rPr>
          <w:rFonts w:asciiTheme="minorHAnsi" w:eastAsiaTheme="minorHAnsi" w:hAnsiTheme="minorHAnsi"/>
          <w:i/>
          <w:lang w:val="sq-AL"/>
        </w:rPr>
      </w:pPr>
      <w:r w:rsidRPr="00C06A39">
        <w:rPr>
          <w:rFonts w:asciiTheme="minorHAnsi" w:eastAsiaTheme="minorHAnsi" w:hAnsiTheme="minorHAnsi"/>
          <w:i/>
          <w:lang w:val="sq-AL"/>
        </w:rPr>
        <w:t>Sigurimi i inteligjencës strategjike të nevojshme dhe sipas standardeve të NATO-s  për siguri dhe stabilitet .Treguesit e performancës për këtë objektiv Nr 2:</w:t>
      </w:r>
    </w:p>
    <w:p w:rsidR="00FA0AEA" w:rsidRPr="00C06A39" w:rsidRDefault="00FA0AEA" w:rsidP="00C06A39">
      <w:pPr>
        <w:pStyle w:val="ListParagraph"/>
        <w:numPr>
          <w:ilvl w:val="0"/>
          <w:numId w:val="56"/>
        </w:numPr>
        <w:autoSpaceDE w:val="0"/>
        <w:autoSpaceDN w:val="0"/>
        <w:adjustRightInd w:val="0"/>
        <w:spacing w:line="276" w:lineRule="auto"/>
        <w:jc w:val="both"/>
        <w:rPr>
          <w:rFonts w:asciiTheme="minorHAnsi" w:hAnsiTheme="minorHAnsi" w:cstheme="minorHAnsi"/>
          <w:color w:val="000000"/>
          <w:lang w:val="sq-AL"/>
        </w:rPr>
      </w:pPr>
      <w:r w:rsidRPr="00C06A39">
        <w:rPr>
          <w:rFonts w:asciiTheme="minorHAnsi" w:hAnsiTheme="minorHAnsi" w:cstheme="minorHAnsi"/>
          <w:color w:val="000000"/>
          <w:lang w:val="sq-AL"/>
        </w:rPr>
        <w:t>Përqindja e arritjes së përmbushjes së objektivave të kapaciteteve në fushën e inteligjencës ushtarake dhe të NATO-s.</w:t>
      </w:r>
    </w:p>
    <w:p w:rsidR="00FA0AEA" w:rsidRPr="00C06A39" w:rsidRDefault="00FA0AEA" w:rsidP="00C06A39">
      <w:pPr>
        <w:pStyle w:val="ListParagraph"/>
        <w:numPr>
          <w:ilvl w:val="0"/>
          <w:numId w:val="56"/>
        </w:numPr>
        <w:autoSpaceDE w:val="0"/>
        <w:autoSpaceDN w:val="0"/>
        <w:adjustRightInd w:val="0"/>
        <w:spacing w:line="276" w:lineRule="auto"/>
        <w:jc w:val="both"/>
        <w:rPr>
          <w:rFonts w:asciiTheme="minorHAnsi" w:hAnsiTheme="minorHAnsi" w:cstheme="minorHAnsi"/>
          <w:color w:val="000000"/>
          <w:lang w:val="sq-AL"/>
        </w:rPr>
      </w:pPr>
      <w:r w:rsidRPr="00C06A39">
        <w:rPr>
          <w:rFonts w:asciiTheme="minorHAnsi" w:hAnsiTheme="minorHAnsi" w:cstheme="minorHAnsi"/>
          <w:color w:val="000000"/>
          <w:lang w:val="sq-AL"/>
        </w:rPr>
        <w:t>Përqindja e arritjes së kapaciteteve te nevojshme operacionale.</w:t>
      </w:r>
    </w:p>
    <w:p w:rsidR="00FA0AEA" w:rsidRPr="00C06A39" w:rsidRDefault="00FA0AEA" w:rsidP="00C06A39">
      <w:pPr>
        <w:pStyle w:val="ListParagraph"/>
        <w:spacing w:line="276" w:lineRule="auto"/>
        <w:ind w:left="2160"/>
        <w:jc w:val="both"/>
        <w:rPr>
          <w:rFonts w:asciiTheme="minorHAnsi" w:hAnsiTheme="minorHAnsi" w:cstheme="minorHAnsi"/>
          <w:sz w:val="8"/>
          <w:szCs w:val="8"/>
          <w:lang w:val="sq-AL" w:eastAsia="sq-AL"/>
        </w:rPr>
      </w:pPr>
    </w:p>
    <w:p w:rsidR="00FA0AEA" w:rsidRPr="00C06A39" w:rsidRDefault="00FA0AEA" w:rsidP="00C06A39">
      <w:pPr>
        <w:numPr>
          <w:ilvl w:val="0"/>
          <w:numId w:val="49"/>
        </w:numPr>
        <w:spacing w:line="276" w:lineRule="auto"/>
        <w:ind w:left="360" w:hanging="270"/>
        <w:contextualSpacing/>
        <w:jc w:val="both"/>
        <w:rPr>
          <w:rFonts w:asciiTheme="minorHAnsi" w:eastAsiaTheme="minorHAnsi" w:hAnsiTheme="minorHAnsi"/>
          <w:i/>
          <w:lang w:val="sq-AL"/>
        </w:rPr>
      </w:pPr>
      <w:r w:rsidRPr="00C06A39">
        <w:rPr>
          <w:rFonts w:asciiTheme="minorHAnsi" w:eastAsiaTheme="minorHAnsi" w:hAnsiTheme="minorHAnsi"/>
          <w:i/>
          <w:lang w:val="sq-AL"/>
        </w:rPr>
        <w:t xml:space="preserve">Sigurimi dhe mbështesja e sistemeve të teknologjisë  brenda standardeve  të NATO-s. Treguesit e performancës për këtë objektiv Nr 3: </w:t>
      </w:r>
    </w:p>
    <w:p w:rsidR="00FA0AEA" w:rsidRPr="00C06A39" w:rsidRDefault="00FA0AEA" w:rsidP="00C06A39">
      <w:pPr>
        <w:pStyle w:val="ListParagraph"/>
        <w:numPr>
          <w:ilvl w:val="0"/>
          <w:numId w:val="56"/>
        </w:numPr>
        <w:autoSpaceDE w:val="0"/>
        <w:autoSpaceDN w:val="0"/>
        <w:adjustRightInd w:val="0"/>
        <w:spacing w:line="276" w:lineRule="auto"/>
        <w:jc w:val="both"/>
        <w:rPr>
          <w:rFonts w:asciiTheme="minorHAnsi" w:hAnsiTheme="minorHAnsi" w:cstheme="minorHAnsi"/>
          <w:color w:val="000000"/>
          <w:lang w:val="sq-AL"/>
        </w:rPr>
      </w:pPr>
      <w:r w:rsidRPr="00C06A39">
        <w:rPr>
          <w:rFonts w:asciiTheme="minorHAnsi" w:hAnsiTheme="minorHAnsi" w:cstheme="minorHAnsi"/>
          <w:color w:val="000000"/>
          <w:lang w:val="sq-AL"/>
        </w:rPr>
        <w:t xml:space="preserve">Kapacitete operacionale per ASNI </w:t>
      </w:r>
    </w:p>
    <w:p w:rsidR="00FA0AEA" w:rsidRPr="00C06A39" w:rsidRDefault="00FA0AEA" w:rsidP="00C06A39">
      <w:pPr>
        <w:pStyle w:val="ListParagraph"/>
        <w:numPr>
          <w:ilvl w:val="0"/>
          <w:numId w:val="56"/>
        </w:numPr>
        <w:autoSpaceDE w:val="0"/>
        <w:autoSpaceDN w:val="0"/>
        <w:adjustRightInd w:val="0"/>
        <w:spacing w:line="276" w:lineRule="auto"/>
        <w:jc w:val="both"/>
        <w:rPr>
          <w:rFonts w:asciiTheme="minorHAnsi" w:hAnsiTheme="minorHAnsi" w:cstheme="minorHAnsi"/>
          <w:color w:val="000000"/>
          <w:lang w:val="sq-AL"/>
        </w:rPr>
      </w:pPr>
      <w:r w:rsidRPr="00C06A39">
        <w:rPr>
          <w:rFonts w:asciiTheme="minorHAnsi" w:hAnsiTheme="minorHAnsi" w:cstheme="minorHAnsi"/>
          <w:color w:val="000000"/>
          <w:lang w:val="sq-AL"/>
        </w:rPr>
        <w:t>Ruajtja e nivelit oreracional për Repartin nr. 6630</w:t>
      </w:r>
    </w:p>
    <w:p w:rsidR="00FA0AEA" w:rsidRPr="00C06A39" w:rsidRDefault="00FA0AEA" w:rsidP="00C06A39">
      <w:pPr>
        <w:pStyle w:val="ListParagraph"/>
        <w:numPr>
          <w:ilvl w:val="0"/>
          <w:numId w:val="56"/>
        </w:numPr>
        <w:autoSpaceDE w:val="0"/>
        <w:autoSpaceDN w:val="0"/>
        <w:adjustRightInd w:val="0"/>
        <w:spacing w:line="276" w:lineRule="auto"/>
        <w:jc w:val="both"/>
        <w:rPr>
          <w:rFonts w:asciiTheme="minorHAnsi" w:hAnsiTheme="minorHAnsi" w:cstheme="minorHAnsi"/>
          <w:color w:val="000000"/>
          <w:lang w:val="sq-AL"/>
        </w:rPr>
      </w:pPr>
      <w:r w:rsidRPr="00C06A39">
        <w:rPr>
          <w:rFonts w:asciiTheme="minorHAnsi" w:hAnsiTheme="minorHAnsi" w:cstheme="minorHAnsi"/>
          <w:color w:val="000000"/>
          <w:lang w:val="sq-AL"/>
        </w:rPr>
        <w:t>Janë planifikuar 29 Produkte, 13 produkteve në zërat “Shpenzime Korrente “ dhe  16 Projekte  Investimi në zërin “Shpenzime Kapitale”.</w:t>
      </w:r>
    </w:p>
    <w:p w:rsidR="00AF0DC4" w:rsidRPr="00C06A39" w:rsidRDefault="00AF0DC4" w:rsidP="00C06A39">
      <w:pPr>
        <w:autoSpaceDE w:val="0"/>
        <w:autoSpaceDN w:val="0"/>
        <w:adjustRightInd w:val="0"/>
        <w:spacing w:line="276" w:lineRule="auto"/>
        <w:jc w:val="both"/>
        <w:rPr>
          <w:rFonts w:asciiTheme="minorHAnsi" w:hAnsiTheme="minorHAnsi" w:cstheme="minorHAnsi"/>
          <w:color w:val="000000"/>
          <w:sz w:val="8"/>
          <w:szCs w:val="8"/>
          <w:lang w:val="sq-AL"/>
        </w:rPr>
      </w:pPr>
    </w:p>
    <w:p w:rsidR="00FA0AEA" w:rsidRDefault="00FA0AEA" w:rsidP="00C06A39">
      <w:pPr>
        <w:tabs>
          <w:tab w:val="left" w:pos="2355"/>
        </w:tabs>
        <w:spacing w:line="276" w:lineRule="auto"/>
        <w:jc w:val="both"/>
        <w:rPr>
          <w:rFonts w:asciiTheme="minorHAnsi" w:hAnsiTheme="minorHAnsi" w:cstheme="minorHAnsi"/>
          <w:bCs/>
          <w:iCs/>
          <w:lang w:val="sq-AL"/>
        </w:rPr>
      </w:pPr>
      <w:r w:rsidRPr="00C06A39">
        <w:rPr>
          <w:rFonts w:asciiTheme="minorHAnsi" w:hAnsiTheme="minorHAnsi" w:cstheme="minorHAnsi"/>
          <w:bCs/>
          <w:iCs/>
          <w:lang w:val="sq-AL"/>
        </w:rPr>
        <w:t>Realizimi i fondeve buxhetore për 4-mujorin 2020 në këtë program buxhetor për grupin e shpenzimeve korente rezulton në masën 30 përqind, ndërkohë që investimet nuk kanë filluar ende realizimin.</w:t>
      </w:r>
    </w:p>
    <w:p w:rsidR="00342E35" w:rsidRPr="00C06A39" w:rsidRDefault="00342E35" w:rsidP="00C06A39">
      <w:pPr>
        <w:tabs>
          <w:tab w:val="left" w:pos="2355"/>
        </w:tabs>
        <w:spacing w:line="276" w:lineRule="auto"/>
        <w:jc w:val="both"/>
        <w:rPr>
          <w:rFonts w:asciiTheme="minorHAnsi" w:hAnsiTheme="minorHAnsi" w:cstheme="minorHAnsi"/>
          <w:bCs/>
          <w:iCs/>
          <w:lang w:val="sq-AL"/>
        </w:rPr>
      </w:pPr>
    </w:p>
    <w:p w:rsidR="00C06A39" w:rsidRPr="00C06A39" w:rsidRDefault="00C06A39" w:rsidP="00C06A39">
      <w:pPr>
        <w:autoSpaceDE w:val="0"/>
        <w:autoSpaceDN w:val="0"/>
        <w:adjustRightInd w:val="0"/>
        <w:spacing w:line="276" w:lineRule="auto"/>
        <w:jc w:val="both"/>
        <w:rPr>
          <w:rFonts w:asciiTheme="minorHAnsi" w:hAnsiTheme="minorHAnsi" w:cstheme="minorHAnsi"/>
          <w:color w:val="000000"/>
          <w:lang w:val="sq-AL"/>
        </w:rPr>
      </w:pPr>
    </w:p>
    <w:p w:rsidR="00C06A39" w:rsidRDefault="00FA0AEA" w:rsidP="00C06A39">
      <w:pPr>
        <w:spacing w:line="276" w:lineRule="auto"/>
        <w:jc w:val="both"/>
        <w:rPr>
          <w:rFonts w:asciiTheme="minorHAnsi" w:hAnsiTheme="minorHAnsi" w:cstheme="minorHAnsi"/>
          <w:bCs/>
          <w:lang w:val="sq-AL"/>
        </w:rPr>
      </w:pPr>
      <w:r w:rsidRPr="00C06A39">
        <w:rPr>
          <w:rFonts w:asciiTheme="minorHAnsi" w:hAnsiTheme="minorHAnsi" w:cstheme="minorHAnsi"/>
          <w:lang w:val="sq-AL" w:eastAsia="sq-AL"/>
        </w:rPr>
        <w:lastRenderedPageBreak/>
        <w:t>Fondet e akorduara për Programin “</w:t>
      </w:r>
      <w:r w:rsidRPr="00C06A39">
        <w:rPr>
          <w:rFonts w:asciiTheme="minorHAnsi" w:hAnsiTheme="minorHAnsi" w:cstheme="minorHAnsi"/>
          <w:b/>
          <w:lang w:val="sq-AL"/>
        </w:rPr>
        <w:t>Arsimi Ushtarak</w:t>
      </w:r>
      <w:r w:rsidRPr="00C06A39">
        <w:rPr>
          <w:rFonts w:asciiTheme="minorHAnsi" w:hAnsiTheme="minorHAnsi" w:cstheme="minorHAnsi"/>
          <w:lang w:val="sq-AL"/>
        </w:rPr>
        <w:t>”</w:t>
      </w:r>
      <w:r w:rsidRPr="00C06A39">
        <w:rPr>
          <w:rFonts w:asciiTheme="minorHAnsi" w:hAnsiTheme="minorHAnsi" w:cstheme="minorHAnsi"/>
          <w:lang w:val="sq-AL" w:eastAsia="sq-AL"/>
        </w:rPr>
        <w:t xml:space="preserve"> përbëjnë rreth 3.1përqind të buxhetit me ndryshime të miratuar për MM-në për 4-mujorin e vitit 2020. </w:t>
      </w:r>
      <w:r w:rsidRPr="00C06A39">
        <w:rPr>
          <w:rFonts w:asciiTheme="minorHAnsi" w:hAnsiTheme="minorHAnsi" w:cstheme="minorHAnsi"/>
          <w:color w:val="000000"/>
          <w:lang w:val="sq-AL"/>
        </w:rPr>
        <w:t>Ky program synon</w:t>
      </w:r>
      <w:r w:rsidRPr="00C06A39">
        <w:rPr>
          <w:rFonts w:asciiTheme="minorHAnsi" w:hAnsiTheme="minorHAnsi" w:cstheme="minorHAnsi"/>
          <w:bCs/>
          <w:lang w:val="sq-AL"/>
        </w:rPr>
        <w:t xml:space="preserve"> “Rritjen e kapaciteteve të burimeve njerëzore dhe transformimi i sistemit të edukimit ushtarak e civil nëpërmjet programeve të integruara dhe gjithëpërfshirëse në përputhje me standardet e NATO”.</w:t>
      </w:r>
      <w:r w:rsidR="00C06A39">
        <w:rPr>
          <w:rFonts w:asciiTheme="minorHAnsi" w:hAnsiTheme="minorHAnsi" w:cstheme="minorHAnsi"/>
          <w:bCs/>
          <w:lang w:val="sq-AL"/>
        </w:rPr>
        <w:t xml:space="preserve"> </w:t>
      </w:r>
    </w:p>
    <w:p w:rsidR="00C06A39" w:rsidRPr="00C06A39" w:rsidRDefault="00C06A39" w:rsidP="00C06A39">
      <w:pPr>
        <w:spacing w:line="276" w:lineRule="auto"/>
        <w:jc w:val="both"/>
        <w:rPr>
          <w:rFonts w:asciiTheme="minorHAnsi" w:hAnsiTheme="minorHAnsi" w:cstheme="minorHAnsi"/>
          <w:bCs/>
          <w:sz w:val="8"/>
          <w:szCs w:val="8"/>
          <w:lang w:val="sq-AL"/>
        </w:rPr>
      </w:pPr>
    </w:p>
    <w:p w:rsidR="00FA0AEA" w:rsidRPr="00C06A39" w:rsidRDefault="00FA0AEA" w:rsidP="00C06A39">
      <w:pPr>
        <w:spacing w:line="276" w:lineRule="auto"/>
        <w:jc w:val="both"/>
        <w:rPr>
          <w:rFonts w:asciiTheme="minorHAnsi" w:hAnsiTheme="minorHAnsi" w:cstheme="minorHAnsi"/>
          <w:color w:val="000000"/>
          <w:lang w:val="sq-AL"/>
        </w:rPr>
      </w:pPr>
      <w:r w:rsidRPr="00C06A39">
        <w:rPr>
          <w:rFonts w:asciiTheme="minorHAnsi" w:hAnsiTheme="minorHAnsi" w:cstheme="minorHAnsi"/>
          <w:color w:val="000000"/>
          <w:lang w:val="sq-AL"/>
        </w:rPr>
        <w:t xml:space="preserve">Treguesit e performancës për këtë objektiv: </w:t>
      </w:r>
    </w:p>
    <w:p w:rsidR="00FA0AEA" w:rsidRPr="00C06A39" w:rsidRDefault="00FA0AEA" w:rsidP="00C06A39">
      <w:pPr>
        <w:numPr>
          <w:ilvl w:val="0"/>
          <w:numId w:val="49"/>
        </w:numPr>
        <w:spacing w:line="276" w:lineRule="auto"/>
        <w:ind w:left="360" w:hanging="270"/>
        <w:contextualSpacing/>
        <w:jc w:val="both"/>
        <w:rPr>
          <w:rFonts w:asciiTheme="minorHAnsi" w:eastAsiaTheme="minorHAnsi" w:hAnsiTheme="minorHAnsi"/>
          <w:i/>
          <w:lang w:val="sq-AL"/>
        </w:rPr>
      </w:pPr>
      <w:r w:rsidRPr="00C06A39">
        <w:rPr>
          <w:rFonts w:asciiTheme="minorHAnsi" w:eastAsiaTheme="minorHAnsi" w:hAnsiTheme="minorHAnsi"/>
          <w:i/>
          <w:lang w:val="sq-AL"/>
        </w:rPr>
        <w:t>Numër ushtarakësh të rinj të trajnuar dhe pranuar kundrejt numrit të aplikimeve</w:t>
      </w:r>
    </w:p>
    <w:p w:rsidR="00FA0AEA" w:rsidRPr="00C06A39" w:rsidRDefault="00FA0AEA" w:rsidP="00C06A39">
      <w:pPr>
        <w:numPr>
          <w:ilvl w:val="0"/>
          <w:numId w:val="49"/>
        </w:numPr>
        <w:spacing w:line="276" w:lineRule="auto"/>
        <w:ind w:left="360" w:hanging="270"/>
        <w:contextualSpacing/>
        <w:jc w:val="both"/>
        <w:rPr>
          <w:rFonts w:asciiTheme="minorHAnsi" w:eastAsiaTheme="minorHAnsi" w:hAnsiTheme="minorHAnsi"/>
          <w:i/>
          <w:lang w:val="sq-AL"/>
        </w:rPr>
      </w:pPr>
      <w:r w:rsidRPr="00C06A39">
        <w:rPr>
          <w:rFonts w:asciiTheme="minorHAnsi" w:eastAsiaTheme="minorHAnsi" w:hAnsiTheme="minorHAnsi"/>
          <w:i/>
          <w:lang w:val="sq-AL"/>
        </w:rPr>
        <w:t>Numër personeli që përfundojnë trajnimet dhe kalojnë testet.</w:t>
      </w:r>
    </w:p>
    <w:p w:rsidR="00FA0AEA" w:rsidRPr="00C06A39" w:rsidRDefault="00FA0AEA" w:rsidP="00C06A39">
      <w:pPr>
        <w:numPr>
          <w:ilvl w:val="0"/>
          <w:numId w:val="49"/>
        </w:numPr>
        <w:spacing w:line="276" w:lineRule="auto"/>
        <w:ind w:left="360" w:hanging="270"/>
        <w:contextualSpacing/>
        <w:jc w:val="both"/>
        <w:rPr>
          <w:rFonts w:asciiTheme="minorHAnsi" w:eastAsiaTheme="minorHAnsi" w:hAnsiTheme="minorHAnsi"/>
          <w:i/>
          <w:lang w:val="sq-AL"/>
        </w:rPr>
      </w:pPr>
      <w:r w:rsidRPr="00C06A39">
        <w:rPr>
          <w:rFonts w:asciiTheme="minorHAnsi" w:eastAsiaTheme="minorHAnsi" w:hAnsiTheme="minorHAnsi"/>
          <w:i/>
          <w:lang w:val="sq-AL"/>
        </w:rPr>
        <w:t>Numër manualesh të botuara kundrejt planifikimit.</w:t>
      </w:r>
    </w:p>
    <w:p w:rsidR="00FA0AEA" w:rsidRPr="00C06A39" w:rsidRDefault="00FA0AEA" w:rsidP="00C06A39">
      <w:pPr>
        <w:numPr>
          <w:ilvl w:val="0"/>
          <w:numId w:val="49"/>
        </w:numPr>
        <w:spacing w:line="276" w:lineRule="auto"/>
        <w:ind w:left="360" w:hanging="270"/>
        <w:contextualSpacing/>
        <w:jc w:val="both"/>
        <w:rPr>
          <w:rFonts w:asciiTheme="minorHAnsi" w:eastAsiaTheme="minorHAnsi" w:hAnsiTheme="minorHAnsi"/>
          <w:i/>
          <w:lang w:val="sq-AL"/>
        </w:rPr>
      </w:pPr>
      <w:r w:rsidRPr="00C06A39">
        <w:rPr>
          <w:rFonts w:asciiTheme="minorHAnsi" w:eastAsiaTheme="minorHAnsi" w:hAnsiTheme="minorHAnsi"/>
          <w:i/>
          <w:lang w:val="sq-AL"/>
        </w:rPr>
        <w:t>Numër kërkimesh shkencore të publikuara kundrejt planifikimit.</w:t>
      </w:r>
    </w:p>
    <w:p w:rsidR="00FA0AEA" w:rsidRPr="00C06A39" w:rsidRDefault="00FA0AEA" w:rsidP="00C06A39">
      <w:pPr>
        <w:numPr>
          <w:ilvl w:val="0"/>
          <w:numId w:val="49"/>
        </w:numPr>
        <w:spacing w:line="276" w:lineRule="auto"/>
        <w:ind w:left="360" w:hanging="270"/>
        <w:contextualSpacing/>
        <w:jc w:val="both"/>
        <w:rPr>
          <w:rFonts w:asciiTheme="minorHAnsi" w:eastAsiaTheme="minorHAnsi" w:hAnsiTheme="minorHAnsi"/>
          <w:i/>
          <w:lang w:val="sq-AL"/>
        </w:rPr>
      </w:pPr>
      <w:r w:rsidRPr="00C06A39">
        <w:rPr>
          <w:rFonts w:asciiTheme="minorHAnsi" w:eastAsiaTheme="minorHAnsi" w:hAnsiTheme="minorHAnsi"/>
          <w:i/>
          <w:lang w:val="sq-AL"/>
        </w:rPr>
        <w:t>Numër studimesh të zhvilluara për standardizimin e FA-ve.</w:t>
      </w:r>
    </w:p>
    <w:p w:rsidR="00FA0AEA" w:rsidRPr="00C06A39" w:rsidRDefault="00FA0AEA" w:rsidP="00C06A39">
      <w:pPr>
        <w:numPr>
          <w:ilvl w:val="0"/>
          <w:numId w:val="49"/>
        </w:numPr>
        <w:spacing w:line="276" w:lineRule="auto"/>
        <w:ind w:left="360" w:hanging="270"/>
        <w:contextualSpacing/>
        <w:jc w:val="both"/>
        <w:rPr>
          <w:rFonts w:asciiTheme="minorHAnsi" w:eastAsiaTheme="minorHAnsi" w:hAnsiTheme="minorHAnsi"/>
          <w:i/>
          <w:lang w:val="sq-AL"/>
        </w:rPr>
      </w:pPr>
      <w:r w:rsidRPr="00C06A39">
        <w:rPr>
          <w:rFonts w:asciiTheme="minorHAnsi" w:eastAsiaTheme="minorHAnsi" w:hAnsiTheme="minorHAnsi"/>
          <w:i/>
          <w:lang w:val="sq-AL"/>
        </w:rPr>
        <w:t>Numër personeli ushtarakë të gjinisë femra të pranuara në FA.</w:t>
      </w:r>
    </w:p>
    <w:p w:rsidR="00FA0AEA" w:rsidRPr="00C06A39" w:rsidRDefault="00FA0AEA" w:rsidP="00C06A39">
      <w:pPr>
        <w:numPr>
          <w:ilvl w:val="0"/>
          <w:numId w:val="49"/>
        </w:numPr>
        <w:spacing w:line="276" w:lineRule="auto"/>
        <w:ind w:left="360" w:hanging="270"/>
        <w:contextualSpacing/>
        <w:jc w:val="both"/>
        <w:rPr>
          <w:rFonts w:asciiTheme="minorHAnsi" w:eastAsiaTheme="minorHAnsi" w:hAnsiTheme="minorHAnsi"/>
          <w:i/>
          <w:lang w:val="sq-AL"/>
        </w:rPr>
      </w:pPr>
      <w:r w:rsidRPr="00C06A39">
        <w:rPr>
          <w:rFonts w:asciiTheme="minorHAnsi" w:eastAsiaTheme="minorHAnsi" w:hAnsiTheme="minorHAnsi"/>
          <w:i/>
          <w:lang w:val="sq-AL"/>
        </w:rPr>
        <w:t>Numër personeli i trajnuar/stërvitur.</w:t>
      </w:r>
    </w:p>
    <w:p w:rsidR="00C06A39" w:rsidRPr="00C06A39" w:rsidRDefault="00C06A39" w:rsidP="00C06A39">
      <w:pPr>
        <w:autoSpaceDE w:val="0"/>
        <w:autoSpaceDN w:val="0"/>
        <w:adjustRightInd w:val="0"/>
        <w:spacing w:line="276" w:lineRule="auto"/>
        <w:jc w:val="both"/>
        <w:rPr>
          <w:rFonts w:asciiTheme="minorHAnsi" w:hAnsiTheme="minorHAnsi" w:cstheme="minorHAnsi"/>
          <w:bCs/>
          <w:iCs/>
          <w:sz w:val="8"/>
          <w:szCs w:val="8"/>
          <w:lang w:val="sq-AL"/>
        </w:rPr>
      </w:pPr>
    </w:p>
    <w:p w:rsidR="00FA0AEA" w:rsidRPr="00C06A39" w:rsidRDefault="00FA0AEA" w:rsidP="00C06A39">
      <w:pPr>
        <w:autoSpaceDE w:val="0"/>
        <w:autoSpaceDN w:val="0"/>
        <w:adjustRightInd w:val="0"/>
        <w:spacing w:line="276" w:lineRule="auto"/>
        <w:jc w:val="both"/>
        <w:rPr>
          <w:rFonts w:asciiTheme="minorHAnsi" w:hAnsiTheme="minorHAnsi" w:cstheme="minorHAnsi"/>
          <w:color w:val="000000"/>
          <w:lang w:val="sq-AL"/>
        </w:rPr>
      </w:pPr>
      <w:r w:rsidRPr="00C06A39">
        <w:rPr>
          <w:rFonts w:asciiTheme="minorHAnsi" w:hAnsiTheme="minorHAnsi" w:cstheme="minorHAnsi"/>
          <w:bCs/>
          <w:iCs/>
          <w:lang w:val="sq-AL"/>
        </w:rPr>
        <w:t>Realizimi i fondeve buxhetore sipas për 4-mujorin 2020 në këtë program buxhetor për grupin e shpenzimeve korente rezulton në masën 28 përqind.</w:t>
      </w:r>
    </w:p>
    <w:p w:rsidR="00FA0AEA" w:rsidRPr="00C06A39" w:rsidRDefault="00FA0AEA" w:rsidP="00C06A39">
      <w:pPr>
        <w:shd w:val="clear" w:color="auto" w:fill="FFFFFF"/>
        <w:spacing w:line="276" w:lineRule="auto"/>
        <w:jc w:val="both"/>
        <w:rPr>
          <w:rFonts w:asciiTheme="minorHAnsi" w:hAnsiTheme="minorHAnsi" w:cstheme="minorHAnsi"/>
          <w:color w:val="201F1E"/>
          <w:bdr w:val="none" w:sz="0" w:space="0" w:color="auto" w:frame="1"/>
          <w:lang w:val="sq-AL"/>
        </w:rPr>
      </w:pPr>
    </w:p>
    <w:p w:rsidR="00FA0AEA" w:rsidRPr="00C06A39" w:rsidRDefault="00FA0AEA" w:rsidP="00C06A39">
      <w:pPr>
        <w:shd w:val="clear" w:color="auto" w:fill="FFFFFF"/>
        <w:spacing w:line="276" w:lineRule="auto"/>
        <w:jc w:val="both"/>
        <w:rPr>
          <w:rFonts w:asciiTheme="minorHAnsi" w:hAnsiTheme="minorHAnsi" w:cstheme="minorHAnsi"/>
          <w:color w:val="000000"/>
          <w:bdr w:val="none" w:sz="0" w:space="0" w:color="auto" w:frame="1"/>
          <w:lang w:val="sq-AL"/>
        </w:rPr>
      </w:pPr>
      <w:r w:rsidRPr="00C06A39">
        <w:rPr>
          <w:rFonts w:asciiTheme="minorHAnsi" w:hAnsiTheme="minorHAnsi" w:cstheme="minorHAnsi"/>
          <w:bCs/>
          <w:iCs/>
          <w:lang w:val="sq-AL"/>
        </w:rPr>
        <w:t>Fondet e akorduara Mistrisë së Mbrojtjes për Programin “</w:t>
      </w:r>
      <w:r w:rsidRPr="00C06A39">
        <w:rPr>
          <w:rFonts w:asciiTheme="minorHAnsi" w:hAnsiTheme="minorHAnsi" w:cstheme="minorHAnsi"/>
          <w:b/>
          <w:bCs/>
          <w:iCs/>
          <w:lang w:val="sq-AL"/>
        </w:rPr>
        <w:t>Mbështetje për Shëndetësinë</w:t>
      </w:r>
      <w:r w:rsidRPr="00C06A39">
        <w:rPr>
          <w:rFonts w:asciiTheme="minorHAnsi" w:hAnsiTheme="minorHAnsi" w:cstheme="minorHAnsi"/>
          <w:bCs/>
          <w:iCs/>
          <w:lang w:val="sq-AL"/>
        </w:rPr>
        <w:t>” përbëjnë rreth 5.8 përqind të buxhetit me ndryshime, miratuar për MM në vitin 2020.  Qëllimi i këtij programi është ‘Ofrimi i një</w:t>
      </w:r>
      <w:r w:rsidRPr="00C06A39">
        <w:rPr>
          <w:rFonts w:asciiTheme="minorHAnsi" w:hAnsiTheme="minorHAnsi" w:cstheme="minorHAnsi"/>
          <w:color w:val="201F1E"/>
          <w:bdr w:val="none" w:sz="0" w:space="0" w:color="auto" w:frame="1"/>
          <w:lang w:val="sq-AL"/>
        </w:rPr>
        <w:t xml:space="preserve"> Shërbimi sa më të Specializuar Mjekësor dhe Spitalor në nivel Universitar në trajtim në rang Kombëtar të politraumave”. </w:t>
      </w:r>
      <w:r w:rsidRPr="00C06A39">
        <w:rPr>
          <w:rFonts w:asciiTheme="minorHAnsi" w:hAnsiTheme="minorHAnsi" w:cstheme="minorHAnsi"/>
          <w:color w:val="000000"/>
          <w:bdr w:val="none" w:sz="0" w:space="0" w:color="auto" w:frame="1"/>
          <w:lang w:val="sq-AL"/>
        </w:rPr>
        <w:t>Treguesi</w:t>
      </w:r>
      <w:r w:rsidR="00AF0DC4" w:rsidRPr="00C06A39">
        <w:rPr>
          <w:rFonts w:asciiTheme="minorHAnsi" w:hAnsiTheme="minorHAnsi" w:cstheme="minorHAnsi"/>
          <w:color w:val="000000"/>
          <w:bdr w:val="none" w:sz="0" w:space="0" w:color="auto" w:frame="1"/>
          <w:lang w:val="sq-AL"/>
        </w:rPr>
        <w:t xml:space="preserve"> i performancës për këtë qëllim</w:t>
      </w:r>
      <w:r w:rsidRPr="00C06A39">
        <w:rPr>
          <w:rFonts w:asciiTheme="minorHAnsi" w:hAnsiTheme="minorHAnsi" w:cstheme="minorHAnsi"/>
          <w:color w:val="000000"/>
          <w:bdr w:val="none" w:sz="0" w:space="0" w:color="auto" w:frame="1"/>
          <w:lang w:val="sq-AL"/>
        </w:rPr>
        <w:t>:</w:t>
      </w:r>
    </w:p>
    <w:p w:rsidR="00FA0AEA" w:rsidRPr="00C06A39" w:rsidRDefault="00FA0AEA" w:rsidP="00C06A39">
      <w:pPr>
        <w:numPr>
          <w:ilvl w:val="0"/>
          <w:numId w:val="49"/>
        </w:numPr>
        <w:spacing w:line="276" w:lineRule="auto"/>
        <w:ind w:left="360" w:hanging="270"/>
        <w:contextualSpacing/>
        <w:jc w:val="both"/>
        <w:rPr>
          <w:rFonts w:asciiTheme="minorHAnsi" w:eastAsiaTheme="minorHAnsi" w:hAnsiTheme="minorHAnsi"/>
          <w:i/>
          <w:lang w:val="sq-AL"/>
        </w:rPr>
      </w:pPr>
      <w:r w:rsidRPr="00C06A39">
        <w:rPr>
          <w:rFonts w:asciiTheme="minorHAnsi" w:eastAsiaTheme="minorHAnsi" w:hAnsiTheme="minorHAnsi"/>
          <w:i/>
          <w:lang w:val="sq-AL"/>
        </w:rPr>
        <w:t xml:space="preserve">Numri i Urgjencave të shërbimit të Kirurgjisë dhe Terapisë </w:t>
      </w:r>
    </w:p>
    <w:p w:rsidR="00FA0AEA" w:rsidRPr="00C06A39" w:rsidRDefault="00FA0AEA" w:rsidP="00C06A39">
      <w:pPr>
        <w:numPr>
          <w:ilvl w:val="0"/>
          <w:numId w:val="49"/>
        </w:numPr>
        <w:spacing w:line="276" w:lineRule="auto"/>
        <w:ind w:left="360" w:hanging="270"/>
        <w:contextualSpacing/>
        <w:jc w:val="both"/>
        <w:rPr>
          <w:rFonts w:asciiTheme="minorHAnsi" w:eastAsiaTheme="minorHAnsi" w:hAnsiTheme="minorHAnsi"/>
          <w:i/>
          <w:lang w:val="sq-AL"/>
        </w:rPr>
      </w:pPr>
      <w:r w:rsidRPr="00C06A39">
        <w:rPr>
          <w:rFonts w:asciiTheme="minorHAnsi" w:eastAsiaTheme="minorHAnsi" w:hAnsiTheme="minorHAnsi"/>
          <w:i/>
          <w:lang w:val="sq-AL"/>
        </w:rPr>
        <w:t xml:space="preserve">Numri i Pacienteve të shtruar, të planifikuar dhe urgjente në SUT </w:t>
      </w:r>
    </w:p>
    <w:p w:rsidR="00FA0AEA" w:rsidRPr="00C06A39" w:rsidRDefault="00FA0AEA" w:rsidP="00C06A39">
      <w:pPr>
        <w:numPr>
          <w:ilvl w:val="0"/>
          <w:numId w:val="49"/>
        </w:numPr>
        <w:spacing w:line="276" w:lineRule="auto"/>
        <w:ind w:left="360" w:hanging="270"/>
        <w:contextualSpacing/>
        <w:jc w:val="both"/>
        <w:rPr>
          <w:rFonts w:asciiTheme="minorHAnsi" w:eastAsiaTheme="minorHAnsi" w:hAnsiTheme="minorHAnsi"/>
          <w:i/>
          <w:lang w:val="sq-AL"/>
        </w:rPr>
      </w:pPr>
      <w:r w:rsidRPr="00C06A39">
        <w:rPr>
          <w:rFonts w:asciiTheme="minorHAnsi" w:eastAsiaTheme="minorHAnsi" w:hAnsiTheme="minorHAnsi"/>
          <w:i/>
          <w:lang w:val="sq-AL"/>
        </w:rPr>
        <w:t>Numri i Operacioneve të sallës operatore të urgjencës</w:t>
      </w:r>
    </w:p>
    <w:p w:rsidR="00FA0AEA" w:rsidRPr="00C06A39" w:rsidRDefault="00FA0AEA" w:rsidP="00C06A39">
      <w:pPr>
        <w:numPr>
          <w:ilvl w:val="0"/>
          <w:numId w:val="49"/>
        </w:numPr>
        <w:spacing w:line="276" w:lineRule="auto"/>
        <w:ind w:left="360" w:hanging="270"/>
        <w:contextualSpacing/>
        <w:jc w:val="both"/>
        <w:rPr>
          <w:rFonts w:asciiTheme="minorHAnsi" w:eastAsiaTheme="minorHAnsi" w:hAnsiTheme="minorHAnsi"/>
          <w:i/>
          <w:lang w:val="sq-AL"/>
        </w:rPr>
      </w:pPr>
      <w:r w:rsidRPr="00C06A39">
        <w:rPr>
          <w:rFonts w:asciiTheme="minorHAnsi" w:eastAsiaTheme="minorHAnsi" w:hAnsiTheme="minorHAnsi"/>
          <w:i/>
          <w:lang w:val="sq-AL"/>
        </w:rPr>
        <w:t>Përqindja e vdekshmërisë.</w:t>
      </w:r>
    </w:p>
    <w:p w:rsidR="00C06A39" w:rsidRPr="00C06A39" w:rsidRDefault="00C06A39" w:rsidP="00C06A39">
      <w:pPr>
        <w:shd w:val="clear" w:color="auto" w:fill="FFFFFF"/>
        <w:spacing w:line="276" w:lineRule="auto"/>
        <w:jc w:val="both"/>
        <w:rPr>
          <w:rFonts w:asciiTheme="minorHAnsi" w:hAnsiTheme="minorHAnsi" w:cstheme="minorHAnsi"/>
          <w:color w:val="201F1E"/>
          <w:sz w:val="8"/>
          <w:szCs w:val="8"/>
          <w:bdr w:val="none" w:sz="0" w:space="0" w:color="auto" w:frame="1"/>
          <w:lang w:val="sq-AL"/>
        </w:rPr>
      </w:pPr>
    </w:p>
    <w:p w:rsidR="00FA0AEA" w:rsidRPr="00C06A39" w:rsidRDefault="00FA0AEA" w:rsidP="00C06A39">
      <w:pPr>
        <w:shd w:val="clear" w:color="auto" w:fill="FFFFFF"/>
        <w:spacing w:line="276" w:lineRule="auto"/>
        <w:jc w:val="both"/>
        <w:rPr>
          <w:rFonts w:asciiTheme="minorHAnsi" w:hAnsiTheme="minorHAnsi" w:cstheme="minorHAnsi"/>
          <w:lang w:val="sq-AL"/>
        </w:rPr>
      </w:pPr>
      <w:r w:rsidRPr="00C06A39">
        <w:rPr>
          <w:rFonts w:asciiTheme="minorHAnsi" w:hAnsiTheme="minorHAnsi" w:cstheme="minorHAnsi"/>
          <w:color w:val="201F1E"/>
          <w:bdr w:val="none" w:sz="0" w:space="0" w:color="auto" w:frame="1"/>
          <w:lang w:val="sq-AL"/>
        </w:rPr>
        <w:t xml:space="preserve">Objektivi i parë  për këtë program është “Pritja dhe trajtimi I  pacienteve te poli traumatizuar  nëe kohe reale pranë Urgjencës të SUT”. </w:t>
      </w:r>
      <w:r w:rsidRPr="00C06A39">
        <w:rPr>
          <w:rFonts w:asciiTheme="minorHAnsi" w:hAnsiTheme="minorHAnsi" w:cstheme="minorHAnsi"/>
          <w:lang w:val="sq-AL"/>
        </w:rPr>
        <w:t>Treguesi i performancës për këtë objektiv:</w:t>
      </w:r>
    </w:p>
    <w:p w:rsidR="00FA0AEA" w:rsidRPr="00C06A39" w:rsidRDefault="00FA0AEA" w:rsidP="00C06A39">
      <w:pPr>
        <w:numPr>
          <w:ilvl w:val="0"/>
          <w:numId w:val="49"/>
        </w:numPr>
        <w:spacing w:line="276" w:lineRule="auto"/>
        <w:ind w:left="360" w:hanging="270"/>
        <w:contextualSpacing/>
        <w:jc w:val="both"/>
        <w:rPr>
          <w:rFonts w:asciiTheme="minorHAnsi" w:eastAsiaTheme="minorHAnsi" w:hAnsiTheme="minorHAnsi"/>
          <w:i/>
          <w:lang w:val="sq-AL"/>
        </w:rPr>
      </w:pPr>
      <w:r w:rsidRPr="00C06A39">
        <w:rPr>
          <w:rFonts w:asciiTheme="minorHAnsi" w:eastAsiaTheme="minorHAnsi" w:hAnsiTheme="minorHAnsi"/>
          <w:i/>
          <w:lang w:val="sq-AL"/>
        </w:rPr>
        <w:t>Nr. i Shtrimeve nga Urgjenca</w:t>
      </w:r>
    </w:p>
    <w:p w:rsidR="00FA0AEA" w:rsidRPr="00C06A39" w:rsidRDefault="00FA0AEA" w:rsidP="00C06A39">
      <w:pPr>
        <w:numPr>
          <w:ilvl w:val="0"/>
          <w:numId w:val="49"/>
        </w:numPr>
        <w:spacing w:line="276" w:lineRule="auto"/>
        <w:ind w:left="360" w:hanging="270"/>
        <w:contextualSpacing/>
        <w:jc w:val="both"/>
        <w:rPr>
          <w:rFonts w:asciiTheme="minorHAnsi" w:eastAsiaTheme="minorHAnsi" w:hAnsiTheme="minorHAnsi"/>
          <w:i/>
          <w:lang w:val="sq-AL"/>
        </w:rPr>
      </w:pPr>
      <w:r w:rsidRPr="00C06A39">
        <w:rPr>
          <w:rFonts w:asciiTheme="minorHAnsi" w:eastAsiaTheme="minorHAnsi" w:hAnsiTheme="minorHAnsi"/>
          <w:i/>
          <w:lang w:val="sq-AL"/>
        </w:rPr>
        <w:t xml:space="preserve">Nr. i Urgjencave te shërbimit te Kirurgjisë </w:t>
      </w:r>
    </w:p>
    <w:p w:rsidR="00FA0AEA" w:rsidRPr="00C06A39" w:rsidRDefault="00FA0AEA" w:rsidP="00C06A39">
      <w:pPr>
        <w:numPr>
          <w:ilvl w:val="0"/>
          <w:numId w:val="49"/>
        </w:numPr>
        <w:spacing w:line="276" w:lineRule="auto"/>
        <w:ind w:left="360" w:hanging="270"/>
        <w:contextualSpacing/>
        <w:jc w:val="both"/>
        <w:rPr>
          <w:rFonts w:asciiTheme="minorHAnsi" w:eastAsiaTheme="minorHAnsi" w:hAnsiTheme="minorHAnsi"/>
          <w:i/>
          <w:lang w:val="sq-AL"/>
        </w:rPr>
      </w:pPr>
      <w:r w:rsidRPr="00C06A39">
        <w:rPr>
          <w:rFonts w:asciiTheme="minorHAnsi" w:eastAsiaTheme="minorHAnsi" w:hAnsiTheme="minorHAnsi"/>
          <w:i/>
          <w:lang w:val="sq-AL"/>
        </w:rPr>
        <w:t xml:space="preserve">Nr. i operacioneve ne Sallat Operatore te Urgjencës </w:t>
      </w:r>
    </w:p>
    <w:p w:rsidR="00FA0AEA" w:rsidRPr="00C06A39" w:rsidRDefault="00FA0AEA" w:rsidP="00C06A39">
      <w:pPr>
        <w:numPr>
          <w:ilvl w:val="0"/>
          <w:numId w:val="49"/>
        </w:numPr>
        <w:spacing w:line="276" w:lineRule="auto"/>
        <w:ind w:left="360" w:hanging="270"/>
        <w:contextualSpacing/>
        <w:jc w:val="both"/>
        <w:rPr>
          <w:rFonts w:asciiTheme="minorHAnsi" w:eastAsiaTheme="minorHAnsi" w:hAnsiTheme="minorHAnsi"/>
          <w:i/>
          <w:lang w:val="sq-AL"/>
        </w:rPr>
      </w:pPr>
      <w:r w:rsidRPr="00C06A39">
        <w:rPr>
          <w:rFonts w:asciiTheme="minorHAnsi" w:eastAsiaTheme="minorHAnsi" w:hAnsiTheme="minorHAnsi"/>
          <w:i/>
          <w:lang w:val="sq-AL"/>
        </w:rPr>
        <w:t xml:space="preserve">Nr. i manipulimeve te ndryshme kirurgjikale </w:t>
      </w:r>
    </w:p>
    <w:p w:rsidR="00FA0AEA" w:rsidRPr="00C06A39" w:rsidRDefault="00FA0AEA" w:rsidP="00C06A39">
      <w:pPr>
        <w:numPr>
          <w:ilvl w:val="0"/>
          <w:numId w:val="49"/>
        </w:numPr>
        <w:spacing w:line="276" w:lineRule="auto"/>
        <w:ind w:left="360" w:hanging="270"/>
        <w:contextualSpacing/>
        <w:jc w:val="both"/>
        <w:rPr>
          <w:rFonts w:asciiTheme="minorHAnsi" w:eastAsiaTheme="minorHAnsi" w:hAnsiTheme="minorHAnsi"/>
          <w:i/>
          <w:lang w:val="sq-AL"/>
        </w:rPr>
      </w:pPr>
      <w:r w:rsidRPr="00C06A39">
        <w:rPr>
          <w:rFonts w:asciiTheme="minorHAnsi" w:eastAsiaTheme="minorHAnsi" w:hAnsiTheme="minorHAnsi"/>
          <w:i/>
          <w:lang w:val="sq-AL"/>
        </w:rPr>
        <w:t xml:space="preserve">% e Mortalitetit ne Urgjence </w:t>
      </w:r>
    </w:p>
    <w:p w:rsidR="00C06A39" w:rsidRPr="00C06A39" w:rsidRDefault="00C06A39" w:rsidP="00C06A39">
      <w:pPr>
        <w:shd w:val="clear" w:color="auto" w:fill="FFFFFF"/>
        <w:spacing w:line="276" w:lineRule="auto"/>
        <w:jc w:val="both"/>
        <w:rPr>
          <w:rFonts w:asciiTheme="minorHAnsi" w:hAnsiTheme="minorHAnsi" w:cstheme="minorHAnsi"/>
          <w:bCs/>
          <w:color w:val="000000"/>
          <w:sz w:val="8"/>
          <w:szCs w:val="8"/>
          <w:bdr w:val="none" w:sz="0" w:space="0" w:color="auto" w:frame="1"/>
          <w:lang w:val="sq-AL"/>
        </w:rPr>
      </w:pPr>
    </w:p>
    <w:p w:rsidR="00FA0AEA" w:rsidRPr="00C06A39" w:rsidRDefault="00FA0AEA" w:rsidP="00C06A39">
      <w:pPr>
        <w:shd w:val="clear" w:color="auto" w:fill="FFFFFF"/>
        <w:spacing w:line="276" w:lineRule="auto"/>
        <w:jc w:val="both"/>
        <w:rPr>
          <w:rFonts w:asciiTheme="minorHAnsi" w:hAnsiTheme="minorHAnsi" w:cstheme="minorHAnsi"/>
          <w:lang w:val="sq-AL"/>
        </w:rPr>
      </w:pPr>
      <w:r w:rsidRPr="00C06A39">
        <w:rPr>
          <w:rFonts w:asciiTheme="minorHAnsi" w:hAnsiTheme="minorHAnsi" w:cstheme="minorHAnsi"/>
          <w:bCs/>
          <w:color w:val="000000"/>
          <w:bdr w:val="none" w:sz="0" w:space="0" w:color="auto" w:frame="1"/>
          <w:lang w:val="sq-AL"/>
        </w:rPr>
        <w:t xml:space="preserve">Objektivi i II -të “Trajtimi  shëndetësor dhe spitalor i pacienteve te afruara nga specialitetet mjekësore pranë SUT”. </w:t>
      </w:r>
      <w:r w:rsidRPr="00C06A39">
        <w:rPr>
          <w:rFonts w:asciiTheme="minorHAnsi" w:hAnsiTheme="minorHAnsi" w:cstheme="minorHAnsi"/>
          <w:lang w:val="sq-AL"/>
        </w:rPr>
        <w:t>Treguesi i performancës për këtë objektiv:</w:t>
      </w:r>
    </w:p>
    <w:p w:rsidR="00FA0AEA" w:rsidRPr="00C06A39" w:rsidRDefault="00FA0AEA" w:rsidP="00C06A39">
      <w:pPr>
        <w:numPr>
          <w:ilvl w:val="0"/>
          <w:numId w:val="49"/>
        </w:numPr>
        <w:spacing w:line="276" w:lineRule="auto"/>
        <w:ind w:left="360" w:hanging="270"/>
        <w:contextualSpacing/>
        <w:jc w:val="both"/>
        <w:rPr>
          <w:rFonts w:asciiTheme="minorHAnsi" w:eastAsiaTheme="minorHAnsi" w:hAnsiTheme="minorHAnsi"/>
          <w:i/>
          <w:lang w:val="sq-AL"/>
        </w:rPr>
      </w:pPr>
      <w:r w:rsidRPr="00C06A39">
        <w:rPr>
          <w:rFonts w:asciiTheme="minorHAnsi" w:eastAsiaTheme="minorHAnsi" w:hAnsiTheme="minorHAnsi"/>
          <w:i/>
          <w:lang w:val="sq-AL"/>
        </w:rPr>
        <w:t xml:space="preserve">Nr. i shtrimeve reanimatore </w:t>
      </w:r>
    </w:p>
    <w:p w:rsidR="00FA0AEA" w:rsidRPr="00C06A39" w:rsidRDefault="00FA0AEA" w:rsidP="00C06A39">
      <w:pPr>
        <w:numPr>
          <w:ilvl w:val="0"/>
          <w:numId w:val="49"/>
        </w:numPr>
        <w:spacing w:line="276" w:lineRule="auto"/>
        <w:ind w:left="360" w:hanging="270"/>
        <w:contextualSpacing/>
        <w:jc w:val="both"/>
        <w:rPr>
          <w:rFonts w:asciiTheme="minorHAnsi" w:eastAsiaTheme="minorHAnsi" w:hAnsiTheme="minorHAnsi"/>
          <w:i/>
          <w:lang w:val="sq-AL"/>
        </w:rPr>
      </w:pPr>
      <w:r w:rsidRPr="00C06A39">
        <w:rPr>
          <w:rFonts w:asciiTheme="minorHAnsi" w:eastAsiaTheme="minorHAnsi" w:hAnsiTheme="minorHAnsi"/>
          <w:i/>
          <w:lang w:val="sq-AL"/>
        </w:rPr>
        <w:t xml:space="preserve">Nr. i operacioneve sipas specialiteteve mjekësore ne bllokun operator  te SUT </w:t>
      </w:r>
    </w:p>
    <w:p w:rsidR="00FA0AEA" w:rsidRPr="00C06A39" w:rsidRDefault="00FA0AEA" w:rsidP="00C06A39">
      <w:pPr>
        <w:numPr>
          <w:ilvl w:val="0"/>
          <w:numId w:val="49"/>
        </w:numPr>
        <w:spacing w:line="276" w:lineRule="auto"/>
        <w:ind w:left="360" w:hanging="270"/>
        <w:contextualSpacing/>
        <w:jc w:val="both"/>
        <w:rPr>
          <w:rFonts w:asciiTheme="minorHAnsi" w:eastAsiaTheme="minorHAnsi" w:hAnsiTheme="minorHAnsi"/>
          <w:i/>
          <w:lang w:val="sq-AL"/>
        </w:rPr>
      </w:pPr>
      <w:r w:rsidRPr="00C06A39">
        <w:rPr>
          <w:rFonts w:asciiTheme="minorHAnsi" w:eastAsiaTheme="minorHAnsi" w:hAnsiTheme="minorHAnsi"/>
          <w:i/>
          <w:lang w:val="sq-AL"/>
        </w:rPr>
        <w:t xml:space="preserve">Nr. i Ekzaminimeve imazherike </w:t>
      </w:r>
    </w:p>
    <w:p w:rsidR="00FA0AEA" w:rsidRPr="00C06A39" w:rsidRDefault="00FA0AEA" w:rsidP="00C06A39">
      <w:pPr>
        <w:numPr>
          <w:ilvl w:val="0"/>
          <w:numId w:val="49"/>
        </w:numPr>
        <w:spacing w:line="276" w:lineRule="auto"/>
        <w:ind w:left="360" w:hanging="270"/>
        <w:contextualSpacing/>
        <w:jc w:val="both"/>
        <w:rPr>
          <w:rFonts w:asciiTheme="minorHAnsi" w:eastAsiaTheme="minorHAnsi" w:hAnsiTheme="minorHAnsi"/>
          <w:i/>
          <w:lang w:val="sq-AL"/>
        </w:rPr>
      </w:pPr>
      <w:r w:rsidRPr="00C06A39">
        <w:rPr>
          <w:rFonts w:asciiTheme="minorHAnsi" w:eastAsiaTheme="minorHAnsi" w:hAnsiTheme="minorHAnsi"/>
          <w:i/>
          <w:lang w:val="sq-AL"/>
        </w:rPr>
        <w:t>Nr. i Ekzaminimeve Laboratorike</w:t>
      </w:r>
    </w:p>
    <w:p w:rsidR="00FA0AEA" w:rsidRPr="00C06A39" w:rsidRDefault="00FA0AEA" w:rsidP="00C06A39">
      <w:pPr>
        <w:numPr>
          <w:ilvl w:val="0"/>
          <w:numId w:val="49"/>
        </w:numPr>
        <w:spacing w:line="276" w:lineRule="auto"/>
        <w:ind w:left="360" w:hanging="270"/>
        <w:contextualSpacing/>
        <w:jc w:val="both"/>
        <w:rPr>
          <w:rFonts w:asciiTheme="minorHAnsi" w:eastAsiaTheme="minorHAnsi" w:hAnsiTheme="minorHAnsi"/>
          <w:i/>
          <w:lang w:val="sq-AL"/>
        </w:rPr>
      </w:pPr>
      <w:r w:rsidRPr="00C06A39">
        <w:rPr>
          <w:rFonts w:asciiTheme="minorHAnsi" w:eastAsiaTheme="minorHAnsi" w:hAnsiTheme="minorHAnsi"/>
          <w:i/>
          <w:lang w:val="sq-AL"/>
        </w:rPr>
        <w:t>Ditë Qëndrimi në spital</w:t>
      </w:r>
    </w:p>
    <w:p w:rsidR="00FA0AEA" w:rsidRPr="00C06A39" w:rsidRDefault="00FA0AEA" w:rsidP="00C06A39">
      <w:pPr>
        <w:numPr>
          <w:ilvl w:val="0"/>
          <w:numId w:val="49"/>
        </w:numPr>
        <w:spacing w:line="276" w:lineRule="auto"/>
        <w:ind w:left="360" w:hanging="270"/>
        <w:contextualSpacing/>
        <w:jc w:val="both"/>
        <w:rPr>
          <w:rFonts w:asciiTheme="minorHAnsi" w:eastAsiaTheme="minorHAnsi" w:hAnsiTheme="minorHAnsi"/>
          <w:i/>
          <w:lang w:val="sq-AL"/>
        </w:rPr>
      </w:pPr>
      <w:r w:rsidRPr="00C06A39">
        <w:rPr>
          <w:rFonts w:asciiTheme="minorHAnsi" w:eastAsiaTheme="minorHAnsi" w:hAnsiTheme="minorHAnsi"/>
          <w:i/>
          <w:lang w:val="sq-AL"/>
        </w:rPr>
        <w:t>Koeficienti i shfrytëzimit të shtratit etj</w:t>
      </w:r>
    </w:p>
    <w:p w:rsidR="00C06A39" w:rsidRPr="00C06A39" w:rsidRDefault="00C06A39" w:rsidP="00C06A39">
      <w:pPr>
        <w:pStyle w:val="Subtitle"/>
        <w:spacing w:line="276" w:lineRule="auto"/>
        <w:jc w:val="both"/>
        <w:rPr>
          <w:rFonts w:asciiTheme="minorHAnsi" w:hAnsiTheme="minorHAnsi" w:cstheme="minorHAnsi"/>
          <w:color w:val="000000"/>
          <w:sz w:val="8"/>
          <w:szCs w:val="8"/>
          <w:lang w:val="sq-AL" w:eastAsia="en-GB"/>
        </w:rPr>
      </w:pPr>
    </w:p>
    <w:p w:rsidR="00FA0AEA" w:rsidRPr="00C06A39" w:rsidRDefault="00FA0AEA" w:rsidP="00C06A39">
      <w:pPr>
        <w:shd w:val="clear" w:color="auto" w:fill="FFFFFF"/>
        <w:spacing w:line="276" w:lineRule="auto"/>
        <w:jc w:val="both"/>
        <w:rPr>
          <w:rFonts w:asciiTheme="minorHAnsi" w:hAnsiTheme="minorHAnsi" w:cstheme="minorHAnsi"/>
          <w:bCs/>
          <w:color w:val="000000"/>
          <w:bdr w:val="none" w:sz="0" w:space="0" w:color="auto" w:frame="1"/>
          <w:lang w:val="sq-AL"/>
        </w:rPr>
      </w:pPr>
      <w:r w:rsidRPr="00C06A39">
        <w:rPr>
          <w:rFonts w:asciiTheme="minorHAnsi" w:hAnsiTheme="minorHAnsi" w:cstheme="minorHAnsi"/>
          <w:bCs/>
          <w:color w:val="000000"/>
          <w:bdr w:val="none" w:sz="0" w:space="0" w:color="auto" w:frame="1"/>
          <w:lang w:val="sq-AL"/>
        </w:rPr>
        <w:t>Për programin ”Mbështetje për Shëndetësinë”, realizimi i buxhetit total të programit kundrejt buxhetit të akorduar për vitin  2020 është në nivelin 22 %.</w:t>
      </w:r>
    </w:p>
    <w:p w:rsidR="00FA0AEA" w:rsidRPr="00C06A39" w:rsidRDefault="00FA0AEA" w:rsidP="00C06A39">
      <w:pPr>
        <w:tabs>
          <w:tab w:val="left" w:pos="360"/>
        </w:tabs>
        <w:spacing w:line="276" w:lineRule="auto"/>
        <w:jc w:val="both"/>
        <w:rPr>
          <w:rFonts w:asciiTheme="minorHAnsi" w:hAnsiTheme="minorHAnsi" w:cstheme="minorHAnsi"/>
          <w:lang w:val="sq-AL"/>
        </w:rPr>
      </w:pPr>
      <w:r w:rsidRPr="00C06A39">
        <w:rPr>
          <w:rFonts w:asciiTheme="minorHAnsi" w:hAnsiTheme="minorHAnsi" w:cstheme="minorHAnsi"/>
          <w:lang w:val="sq-AL"/>
        </w:rPr>
        <w:lastRenderedPageBreak/>
        <w:t xml:space="preserve">Fondet e miratuara </w:t>
      </w:r>
      <w:r w:rsidRPr="00C06A39">
        <w:rPr>
          <w:rFonts w:asciiTheme="minorHAnsi" w:hAnsiTheme="minorHAnsi" w:cstheme="minorHAnsi"/>
          <w:lang w:val="sq-AL" w:eastAsia="sq-AL"/>
        </w:rPr>
        <w:t xml:space="preserve">për vitin 2020 </w:t>
      </w:r>
      <w:r w:rsidRPr="00C06A39">
        <w:rPr>
          <w:rFonts w:asciiTheme="minorHAnsi" w:hAnsiTheme="minorHAnsi" w:cstheme="minorHAnsi"/>
          <w:lang w:val="sq-AL"/>
        </w:rPr>
        <w:t>për programin “</w:t>
      </w:r>
      <w:r w:rsidRPr="00C06A39">
        <w:rPr>
          <w:rFonts w:asciiTheme="minorHAnsi" w:hAnsiTheme="minorHAnsi" w:cstheme="minorHAnsi"/>
          <w:b/>
          <w:lang w:val="sq-AL"/>
        </w:rPr>
        <w:t>Emergjencat Civile</w:t>
      </w:r>
      <w:r w:rsidRPr="00C06A39">
        <w:rPr>
          <w:rFonts w:asciiTheme="minorHAnsi" w:hAnsiTheme="minorHAnsi" w:cstheme="minorHAnsi"/>
          <w:lang w:val="sq-AL"/>
        </w:rPr>
        <w:t>” përbëjnë</w:t>
      </w:r>
      <w:r w:rsidRPr="00C06A39">
        <w:rPr>
          <w:rFonts w:asciiTheme="minorHAnsi" w:hAnsiTheme="minorHAnsi" w:cstheme="minorHAnsi"/>
          <w:lang w:val="sq-AL" w:eastAsia="sq-AL"/>
        </w:rPr>
        <w:t xml:space="preserve"> rreth 1.4% të buxhetit të Ministrisë së Mbrojtjes dhe </w:t>
      </w:r>
      <w:r w:rsidRPr="00C06A39">
        <w:rPr>
          <w:rFonts w:asciiTheme="minorHAnsi" w:hAnsiTheme="minorHAnsi" w:cstheme="minorHAnsi"/>
          <w:lang w:val="sq-AL"/>
        </w:rPr>
        <w:t>shpenzohen për realizimin e objektivave:</w:t>
      </w:r>
    </w:p>
    <w:p w:rsidR="00FA0AEA" w:rsidRPr="00C06A39" w:rsidRDefault="00FA0AEA" w:rsidP="00C06A39">
      <w:pPr>
        <w:pStyle w:val="Subtitle"/>
        <w:spacing w:line="276" w:lineRule="auto"/>
        <w:ind w:left="360"/>
        <w:jc w:val="both"/>
        <w:rPr>
          <w:rFonts w:asciiTheme="minorHAnsi" w:hAnsiTheme="minorHAnsi" w:cstheme="minorHAnsi"/>
          <w:b/>
          <w:bCs/>
          <w:sz w:val="8"/>
          <w:szCs w:val="8"/>
          <w:lang w:val="sq-AL"/>
        </w:rPr>
      </w:pPr>
    </w:p>
    <w:p w:rsidR="00FA0AEA" w:rsidRPr="00C06A39" w:rsidRDefault="00FA0AEA" w:rsidP="00C06A39">
      <w:pPr>
        <w:numPr>
          <w:ilvl w:val="0"/>
          <w:numId w:val="49"/>
        </w:numPr>
        <w:spacing w:line="276" w:lineRule="auto"/>
        <w:ind w:left="360" w:hanging="270"/>
        <w:contextualSpacing/>
        <w:jc w:val="both"/>
        <w:rPr>
          <w:rFonts w:asciiTheme="minorHAnsi" w:eastAsiaTheme="minorHAnsi" w:hAnsiTheme="minorHAnsi"/>
          <w:lang w:val="sq-AL"/>
        </w:rPr>
      </w:pPr>
      <w:r w:rsidRPr="00C06A39">
        <w:rPr>
          <w:rFonts w:asciiTheme="minorHAnsi" w:eastAsiaTheme="minorHAnsi" w:hAnsiTheme="minorHAnsi"/>
          <w:lang w:val="sq-AL"/>
        </w:rPr>
        <w:t xml:space="preserve">Sigurimi i logjistikes së  nevojshme si dhe mbështetja në operacione humanitare dhe misione ndërkombëtare.Treguesit e performancës për këtë objektiv NR 1. </w:t>
      </w:r>
    </w:p>
    <w:p w:rsidR="00FA0AEA" w:rsidRPr="00C06A39" w:rsidRDefault="00FA0AEA" w:rsidP="00C06A39">
      <w:pPr>
        <w:pStyle w:val="ListParagraph"/>
        <w:numPr>
          <w:ilvl w:val="0"/>
          <w:numId w:val="56"/>
        </w:numPr>
        <w:autoSpaceDE w:val="0"/>
        <w:autoSpaceDN w:val="0"/>
        <w:adjustRightInd w:val="0"/>
        <w:spacing w:line="276" w:lineRule="auto"/>
        <w:jc w:val="both"/>
        <w:rPr>
          <w:rFonts w:asciiTheme="minorHAnsi" w:hAnsiTheme="minorHAnsi" w:cstheme="minorHAnsi"/>
          <w:color w:val="000000"/>
          <w:lang w:val="sq-AL"/>
        </w:rPr>
      </w:pPr>
      <w:r w:rsidRPr="00C06A39">
        <w:rPr>
          <w:rFonts w:asciiTheme="minorHAnsi" w:hAnsiTheme="minorHAnsi" w:cstheme="minorHAnsi"/>
          <w:color w:val="000000"/>
          <w:lang w:val="sq-AL"/>
        </w:rPr>
        <w:t>% e Furnizimit në kohë dhe mbështetja logjistike e FA.</w:t>
      </w:r>
    </w:p>
    <w:p w:rsidR="00FA0AEA" w:rsidRPr="00C06A39" w:rsidRDefault="00FA0AEA" w:rsidP="00C06A39">
      <w:pPr>
        <w:pStyle w:val="ListParagraph"/>
        <w:numPr>
          <w:ilvl w:val="0"/>
          <w:numId w:val="56"/>
        </w:numPr>
        <w:autoSpaceDE w:val="0"/>
        <w:autoSpaceDN w:val="0"/>
        <w:adjustRightInd w:val="0"/>
        <w:spacing w:line="276" w:lineRule="auto"/>
        <w:jc w:val="both"/>
        <w:rPr>
          <w:rFonts w:asciiTheme="minorHAnsi" w:hAnsiTheme="minorHAnsi" w:cstheme="minorHAnsi"/>
          <w:color w:val="000000"/>
          <w:lang w:val="sq-AL"/>
        </w:rPr>
      </w:pPr>
      <w:r w:rsidRPr="00C06A39">
        <w:rPr>
          <w:rFonts w:asciiTheme="minorHAnsi" w:hAnsiTheme="minorHAnsi" w:cstheme="minorHAnsi"/>
          <w:color w:val="000000"/>
          <w:lang w:val="sq-AL"/>
        </w:rPr>
        <w:t>Menaxhimi në kohë dhe profesional i operacioneve të EC dhe CIMIC.</w:t>
      </w:r>
    </w:p>
    <w:p w:rsidR="00FA0AEA" w:rsidRPr="00C06A39" w:rsidRDefault="00FA0AEA" w:rsidP="00C06A39">
      <w:pPr>
        <w:pStyle w:val="ListParagraph"/>
        <w:numPr>
          <w:ilvl w:val="0"/>
          <w:numId w:val="56"/>
        </w:numPr>
        <w:autoSpaceDE w:val="0"/>
        <w:autoSpaceDN w:val="0"/>
        <w:adjustRightInd w:val="0"/>
        <w:spacing w:line="276" w:lineRule="auto"/>
        <w:jc w:val="both"/>
        <w:rPr>
          <w:rFonts w:asciiTheme="minorHAnsi" w:hAnsiTheme="minorHAnsi" w:cstheme="minorHAnsi"/>
          <w:color w:val="000000"/>
          <w:lang w:val="sq-AL"/>
        </w:rPr>
      </w:pPr>
      <w:r w:rsidRPr="00C06A39">
        <w:rPr>
          <w:rFonts w:asciiTheme="minorHAnsi" w:hAnsiTheme="minorHAnsi" w:cstheme="minorHAnsi"/>
          <w:color w:val="000000"/>
          <w:lang w:val="sq-AL"/>
        </w:rPr>
        <w:t>Dokumente të procesuara dhe arkivuara sipas legjislacionit ne fuqi.</w:t>
      </w:r>
    </w:p>
    <w:p w:rsidR="00C06A39" w:rsidRPr="00C06A39" w:rsidRDefault="00C06A39" w:rsidP="00C06A39">
      <w:pPr>
        <w:spacing w:line="276" w:lineRule="auto"/>
        <w:ind w:left="360"/>
        <w:contextualSpacing/>
        <w:jc w:val="both"/>
        <w:rPr>
          <w:rFonts w:asciiTheme="minorHAnsi" w:eastAsiaTheme="minorHAnsi" w:hAnsiTheme="minorHAnsi"/>
          <w:sz w:val="8"/>
          <w:szCs w:val="8"/>
          <w:lang w:val="sq-AL"/>
        </w:rPr>
      </w:pPr>
    </w:p>
    <w:p w:rsidR="00FA0AEA" w:rsidRPr="00C06A39" w:rsidRDefault="00FA0AEA" w:rsidP="00C06A39">
      <w:pPr>
        <w:numPr>
          <w:ilvl w:val="0"/>
          <w:numId w:val="49"/>
        </w:numPr>
        <w:spacing w:line="276" w:lineRule="auto"/>
        <w:ind w:left="360" w:hanging="270"/>
        <w:contextualSpacing/>
        <w:jc w:val="both"/>
        <w:rPr>
          <w:rFonts w:asciiTheme="minorHAnsi" w:eastAsiaTheme="minorHAnsi" w:hAnsiTheme="minorHAnsi"/>
          <w:lang w:val="sq-AL"/>
        </w:rPr>
      </w:pPr>
      <w:r w:rsidRPr="00C06A39">
        <w:rPr>
          <w:rFonts w:asciiTheme="minorHAnsi" w:eastAsiaTheme="minorHAnsi" w:hAnsiTheme="minorHAnsi"/>
          <w:lang w:val="sq-AL"/>
        </w:rPr>
        <w:t xml:space="preserve">Zvogëlimi e humbjeve në jetë njerëzish, pasurisë, trashëgimisë kulturore dhe në mjedis. Tregues performance: </w:t>
      </w:r>
      <w:r w:rsidRPr="00C06A39">
        <w:rPr>
          <w:rFonts w:asciiTheme="minorHAnsi" w:eastAsiaTheme="minorHAnsi" w:hAnsiTheme="minorHAnsi"/>
          <w:lang w:val="sq-AL"/>
        </w:rPr>
        <w:tab/>
      </w:r>
    </w:p>
    <w:p w:rsidR="00FA0AEA" w:rsidRPr="00C06A39" w:rsidRDefault="00FA0AEA" w:rsidP="00C06A39">
      <w:pPr>
        <w:pStyle w:val="ListParagraph"/>
        <w:numPr>
          <w:ilvl w:val="0"/>
          <w:numId w:val="56"/>
        </w:numPr>
        <w:autoSpaceDE w:val="0"/>
        <w:autoSpaceDN w:val="0"/>
        <w:adjustRightInd w:val="0"/>
        <w:spacing w:line="276" w:lineRule="auto"/>
        <w:jc w:val="both"/>
        <w:rPr>
          <w:rFonts w:asciiTheme="minorHAnsi" w:hAnsiTheme="minorHAnsi" w:cstheme="minorHAnsi"/>
          <w:color w:val="000000"/>
          <w:lang w:val="sq-AL"/>
        </w:rPr>
      </w:pPr>
      <w:r w:rsidRPr="00C06A39">
        <w:rPr>
          <w:rFonts w:asciiTheme="minorHAnsi" w:hAnsiTheme="minorHAnsi" w:cstheme="minorHAnsi"/>
          <w:color w:val="000000"/>
          <w:lang w:val="sq-AL"/>
        </w:rPr>
        <w:t>Jetë të shpëtuara</w:t>
      </w:r>
    </w:p>
    <w:p w:rsidR="00FA0AEA" w:rsidRPr="00C06A39" w:rsidRDefault="00FA0AEA" w:rsidP="00C06A39">
      <w:pPr>
        <w:pStyle w:val="ListParagraph"/>
        <w:numPr>
          <w:ilvl w:val="0"/>
          <w:numId w:val="56"/>
        </w:numPr>
        <w:autoSpaceDE w:val="0"/>
        <w:autoSpaceDN w:val="0"/>
        <w:adjustRightInd w:val="0"/>
        <w:spacing w:line="276" w:lineRule="auto"/>
        <w:jc w:val="both"/>
        <w:rPr>
          <w:rFonts w:asciiTheme="minorHAnsi" w:hAnsiTheme="minorHAnsi" w:cstheme="minorHAnsi"/>
          <w:color w:val="000000"/>
          <w:lang w:val="sq-AL"/>
        </w:rPr>
      </w:pPr>
      <w:r w:rsidRPr="00C06A39">
        <w:rPr>
          <w:rFonts w:asciiTheme="minorHAnsi" w:hAnsiTheme="minorHAnsi" w:cstheme="minorHAnsi"/>
          <w:color w:val="000000"/>
          <w:lang w:val="sq-AL"/>
        </w:rPr>
        <w:t>Familje të dëmshpërblyera</w:t>
      </w:r>
    </w:p>
    <w:p w:rsidR="00FA0AEA" w:rsidRPr="00C06A39" w:rsidRDefault="00FA0AEA" w:rsidP="00C06A39">
      <w:pPr>
        <w:pStyle w:val="ListParagraph"/>
        <w:numPr>
          <w:ilvl w:val="0"/>
          <w:numId w:val="56"/>
        </w:numPr>
        <w:autoSpaceDE w:val="0"/>
        <w:autoSpaceDN w:val="0"/>
        <w:adjustRightInd w:val="0"/>
        <w:spacing w:line="276" w:lineRule="auto"/>
        <w:jc w:val="both"/>
        <w:rPr>
          <w:rFonts w:asciiTheme="minorHAnsi" w:hAnsiTheme="minorHAnsi" w:cstheme="minorHAnsi"/>
          <w:color w:val="000000"/>
          <w:lang w:val="sq-AL"/>
        </w:rPr>
      </w:pPr>
      <w:r w:rsidRPr="00C06A39">
        <w:rPr>
          <w:rFonts w:asciiTheme="minorHAnsi" w:hAnsiTheme="minorHAnsi" w:cstheme="minorHAnsi"/>
          <w:color w:val="000000"/>
          <w:lang w:val="sq-AL"/>
        </w:rPr>
        <w:t>Infrastrukturë dhe mjedis i mbrojtur</w:t>
      </w:r>
    </w:p>
    <w:p w:rsidR="00C06A39" w:rsidRPr="00C06A39" w:rsidRDefault="00C06A39" w:rsidP="00C06A39">
      <w:pPr>
        <w:spacing w:line="276" w:lineRule="auto"/>
        <w:ind w:left="360"/>
        <w:contextualSpacing/>
        <w:jc w:val="both"/>
        <w:rPr>
          <w:rFonts w:asciiTheme="minorHAnsi" w:hAnsiTheme="minorHAnsi" w:cstheme="minorHAnsi"/>
          <w:sz w:val="8"/>
          <w:szCs w:val="8"/>
          <w:lang w:val="sq-AL"/>
        </w:rPr>
      </w:pPr>
    </w:p>
    <w:p w:rsidR="00FA0AEA" w:rsidRPr="00C06A39" w:rsidRDefault="00FA0AEA" w:rsidP="00C06A39">
      <w:pPr>
        <w:numPr>
          <w:ilvl w:val="0"/>
          <w:numId w:val="49"/>
        </w:numPr>
        <w:spacing w:line="276" w:lineRule="auto"/>
        <w:ind w:left="360" w:hanging="270"/>
        <w:contextualSpacing/>
        <w:jc w:val="both"/>
        <w:rPr>
          <w:rFonts w:asciiTheme="minorHAnsi" w:hAnsiTheme="minorHAnsi" w:cstheme="minorHAnsi"/>
          <w:lang w:val="sq-AL"/>
        </w:rPr>
      </w:pPr>
      <w:r w:rsidRPr="00C06A39">
        <w:rPr>
          <w:rFonts w:asciiTheme="minorHAnsi" w:eastAsiaTheme="minorHAnsi" w:hAnsiTheme="minorHAnsi"/>
          <w:lang w:val="sq-AL"/>
        </w:rPr>
        <w:t>Rritja e stokut ne mallra ushqimore e industriale dhe krijimi i kushteve optimale për miradministrimin e mallrave të konsideruara si rezervë shtetërore. Tregues performance:</w:t>
      </w:r>
      <w:r w:rsidRPr="00C06A39">
        <w:rPr>
          <w:rFonts w:asciiTheme="minorHAnsi" w:hAnsiTheme="minorHAnsi" w:cstheme="minorHAnsi"/>
          <w:lang w:val="sq-AL"/>
        </w:rPr>
        <w:tab/>
      </w:r>
    </w:p>
    <w:p w:rsidR="00EA3EDD" w:rsidRDefault="00FA0AEA" w:rsidP="006308E8">
      <w:pPr>
        <w:pStyle w:val="ListParagraph"/>
        <w:numPr>
          <w:ilvl w:val="0"/>
          <w:numId w:val="56"/>
        </w:numPr>
        <w:autoSpaceDE w:val="0"/>
        <w:autoSpaceDN w:val="0"/>
        <w:adjustRightInd w:val="0"/>
        <w:spacing w:line="276" w:lineRule="auto"/>
        <w:jc w:val="both"/>
        <w:rPr>
          <w:rFonts w:asciiTheme="minorHAnsi" w:hAnsiTheme="minorHAnsi" w:cstheme="minorHAnsi"/>
          <w:color w:val="000000"/>
          <w:lang w:val="sq-AL"/>
        </w:rPr>
      </w:pPr>
      <w:r w:rsidRPr="00C06A39">
        <w:rPr>
          <w:rFonts w:asciiTheme="minorHAnsi" w:hAnsiTheme="minorHAnsi" w:cstheme="minorHAnsi"/>
          <w:color w:val="000000"/>
          <w:lang w:val="sq-AL"/>
        </w:rPr>
        <w:t>Rritja e stokut të mallrave rezervë shteti, të cilat do të përdoren për t’i ardhur në ndihmë 4 000 familjeve të prekur nga fatkeqësitë natyrore me mallra rezervë  shtetërore për një periudhë 1 mujore.</w:t>
      </w:r>
    </w:p>
    <w:p w:rsidR="00CE2A5A" w:rsidRPr="00CE2A5A" w:rsidRDefault="00CE2A5A" w:rsidP="00CE2A5A">
      <w:pPr>
        <w:pStyle w:val="ListParagraph"/>
        <w:autoSpaceDE w:val="0"/>
        <w:autoSpaceDN w:val="0"/>
        <w:adjustRightInd w:val="0"/>
        <w:spacing w:line="276" w:lineRule="auto"/>
        <w:ind w:left="1170"/>
        <w:jc w:val="both"/>
        <w:rPr>
          <w:rFonts w:asciiTheme="minorHAnsi" w:hAnsiTheme="minorHAnsi" w:cstheme="minorHAnsi"/>
          <w:color w:val="000000"/>
          <w:lang w:val="sq-AL"/>
        </w:rPr>
      </w:pPr>
    </w:p>
    <w:p w:rsidR="006308E8" w:rsidRPr="00D25385" w:rsidRDefault="006308E8" w:rsidP="00D25385">
      <w:pPr>
        <w:spacing w:before="120" w:after="120" w:line="276" w:lineRule="auto"/>
        <w:jc w:val="both"/>
        <w:rPr>
          <w:rFonts w:asciiTheme="minorHAnsi" w:hAnsiTheme="minorHAnsi"/>
          <w:b/>
          <w:noProof/>
          <w:color w:val="0070C0"/>
          <w:lang w:val="sq-AL"/>
        </w:rPr>
      </w:pPr>
      <w:r w:rsidRPr="00D25385">
        <w:rPr>
          <w:rFonts w:asciiTheme="minorHAnsi" w:hAnsiTheme="minorHAnsi"/>
          <w:b/>
          <w:noProof/>
          <w:color w:val="0070C0"/>
          <w:lang w:val="sq-AL"/>
        </w:rPr>
        <w:t>RENDI DHE SIGURIA PUBLIKE</w:t>
      </w:r>
    </w:p>
    <w:p w:rsidR="00524EBF" w:rsidRDefault="006308E8" w:rsidP="006308E8">
      <w:pPr>
        <w:spacing w:line="276" w:lineRule="auto"/>
        <w:jc w:val="both"/>
        <w:rPr>
          <w:rFonts w:asciiTheme="minorHAnsi" w:hAnsiTheme="minorHAnsi"/>
          <w:color w:val="000000"/>
          <w:lang w:val="sq-AL"/>
        </w:rPr>
      </w:pPr>
      <w:r w:rsidRPr="00BB7F2F">
        <w:rPr>
          <w:rFonts w:asciiTheme="minorHAnsi" w:hAnsiTheme="minorHAnsi"/>
          <w:color w:val="000000"/>
          <w:lang w:val="sq-AL"/>
        </w:rPr>
        <w:t>Performanca e treguesve buxhetorë për katër programet e Ministri</w:t>
      </w:r>
      <w:r w:rsidR="00D25385">
        <w:rPr>
          <w:rFonts w:asciiTheme="minorHAnsi" w:hAnsiTheme="minorHAnsi"/>
          <w:color w:val="000000"/>
          <w:lang w:val="sq-AL"/>
        </w:rPr>
        <w:t>së së Brendshme paraqitet si më</w:t>
      </w:r>
      <w:r w:rsidRPr="00BB7F2F">
        <w:rPr>
          <w:rFonts w:asciiTheme="minorHAnsi" w:hAnsiTheme="minorHAnsi"/>
          <w:color w:val="000000"/>
          <w:lang w:val="sq-AL"/>
        </w:rPr>
        <w:t>poshtë:</w:t>
      </w:r>
      <w:r w:rsidRPr="00BB7F2F">
        <w:rPr>
          <w:rFonts w:asciiTheme="minorHAnsi" w:hAnsiTheme="minorHAnsi"/>
          <w:color w:val="000000"/>
          <w:lang w:val="sq-AL"/>
        </w:rPr>
        <w:tab/>
      </w:r>
      <w:r w:rsidRPr="00BB7F2F">
        <w:rPr>
          <w:rFonts w:asciiTheme="minorHAnsi" w:hAnsiTheme="minorHAnsi"/>
          <w:color w:val="000000"/>
          <w:lang w:val="sq-AL"/>
        </w:rPr>
        <w:tab/>
      </w:r>
      <w:r w:rsidRPr="00BB7F2F">
        <w:rPr>
          <w:rFonts w:asciiTheme="minorHAnsi" w:hAnsiTheme="minorHAnsi"/>
          <w:color w:val="000000"/>
          <w:lang w:val="sq-AL"/>
        </w:rPr>
        <w:tab/>
      </w:r>
    </w:p>
    <w:p w:rsidR="006308E8" w:rsidRPr="00BB7F2F" w:rsidRDefault="00524EBF" w:rsidP="00524EBF">
      <w:pPr>
        <w:pStyle w:val="Caption"/>
        <w:spacing w:after="0"/>
        <w:rPr>
          <w:rFonts w:asciiTheme="minorHAnsi" w:hAnsiTheme="minorHAnsi"/>
          <w:bCs w:val="0"/>
          <w:i/>
          <w:iCs/>
          <w:lang w:val="sq-AL"/>
        </w:rPr>
      </w:pPr>
      <w:bookmarkStart w:id="189" w:name="_Toc44404438"/>
      <w:r w:rsidRPr="00524EBF">
        <w:rPr>
          <w:rFonts w:asciiTheme="minorHAnsi" w:hAnsiTheme="minorHAnsi"/>
          <w:b w:val="0"/>
          <w:bCs w:val="0"/>
          <w:i/>
          <w:noProof/>
          <w:color w:val="auto"/>
          <w:sz w:val="24"/>
          <w:szCs w:val="24"/>
        </w:rPr>
        <w:t xml:space="preserve">Tabela </w:t>
      </w:r>
      <w:r w:rsidRPr="00524EBF">
        <w:rPr>
          <w:rFonts w:asciiTheme="minorHAnsi" w:hAnsiTheme="minorHAnsi"/>
          <w:b w:val="0"/>
          <w:bCs w:val="0"/>
          <w:i/>
          <w:noProof/>
          <w:color w:val="auto"/>
          <w:sz w:val="24"/>
          <w:szCs w:val="24"/>
        </w:rPr>
        <w:fldChar w:fldCharType="begin"/>
      </w:r>
      <w:r w:rsidRPr="00524EBF">
        <w:rPr>
          <w:rFonts w:asciiTheme="minorHAnsi" w:hAnsiTheme="minorHAnsi"/>
          <w:b w:val="0"/>
          <w:bCs w:val="0"/>
          <w:i/>
          <w:noProof/>
          <w:color w:val="auto"/>
          <w:sz w:val="24"/>
          <w:szCs w:val="24"/>
        </w:rPr>
        <w:instrText xml:space="preserve"> SEQ Tabela \* ARABIC </w:instrText>
      </w:r>
      <w:r w:rsidRPr="00524EBF">
        <w:rPr>
          <w:rFonts w:asciiTheme="minorHAnsi" w:hAnsiTheme="minorHAnsi"/>
          <w:b w:val="0"/>
          <w:bCs w:val="0"/>
          <w:i/>
          <w:noProof/>
          <w:color w:val="auto"/>
          <w:sz w:val="24"/>
          <w:szCs w:val="24"/>
        </w:rPr>
        <w:fldChar w:fldCharType="separate"/>
      </w:r>
      <w:r w:rsidR="00C342E2">
        <w:rPr>
          <w:rFonts w:asciiTheme="minorHAnsi" w:hAnsiTheme="minorHAnsi"/>
          <w:b w:val="0"/>
          <w:bCs w:val="0"/>
          <w:i/>
          <w:noProof/>
          <w:color w:val="auto"/>
          <w:sz w:val="24"/>
          <w:szCs w:val="24"/>
        </w:rPr>
        <w:t>37</w:t>
      </w:r>
      <w:r w:rsidRPr="00524EBF">
        <w:rPr>
          <w:rFonts w:asciiTheme="minorHAnsi" w:hAnsiTheme="minorHAnsi"/>
          <w:b w:val="0"/>
          <w:bCs w:val="0"/>
          <w:i/>
          <w:noProof/>
          <w:color w:val="auto"/>
          <w:sz w:val="24"/>
          <w:szCs w:val="24"/>
        </w:rPr>
        <w:fldChar w:fldCharType="end"/>
      </w:r>
      <w:r w:rsidRPr="00524EBF">
        <w:rPr>
          <w:rFonts w:asciiTheme="minorHAnsi" w:hAnsiTheme="minorHAnsi"/>
          <w:b w:val="0"/>
          <w:bCs w:val="0"/>
          <w:i/>
          <w:noProof/>
          <w:color w:val="auto"/>
          <w:sz w:val="24"/>
          <w:szCs w:val="24"/>
        </w:rPr>
        <w:t>:  Rendi dhe Siguria Publike</w:t>
      </w:r>
      <w:bookmarkEnd w:id="189"/>
      <w:r w:rsidRPr="00524EBF">
        <w:rPr>
          <w:rFonts w:asciiTheme="minorHAnsi" w:hAnsiTheme="minorHAnsi"/>
          <w:b w:val="0"/>
          <w:bCs w:val="0"/>
          <w:i/>
          <w:noProof/>
          <w:color w:val="auto"/>
          <w:sz w:val="24"/>
          <w:szCs w:val="24"/>
        </w:rPr>
        <w:tab/>
      </w:r>
      <w:r w:rsidR="006308E8" w:rsidRPr="00BB7F2F">
        <w:rPr>
          <w:rFonts w:asciiTheme="minorHAnsi" w:hAnsiTheme="minorHAnsi"/>
          <w:color w:val="000000"/>
          <w:lang w:val="sq-AL"/>
        </w:rPr>
        <w:tab/>
      </w:r>
      <w:r w:rsidR="006308E8" w:rsidRPr="00BB7F2F">
        <w:rPr>
          <w:rFonts w:asciiTheme="minorHAnsi" w:hAnsiTheme="minorHAnsi"/>
          <w:color w:val="000000"/>
          <w:lang w:val="sq-AL"/>
        </w:rPr>
        <w:tab/>
      </w:r>
      <w:r w:rsidR="006308E8" w:rsidRPr="00BB7F2F">
        <w:rPr>
          <w:rFonts w:asciiTheme="minorHAnsi" w:hAnsiTheme="minorHAnsi"/>
          <w:color w:val="000000"/>
          <w:lang w:val="sq-AL"/>
        </w:rPr>
        <w:tab/>
      </w:r>
      <w:r w:rsidR="006308E8" w:rsidRPr="00BB7F2F">
        <w:rPr>
          <w:rFonts w:asciiTheme="minorHAnsi" w:hAnsiTheme="minorHAnsi"/>
          <w:color w:val="000000"/>
          <w:lang w:val="sq-AL"/>
        </w:rPr>
        <w:tab/>
      </w:r>
    </w:p>
    <w:p w:rsidR="006308E8" w:rsidRPr="00D25385" w:rsidRDefault="007030D4" w:rsidP="007030D4">
      <w:pPr>
        <w:jc w:val="right"/>
        <w:rPr>
          <w:rFonts w:asciiTheme="minorHAnsi" w:hAnsiTheme="minorHAnsi"/>
          <w:color w:val="000000"/>
          <w:sz w:val="22"/>
          <w:lang w:val="sq-AL"/>
        </w:rPr>
      </w:pPr>
      <w:r>
        <w:rPr>
          <w:rFonts w:asciiTheme="minorHAnsi" w:hAnsiTheme="minorHAnsi"/>
          <w:bCs/>
          <w:i/>
          <w:iCs/>
          <w:sz w:val="22"/>
          <w:lang w:val="sq-AL"/>
        </w:rPr>
        <w:t>N</w:t>
      </w:r>
      <w:r w:rsidR="006308E8" w:rsidRPr="00D25385">
        <w:rPr>
          <w:rFonts w:asciiTheme="minorHAnsi" w:hAnsiTheme="minorHAnsi"/>
          <w:bCs/>
          <w:i/>
          <w:iCs/>
          <w:sz w:val="22"/>
          <w:lang w:val="sq-AL"/>
        </w:rPr>
        <w:t>ë mijë lekë</w:t>
      </w:r>
    </w:p>
    <w:tbl>
      <w:tblPr>
        <w:tblStyle w:val="TableGridLight16"/>
        <w:tblW w:w="0" w:type="auto"/>
        <w:jc w:val="center"/>
        <w:tblBorders>
          <w:top w:val="single" w:sz="4" w:space="0" w:color="548DD4"/>
          <w:left w:val="single" w:sz="4" w:space="0" w:color="548DD4"/>
          <w:bottom w:val="single" w:sz="4" w:space="0" w:color="548DD4"/>
          <w:right w:val="single" w:sz="4" w:space="0" w:color="548DD4"/>
          <w:insideH w:val="single" w:sz="4" w:space="0" w:color="548DD4"/>
          <w:insideV w:val="single" w:sz="4" w:space="0" w:color="548DD4"/>
        </w:tblBorders>
        <w:tblLook w:val="01E0" w:firstRow="1" w:lastRow="1" w:firstColumn="1" w:lastColumn="1" w:noHBand="0" w:noVBand="0"/>
      </w:tblPr>
      <w:tblGrid>
        <w:gridCol w:w="436"/>
        <w:gridCol w:w="3047"/>
        <w:gridCol w:w="1036"/>
        <w:gridCol w:w="1036"/>
        <w:gridCol w:w="945"/>
        <w:gridCol w:w="952"/>
        <w:gridCol w:w="888"/>
        <w:gridCol w:w="961"/>
      </w:tblGrid>
      <w:tr w:rsidR="006308E8" w:rsidRPr="00D25385" w:rsidTr="00D25385">
        <w:trPr>
          <w:trHeight w:val="204"/>
          <w:jc w:val="center"/>
        </w:trPr>
        <w:tc>
          <w:tcPr>
            <w:tcW w:w="0" w:type="auto"/>
            <w:vMerge w:val="restart"/>
            <w:shd w:val="clear" w:color="auto" w:fill="4BACC6"/>
          </w:tcPr>
          <w:p w:rsidR="006308E8" w:rsidRPr="00D25385" w:rsidRDefault="006308E8" w:rsidP="00121650">
            <w:pPr>
              <w:spacing w:line="276" w:lineRule="auto"/>
              <w:jc w:val="center"/>
              <w:rPr>
                <w:b/>
                <w:color w:val="FFFFFF"/>
                <w:sz w:val="18"/>
                <w:szCs w:val="16"/>
                <w:lang w:val="sq-AL"/>
              </w:rPr>
            </w:pPr>
            <w:r w:rsidRPr="00D25385">
              <w:rPr>
                <w:b/>
                <w:color w:val="FFFFFF"/>
                <w:sz w:val="18"/>
                <w:szCs w:val="16"/>
                <w:lang w:val="sq-AL"/>
              </w:rPr>
              <w:t>NR</w:t>
            </w:r>
          </w:p>
        </w:tc>
        <w:tc>
          <w:tcPr>
            <w:tcW w:w="0" w:type="auto"/>
            <w:vMerge w:val="restart"/>
            <w:shd w:val="clear" w:color="auto" w:fill="4BACC6"/>
          </w:tcPr>
          <w:p w:rsidR="006308E8" w:rsidRPr="00D25385" w:rsidRDefault="006308E8" w:rsidP="00121650">
            <w:pPr>
              <w:spacing w:line="276" w:lineRule="auto"/>
              <w:jc w:val="center"/>
              <w:rPr>
                <w:b/>
                <w:color w:val="FFFFFF"/>
                <w:sz w:val="18"/>
                <w:szCs w:val="16"/>
                <w:lang w:val="sq-AL"/>
              </w:rPr>
            </w:pPr>
            <w:r w:rsidRPr="00D25385">
              <w:rPr>
                <w:b/>
                <w:color w:val="FFFFFF"/>
                <w:sz w:val="18"/>
                <w:szCs w:val="16"/>
                <w:lang w:val="sq-AL"/>
              </w:rPr>
              <w:t>Emërtimi i Programit</w:t>
            </w:r>
          </w:p>
        </w:tc>
        <w:tc>
          <w:tcPr>
            <w:tcW w:w="0" w:type="auto"/>
            <w:gridSpan w:val="2"/>
            <w:shd w:val="clear" w:color="auto" w:fill="4BACC6"/>
          </w:tcPr>
          <w:p w:rsidR="006308E8" w:rsidRPr="00D25385" w:rsidRDefault="006308E8" w:rsidP="00121650">
            <w:pPr>
              <w:spacing w:line="276" w:lineRule="auto"/>
              <w:ind w:left="84"/>
              <w:jc w:val="center"/>
              <w:rPr>
                <w:b/>
                <w:color w:val="FFFFFF"/>
                <w:sz w:val="18"/>
                <w:szCs w:val="16"/>
                <w:lang w:val="sq-AL"/>
              </w:rPr>
            </w:pPr>
            <w:r w:rsidRPr="00D25385">
              <w:rPr>
                <w:b/>
                <w:color w:val="FFFFFF"/>
                <w:sz w:val="18"/>
                <w:szCs w:val="16"/>
                <w:lang w:val="sq-AL"/>
              </w:rPr>
              <w:t>Plani 2020</w:t>
            </w:r>
          </w:p>
        </w:tc>
        <w:tc>
          <w:tcPr>
            <w:tcW w:w="0" w:type="auto"/>
            <w:gridSpan w:val="2"/>
            <w:shd w:val="clear" w:color="auto" w:fill="4BACC6"/>
          </w:tcPr>
          <w:p w:rsidR="006308E8" w:rsidRPr="00D25385" w:rsidRDefault="006308E8" w:rsidP="00121650">
            <w:pPr>
              <w:spacing w:line="276" w:lineRule="auto"/>
              <w:jc w:val="center"/>
              <w:rPr>
                <w:b/>
                <w:color w:val="FFFFFF"/>
                <w:sz w:val="18"/>
                <w:szCs w:val="16"/>
                <w:lang w:val="sq-AL"/>
              </w:rPr>
            </w:pPr>
            <w:r w:rsidRPr="00D25385">
              <w:rPr>
                <w:b/>
                <w:color w:val="FFFFFF"/>
                <w:sz w:val="18"/>
                <w:szCs w:val="16"/>
                <w:lang w:val="sq-AL"/>
              </w:rPr>
              <w:t>Fakti 4M 2020</w:t>
            </w:r>
          </w:p>
        </w:tc>
        <w:tc>
          <w:tcPr>
            <w:tcW w:w="0" w:type="auto"/>
            <w:gridSpan w:val="2"/>
            <w:shd w:val="clear" w:color="auto" w:fill="4BACC6"/>
          </w:tcPr>
          <w:p w:rsidR="006308E8" w:rsidRPr="00D25385" w:rsidRDefault="006308E8" w:rsidP="00121650">
            <w:pPr>
              <w:spacing w:line="276" w:lineRule="auto"/>
              <w:jc w:val="center"/>
              <w:rPr>
                <w:b/>
                <w:color w:val="FFFFFF"/>
                <w:sz w:val="18"/>
                <w:szCs w:val="16"/>
                <w:lang w:val="sq-AL"/>
              </w:rPr>
            </w:pPr>
            <w:r w:rsidRPr="00D25385">
              <w:rPr>
                <w:b/>
                <w:bCs/>
                <w:color w:val="FFFFFF"/>
                <w:sz w:val="18"/>
                <w:szCs w:val="16"/>
                <w:lang w:val="sq-AL"/>
              </w:rPr>
              <w:t>Përqindja  e realizimit</w:t>
            </w:r>
          </w:p>
        </w:tc>
      </w:tr>
      <w:tr w:rsidR="006308E8" w:rsidRPr="00D25385" w:rsidTr="00D25385">
        <w:trPr>
          <w:trHeight w:val="101"/>
          <w:jc w:val="center"/>
        </w:trPr>
        <w:tc>
          <w:tcPr>
            <w:tcW w:w="0" w:type="auto"/>
            <w:vMerge/>
            <w:shd w:val="clear" w:color="auto" w:fill="4BACC6"/>
          </w:tcPr>
          <w:p w:rsidR="006308E8" w:rsidRPr="00D25385" w:rsidRDefault="006308E8" w:rsidP="00121650">
            <w:pPr>
              <w:spacing w:line="276" w:lineRule="auto"/>
              <w:jc w:val="center"/>
              <w:rPr>
                <w:b/>
                <w:color w:val="FFFFFF"/>
                <w:sz w:val="18"/>
                <w:szCs w:val="16"/>
                <w:lang w:val="sq-AL"/>
              </w:rPr>
            </w:pPr>
          </w:p>
        </w:tc>
        <w:tc>
          <w:tcPr>
            <w:tcW w:w="0" w:type="auto"/>
            <w:vMerge/>
            <w:shd w:val="clear" w:color="auto" w:fill="4BACC6"/>
          </w:tcPr>
          <w:p w:rsidR="006308E8" w:rsidRPr="00D25385" w:rsidRDefault="006308E8" w:rsidP="00121650">
            <w:pPr>
              <w:spacing w:line="276" w:lineRule="auto"/>
              <w:jc w:val="center"/>
              <w:rPr>
                <w:b/>
                <w:color w:val="FFFFFF"/>
                <w:sz w:val="18"/>
                <w:szCs w:val="16"/>
                <w:lang w:val="sq-AL"/>
              </w:rPr>
            </w:pPr>
          </w:p>
        </w:tc>
        <w:tc>
          <w:tcPr>
            <w:tcW w:w="0" w:type="auto"/>
            <w:shd w:val="clear" w:color="auto" w:fill="4BACC6"/>
          </w:tcPr>
          <w:p w:rsidR="006308E8" w:rsidRPr="00D25385" w:rsidRDefault="006308E8" w:rsidP="00121650">
            <w:pPr>
              <w:spacing w:line="276" w:lineRule="auto"/>
              <w:ind w:left="84"/>
              <w:rPr>
                <w:b/>
                <w:color w:val="FFFFFF"/>
                <w:sz w:val="18"/>
                <w:szCs w:val="16"/>
                <w:lang w:val="sq-AL"/>
              </w:rPr>
            </w:pPr>
            <w:r w:rsidRPr="00D25385">
              <w:rPr>
                <w:b/>
                <w:color w:val="FFFFFF"/>
                <w:sz w:val="18"/>
                <w:szCs w:val="16"/>
                <w:lang w:val="sq-AL"/>
              </w:rPr>
              <w:t>Korrente</w:t>
            </w:r>
          </w:p>
        </w:tc>
        <w:tc>
          <w:tcPr>
            <w:tcW w:w="0" w:type="auto"/>
            <w:shd w:val="clear" w:color="auto" w:fill="4BACC6"/>
          </w:tcPr>
          <w:p w:rsidR="006308E8" w:rsidRPr="00D25385" w:rsidRDefault="006308E8" w:rsidP="00121650">
            <w:pPr>
              <w:spacing w:line="276" w:lineRule="auto"/>
              <w:ind w:left="84"/>
              <w:jc w:val="center"/>
              <w:rPr>
                <w:b/>
                <w:color w:val="FFFFFF"/>
                <w:sz w:val="18"/>
                <w:szCs w:val="16"/>
                <w:lang w:val="sq-AL"/>
              </w:rPr>
            </w:pPr>
            <w:r w:rsidRPr="00D25385">
              <w:rPr>
                <w:b/>
                <w:color w:val="FFFFFF"/>
                <w:sz w:val="18"/>
                <w:szCs w:val="16"/>
                <w:lang w:val="sq-AL"/>
              </w:rPr>
              <w:t>Investime</w:t>
            </w:r>
          </w:p>
        </w:tc>
        <w:tc>
          <w:tcPr>
            <w:tcW w:w="0" w:type="auto"/>
            <w:shd w:val="clear" w:color="auto" w:fill="4BACC6"/>
          </w:tcPr>
          <w:p w:rsidR="006308E8" w:rsidRPr="00D25385" w:rsidRDefault="006308E8" w:rsidP="00121650">
            <w:pPr>
              <w:spacing w:line="276" w:lineRule="auto"/>
              <w:jc w:val="center"/>
              <w:rPr>
                <w:b/>
                <w:color w:val="FFFFFF"/>
                <w:sz w:val="18"/>
                <w:szCs w:val="16"/>
                <w:lang w:val="sq-AL"/>
              </w:rPr>
            </w:pPr>
            <w:r w:rsidRPr="00D25385">
              <w:rPr>
                <w:b/>
                <w:color w:val="FFFFFF"/>
                <w:sz w:val="18"/>
                <w:szCs w:val="16"/>
                <w:lang w:val="sq-AL"/>
              </w:rPr>
              <w:t>Korrente</w:t>
            </w:r>
          </w:p>
        </w:tc>
        <w:tc>
          <w:tcPr>
            <w:tcW w:w="0" w:type="auto"/>
            <w:shd w:val="clear" w:color="auto" w:fill="4BACC6"/>
          </w:tcPr>
          <w:p w:rsidR="006308E8" w:rsidRPr="00D25385" w:rsidRDefault="006308E8" w:rsidP="00121650">
            <w:pPr>
              <w:spacing w:line="276" w:lineRule="auto"/>
              <w:jc w:val="center"/>
              <w:rPr>
                <w:b/>
                <w:color w:val="FFFFFF"/>
                <w:sz w:val="18"/>
                <w:szCs w:val="16"/>
                <w:lang w:val="sq-AL"/>
              </w:rPr>
            </w:pPr>
            <w:r w:rsidRPr="00D25385">
              <w:rPr>
                <w:b/>
                <w:color w:val="FFFFFF"/>
                <w:sz w:val="18"/>
                <w:szCs w:val="16"/>
                <w:lang w:val="sq-AL"/>
              </w:rPr>
              <w:t>Investime</w:t>
            </w:r>
          </w:p>
        </w:tc>
        <w:tc>
          <w:tcPr>
            <w:tcW w:w="0" w:type="auto"/>
            <w:shd w:val="clear" w:color="auto" w:fill="4BACC6"/>
          </w:tcPr>
          <w:p w:rsidR="006308E8" w:rsidRPr="00D25385" w:rsidRDefault="006308E8" w:rsidP="00121650">
            <w:pPr>
              <w:spacing w:line="276" w:lineRule="auto"/>
              <w:jc w:val="center"/>
              <w:rPr>
                <w:b/>
                <w:color w:val="FFFFFF"/>
                <w:sz w:val="18"/>
                <w:szCs w:val="16"/>
                <w:lang w:val="sq-AL"/>
              </w:rPr>
            </w:pPr>
            <w:r w:rsidRPr="00D25385">
              <w:rPr>
                <w:b/>
                <w:color w:val="FFFFFF"/>
                <w:sz w:val="18"/>
                <w:szCs w:val="16"/>
                <w:lang w:val="sq-AL"/>
              </w:rPr>
              <w:t>Korrente</w:t>
            </w:r>
          </w:p>
        </w:tc>
        <w:tc>
          <w:tcPr>
            <w:tcW w:w="0" w:type="auto"/>
            <w:shd w:val="clear" w:color="auto" w:fill="4BACC6"/>
          </w:tcPr>
          <w:p w:rsidR="006308E8" w:rsidRPr="00D25385" w:rsidRDefault="006308E8" w:rsidP="00121650">
            <w:pPr>
              <w:spacing w:line="276" w:lineRule="auto"/>
              <w:jc w:val="center"/>
              <w:rPr>
                <w:b/>
                <w:color w:val="FFFFFF"/>
                <w:sz w:val="18"/>
                <w:szCs w:val="16"/>
                <w:lang w:val="sq-AL"/>
              </w:rPr>
            </w:pPr>
            <w:r w:rsidRPr="00D25385">
              <w:rPr>
                <w:b/>
                <w:color w:val="FFFFFF"/>
                <w:sz w:val="18"/>
                <w:szCs w:val="16"/>
                <w:lang w:val="sq-AL"/>
              </w:rPr>
              <w:t>Investime</w:t>
            </w:r>
          </w:p>
        </w:tc>
      </w:tr>
      <w:tr w:rsidR="006308E8" w:rsidRPr="00D25385" w:rsidTr="00D25385">
        <w:trPr>
          <w:trHeight w:val="287"/>
          <w:jc w:val="center"/>
        </w:trPr>
        <w:tc>
          <w:tcPr>
            <w:tcW w:w="0" w:type="auto"/>
          </w:tcPr>
          <w:p w:rsidR="006308E8" w:rsidRPr="00D25385" w:rsidRDefault="006308E8" w:rsidP="00121650">
            <w:pPr>
              <w:spacing w:line="276" w:lineRule="auto"/>
              <w:rPr>
                <w:sz w:val="18"/>
                <w:szCs w:val="16"/>
                <w:lang w:val="sq-AL"/>
              </w:rPr>
            </w:pPr>
            <w:r w:rsidRPr="00D25385">
              <w:rPr>
                <w:sz w:val="18"/>
                <w:szCs w:val="16"/>
                <w:lang w:val="sq-AL"/>
              </w:rPr>
              <w:t>1.</w:t>
            </w:r>
          </w:p>
        </w:tc>
        <w:tc>
          <w:tcPr>
            <w:tcW w:w="0" w:type="auto"/>
          </w:tcPr>
          <w:p w:rsidR="006308E8" w:rsidRPr="00D25385" w:rsidRDefault="006308E8" w:rsidP="00121650">
            <w:pPr>
              <w:spacing w:line="276" w:lineRule="auto"/>
              <w:rPr>
                <w:sz w:val="18"/>
                <w:szCs w:val="16"/>
                <w:lang w:val="sq-AL"/>
              </w:rPr>
            </w:pPr>
            <w:r w:rsidRPr="00D25385">
              <w:rPr>
                <w:sz w:val="18"/>
                <w:szCs w:val="16"/>
                <w:lang w:val="sq-AL"/>
              </w:rPr>
              <w:t>Policia e Shtetit</w:t>
            </w:r>
          </w:p>
        </w:tc>
        <w:tc>
          <w:tcPr>
            <w:tcW w:w="0" w:type="auto"/>
          </w:tcPr>
          <w:p w:rsidR="006308E8" w:rsidRPr="00D25385" w:rsidRDefault="006308E8" w:rsidP="00121650">
            <w:pPr>
              <w:spacing w:line="276" w:lineRule="auto"/>
              <w:jc w:val="right"/>
              <w:rPr>
                <w:sz w:val="18"/>
                <w:szCs w:val="16"/>
                <w:lang w:val="sq-AL"/>
              </w:rPr>
            </w:pPr>
            <w:r w:rsidRPr="00D25385">
              <w:rPr>
                <w:sz w:val="18"/>
                <w:szCs w:val="16"/>
                <w:lang w:val="sq-AL"/>
              </w:rPr>
              <w:t>15,221,229</w:t>
            </w:r>
          </w:p>
        </w:tc>
        <w:tc>
          <w:tcPr>
            <w:tcW w:w="0" w:type="auto"/>
          </w:tcPr>
          <w:p w:rsidR="006308E8" w:rsidRPr="00D25385" w:rsidRDefault="006308E8" w:rsidP="00121650">
            <w:pPr>
              <w:spacing w:line="276" w:lineRule="auto"/>
              <w:jc w:val="right"/>
              <w:rPr>
                <w:sz w:val="18"/>
                <w:szCs w:val="16"/>
                <w:lang w:val="sq-AL"/>
              </w:rPr>
            </w:pPr>
            <w:r w:rsidRPr="00D25385">
              <w:rPr>
                <w:sz w:val="18"/>
                <w:szCs w:val="16"/>
                <w:lang w:val="sq-AL"/>
              </w:rPr>
              <w:t>670,951</w:t>
            </w:r>
          </w:p>
        </w:tc>
        <w:tc>
          <w:tcPr>
            <w:tcW w:w="0" w:type="auto"/>
          </w:tcPr>
          <w:p w:rsidR="006308E8" w:rsidRPr="00D25385" w:rsidRDefault="006308E8" w:rsidP="00121650">
            <w:pPr>
              <w:spacing w:line="276" w:lineRule="auto"/>
              <w:jc w:val="right"/>
              <w:rPr>
                <w:sz w:val="18"/>
                <w:szCs w:val="16"/>
                <w:lang w:val="sq-AL"/>
              </w:rPr>
            </w:pPr>
            <w:r w:rsidRPr="00D25385">
              <w:rPr>
                <w:sz w:val="18"/>
                <w:szCs w:val="16"/>
                <w:lang w:val="sq-AL"/>
              </w:rPr>
              <w:t>4,422,217</w:t>
            </w:r>
          </w:p>
        </w:tc>
        <w:tc>
          <w:tcPr>
            <w:tcW w:w="0" w:type="auto"/>
          </w:tcPr>
          <w:p w:rsidR="006308E8" w:rsidRPr="00D25385" w:rsidRDefault="006308E8" w:rsidP="00121650">
            <w:pPr>
              <w:spacing w:line="276" w:lineRule="auto"/>
              <w:jc w:val="right"/>
              <w:rPr>
                <w:sz w:val="18"/>
                <w:szCs w:val="16"/>
                <w:lang w:val="sq-AL"/>
              </w:rPr>
            </w:pPr>
            <w:r w:rsidRPr="00D25385">
              <w:rPr>
                <w:sz w:val="18"/>
                <w:szCs w:val="16"/>
                <w:lang w:val="sq-AL"/>
              </w:rPr>
              <w:t>64,648</w:t>
            </w:r>
          </w:p>
        </w:tc>
        <w:tc>
          <w:tcPr>
            <w:tcW w:w="0" w:type="auto"/>
          </w:tcPr>
          <w:p w:rsidR="006308E8" w:rsidRPr="00D25385" w:rsidRDefault="006308E8" w:rsidP="00121650">
            <w:pPr>
              <w:spacing w:line="276" w:lineRule="auto"/>
              <w:jc w:val="center"/>
              <w:rPr>
                <w:sz w:val="18"/>
                <w:szCs w:val="16"/>
                <w:lang w:val="sq-AL"/>
              </w:rPr>
            </w:pPr>
            <w:r w:rsidRPr="00D25385">
              <w:rPr>
                <w:sz w:val="18"/>
                <w:szCs w:val="16"/>
                <w:lang w:val="sq-AL"/>
              </w:rPr>
              <w:t>29.05%</w:t>
            </w:r>
          </w:p>
        </w:tc>
        <w:tc>
          <w:tcPr>
            <w:tcW w:w="0" w:type="auto"/>
          </w:tcPr>
          <w:p w:rsidR="006308E8" w:rsidRPr="00D25385" w:rsidRDefault="006308E8" w:rsidP="00121650">
            <w:pPr>
              <w:spacing w:line="276" w:lineRule="auto"/>
              <w:jc w:val="center"/>
              <w:rPr>
                <w:sz w:val="18"/>
                <w:szCs w:val="16"/>
                <w:lang w:val="sq-AL"/>
              </w:rPr>
            </w:pPr>
            <w:r w:rsidRPr="00D25385">
              <w:rPr>
                <w:sz w:val="18"/>
                <w:szCs w:val="16"/>
                <w:lang w:val="sq-AL"/>
              </w:rPr>
              <w:t>9.64%</w:t>
            </w:r>
          </w:p>
        </w:tc>
      </w:tr>
      <w:tr w:rsidR="006308E8" w:rsidRPr="00D25385" w:rsidTr="00D25385">
        <w:trPr>
          <w:trHeight w:val="255"/>
          <w:jc w:val="center"/>
        </w:trPr>
        <w:tc>
          <w:tcPr>
            <w:tcW w:w="0" w:type="auto"/>
          </w:tcPr>
          <w:p w:rsidR="006308E8" w:rsidRPr="00D25385" w:rsidRDefault="006308E8" w:rsidP="00121650">
            <w:pPr>
              <w:spacing w:line="276" w:lineRule="auto"/>
              <w:rPr>
                <w:sz w:val="18"/>
                <w:szCs w:val="16"/>
                <w:lang w:val="sq-AL"/>
              </w:rPr>
            </w:pPr>
          </w:p>
        </w:tc>
        <w:tc>
          <w:tcPr>
            <w:tcW w:w="0" w:type="auto"/>
          </w:tcPr>
          <w:p w:rsidR="006308E8" w:rsidRPr="00D25385" w:rsidRDefault="006308E8" w:rsidP="00121650">
            <w:pPr>
              <w:spacing w:line="276" w:lineRule="auto"/>
              <w:contextualSpacing/>
              <w:rPr>
                <w:sz w:val="18"/>
                <w:szCs w:val="16"/>
                <w:lang w:val="sq-AL"/>
              </w:rPr>
            </w:pPr>
            <w:r w:rsidRPr="00D25385">
              <w:rPr>
                <w:sz w:val="18"/>
                <w:szCs w:val="16"/>
                <w:lang w:val="sq-AL"/>
              </w:rPr>
              <w:t xml:space="preserve">             Financimi i huaj</w:t>
            </w:r>
          </w:p>
        </w:tc>
        <w:tc>
          <w:tcPr>
            <w:tcW w:w="0" w:type="auto"/>
          </w:tcPr>
          <w:p w:rsidR="006308E8" w:rsidRPr="00D25385" w:rsidRDefault="006308E8" w:rsidP="00121650">
            <w:pPr>
              <w:spacing w:line="276" w:lineRule="auto"/>
              <w:jc w:val="right"/>
              <w:rPr>
                <w:sz w:val="18"/>
                <w:szCs w:val="16"/>
                <w:lang w:val="sq-AL"/>
              </w:rPr>
            </w:pPr>
          </w:p>
        </w:tc>
        <w:tc>
          <w:tcPr>
            <w:tcW w:w="0" w:type="auto"/>
          </w:tcPr>
          <w:p w:rsidR="006308E8" w:rsidRPr="00D25385" w:rsidRDefault="006308E8" w:rsidP="00121650">
            <w:pPr>
              <w:spacing w:line="276" w:lineRule="auto"/>
              <w:jc w:val="right"/>
              <w:rPr>
                <w:sz w:val="18"/>
                <w:szCs w:val="16"/>
                <w:lang w:val="sq-AL"/>
              </w:rPr>
            </w:pPr>
            <w:r w:rsidRPr="00D25385">
              <w:rPr>
                <w:sz w:val="18"/>
                <w:szCs w:val="16"/>
                <w:lang w:val="sq-AL"/>
              </w:rPr>
              <w:t>818,868</w:t>
            </w:r>
          </w:p>
        </w:tc>
        <w:tc>
          <w:tcPr>
            <w:tcW w:w="0" w:type="auto"/>
          </w:tcPr>
          <w:p w:rsidR="006308E8" w:rsidRPr="00D25385" w:rsidRDefault="006308E8" w:rsidP="00121650">
            <w:pPr>
              <w:spacing w:line="276" w:lineRule="auto"/>
              <w:jc w:val="right"/>
              <w:rPr>
                <w:sz w:val="18"/>
                <w:szCs w:val="16"/>
                <w:lang w:val="sq-AL"/>
              </w:rPr>
            </w:pPr>
          </w:p>
        </w:tc>
        <w:tc>
          <w:tcPr>
            <w:tcW w:w="0" w:type="auto"/>
          </w:tcPr>
          <w:p w:rsidR="006308E8" w:rsidRPr="00D25385" w:rsidRDefault="006308E8" w:rsidP="00121650">
            <w:pPr>
              <w:spacing w:line="276" w:lineRule="auto"/>
              <w:jc w:val="right"/>
              <w:rPr>
                <w:sz w:val="18"/>
                <w:szCs w:val="16"/>
                <w:lang w:val="sq-AL"/>
              </w:rPr>
            </w:pPr>
            <w:r w:rsidRPr="00D25385">
              <w:rPr>
                <w:sz w:val="18"/>
                <w:szCs w:val="16"/>
                <w:lang w:val="sq-AL"/>
              </w:rPr>
              <w:t>237,970</w:t>
            </w:r>
          </w:p>
        </w:tc>
        <w:tc>
          <w:tcPr>
            <w:tcW w:w="0" w:type="auto"/>
          </w:tcPr>
          <w:p w:rsidR="006308E8" w:rsidRPr="00D25385" w:rsidRDefault="006308E8" w:rsidP="00121650">
            <w:pPr>
              <w:spacing w:line="276" w:lineRule="auto"/>
              <w:jc w:val="center"/>
              <w:rPr>
                <w:sz w:val="18"/>
                <w:szCs w:val="16"/>
                <w:lang w:val="sq-AL"/>
              </w:rPr>
            </w:pPr>
          </w:p>
        </w:tc>
        <w:tc>
          <w:tcPr>
            <w:tcW w:w="0" w:type="auto"/>
          </w:tcPr>
          <w:p w:rsidR="006308E8" w:rsidRPr="00D25385" w:rsidRDefault="006308E8" w:rsidP="00121650">
            <w:pPr>
              <w:spacing w:line="276" w:lineRule="auto"/>
              <w:jc w:val="center"/>
              <w:rPr>
                <w:sz w:val="18"/>
                <w:szCs w:val="16"/>
                <w:lang w:val="sq-AL"/>
              </w:rPr>
            </w:pPr>
            <w:r w:rsidRPr="00D25385">
              <w:rPr>
                <w:sz w:val="18"/>
                <w:szCs w:val="16"/>
                <w:lang w:val="sq-AL"/>
              </w:rPr>
              <w:t>29.06%</w:t>
            </w:r>
          </w:p>
        </w:tc>
      </w:tr>
      <w:tr w:rsidR="006308E8" w:rsidRPr="00D25385" w:rsidTr="00D25385">
        <w:trPr>
          <w:trHeight w:val="132"/>
          <w:jc w:val="center"/>
        </w:trPr>
        <w:tc>
          <w:tcPr>
            <w:tcW w:w="0" w:type="auto"/>
          </w:tcPr>
          <w:p w:rsidR="006308E8" w:rsidRPr="00D25385" w:rsidRDefault="006308E8" w:rsidP="00121650">
            <w:pPr>
              <w:spacing w:line="276" w:lineRule="auto"/>
              <w:rPr>
                <w:sz w:val="18"/>
                <w:szCs w:val="16"/>
                <w:lang w:val="sq-AL"/>
              </w:rPr>
            </w:pPr>
            <w:r w:rsidRPr="00D25385">
              <w:rPr>
                <w:sz w:val="18"/>
                <w:szCs w:val="16"/>
                <w:lang w:val="sq-AL"/>
              </w:rPr>
              <w:t>2.</w:t>
            </w:r>
          </w:p>
        </w:tc>
        <w:tc>
          <w:tcPr>
            <w:tcW w:w="0" w:type="auto"/>
          </w:tcPr>
          <w:p w:rsidR="006308E8" w:rsidRPr="00D25385" w:rsidRDefault="006308E8" w:rsidP="00121650">
            <w:pPr>
              <w:spacing w:line="276" w:lineRule="auto"/>
              <w:rPr>
                <w:sz w:val="18"/>
                <w:szCs w:val="16"/>
                <w:lang w:val="sq-AL"/>
              </w:rPr>
            </w:pPr>
            <w:r w:rsidRPr="00D25385">
              <w:rPr>
                <w:sz w:val="18"/>
                <w:szCs w:val="16"/>
                <w:lang w:val="sq-AL"/>
              </w:rPr>
              <w:t>Garda e Republikës</w:t>
            </w:r>
          </w:p>
        </w:tc>
        <w:tc>
          <w:tcPr>
            <w:tcW w:w="0" w:type="auto"/>
          </w:tcPr>
          <w:p w:rsidR="006308E8" w:rsidRPr="00D25385" w:rsidRDefault="006308E8" w:rsidP="00121650">
            <w:pPr>
              <w:spacing w:line="276" w:lineRule="auto"/>
              <w:jc w:val="right"/>
              <w:rPr>
                <w:sz w:val="18"/>
                <w:szCs w:val="16"/>
                <w:lang w:val="sq-AL"/>
              </w:rPr>
            </w:pPr>
            <w:r w:rsidRPr="00D25385">
              <w:rPr>
                <w:sz w:val="18"/>
                <w:szCs w:val="16"/>
                <w:lang w:val="sq-AL"/>
              </w:rPr>
              <w:t>1,502,000</w:t>
            </w:r>
          </w:p>
        </w:tc>
        <w:tc>
          <w:tcPr>
            <w:tcW w:w="0" w:type="auto"/>
          </w:tcPr>
          <w:p w:rsidR="006308E8" w:rsidRPr="00D25385" w:rsidRDefault="006308E8" w:rsidP="00121650">
            <w:pPr>
              <w:spacing w:line="276" w:lineRule="auto"/>
              <w:jc w:val="right"/>
              <w:rPr>
                <w:sz w:val="18"/>
                <w:szCs w:val="16"/>
                <w:lang w:val="sq-AL"/>
              </w:rPr>
            </w:pPr>
            <w:r w:rsidRPr="00D25385">
              <w:rPr>
                <w:sz w:val="18"/>
                <w:szCs w:val="16"/>
                <w:lang w:val="sq-AL"/>
              </w:rPr>
              <w:t>55,000</w:t>
            </w:r>
          </w:p>
        </w:tc>
        <w:tc>
          <w:tcPr>
            <w:tcW w:w="0" w:type="auto"/>
          </w:tcPr>
          <w:p w:rsidR="006308E8" w:rsidRPr="00D25385" w:rsidRDefault="006308E8" w:rsidP="00121650">
            <w:pPr>
              <w:spacing w:line="276" w:lineRule="auto"/>
              <w:jc w:val="right"/>
              <w:rPr>
                <w:sz w:val="18"/>
                <w:szCs w:val="16"/>
                <w:lang w:val="sq-AL"/>
              </w:rPr>
            </w:pPr>
            <w:r w:rsidRPr="00D25385">
              <w:rPr>
                <w:sz w:val="18"/>
                <w:szCs w:val="16"/>
                <w:lang w:val="sq-AL"/>
              </w:rPr>
              <w:t>453,081</w:t>
            </w:r>
          </w:p>
        </w:tc>
        <w:tc>
          <w:tcPr>
            <w:tcW w:w="0" w:type="auto"/>
          </w:tcPr>
          <w:p w:rsidR="006308E8" w:rsidRPr="00D25385" w:rsidRDefault="006308E8" w:rsidP="00121650">
            <w:pPr>
              <w:spacing w:line="276" w:lineRule="auto"/>
              <w:jc w:val="right"/>
              <w:rPr>
                <w:sz w:val="18"/>
                <w:szCs w:val="16"/>
                <w:lang w:val="sq-AL"/>
              </w:rPr>
            </w:pPr>
            <w:r w:rsidRPr="00D25385">
              <w:rPr>
                <w:sz w:val="18"/>
                <w:szCs w:val="16"/>
                <w:lang w:val="sq-AL"/>
              </w:rPr>
              <w:t>-</w:t>
            </w:r>
          </w:p>
        </w:tc>
        <w:tc>
          <w:tcPr>
            <w:tcW w:w="0" w:type="auto"/>
          </w:tcPr>
          <w:p w:rsidR="006308E8" w:rsidRPr="00D25385" w:rsidRDefault="006308E8" w:rsidP="00121650">
            <w:pPr>
              <w:spacing w:line="276" w:lineRule="auto"/>
              <w:jc w:val="center"/>
              <w:rPr>
                <w:sz w:val="18"/>
                <w:szCs w:val="16"/>
                <w:lang w:val="sq-AL"/>
              </w:rPr>
            </w:pPr>
            <w:r w:rsidRPr="00D25385">
              <w:rPr>
                <w:sz w:val="18"/>
                <w:szCs w:val="16"/>
                <w:lang w:val="sq-AL"/>
              </w:rPr>
              <w:t>30.17%</w:t>
            </w:r>
          </w:p>
        </w:tc>
        <w:tc>
          <w:tcPr>
            <w:tcW w:w="0" w:type="auto"/>
          </w:tcPr>
          <w:p w:rsidR="006308E8" w:rsidRPr="00D25385" w:rsidRDefault="006308E8" w:rsidP="00121650">
            <w:pPr>
              <w:spacing w:line="276" w:lineRule="auto"/>
              <w:jc w:val="center"/>
              <w:rPr>
                <w:sz w:val="18"/>
                <w:szCs w:val="16"/>
                <w:lang w:val="sq-AL"/>
              </w:rPr>
            </w:pPr>
            <w:r w:rsidRPr="00D25385">
              <w:rPr>
                <w:sz w:val="18"/>
                <w:szCs w:val="16"/>
                <w:lang w:val="sq-AL"/>
              </w:rPr>
              <w:t>0.00%</w:t>
            </w:r>
          </w:p>
        </w:tc>
      </w:tr>
      <w:tr w:rsidR="006308E8" w:rsidRPr="00D25385" w:rsidTr="00D25385">
        <w:trPr>
          <w:trHeight w:val="132"/>
          <w:jc w:val="center"/>
        </w:trPr>
        <w:tc>
          <w:tcPr>
            <w:tcW w:w="0" w:type="auto"/>
          </w:tcPr>
          <w:p w:rsidR="006308E8" w:rsidRPr="00D25385" w:rsidRDefault="006308E8" w:rsidP="00121650">
            <w:pPr>
              <w:spacing w:line="276" w:lineRule="auto"/>
              <w:rPr>
                <w:sz w:val="18"/>
                <w:szCs w:val="16"/>
                <w:lang w:val="sq-AL"/>
              </w:rPr>
            </w:pPr>
            <w:r w:rsidRPr="00D25385">
              <w:rPr>
                <w:sz w:val="18"/>
                <w:szCs w:val="16"/>
                <w:lang w:val="sq-AL"/>
              </w:rPr>
              <w:t>3.</w:t>
            </w:r>
          </w:p>
        </w:tc>
        <w:tc>
          <w:tcPr>
            <w:tcW w:w="0" w:type="auto"/>
          </w:tcPr>
          <w:p w:rsidR="006308E8" w:rsidRPr="00D25385" w:rsidRDefault="006308E8" w:rsidP="00121650">
            <w:pPr>
              <w:spacing w:line="276" w:lineRule="auto"/>
              <w:rPr>
                <w:sz w:val="18"/>
                <w:szCs w:val="16"/>
                <w:lang w:val="sq-AL"/>
              </w:rPr>
            </w:pPr>
            <w:r w:rsidRPr="00D25385">
              <w:rPr>
                <w:sz w:val="18"/>
                <w:szCs w:val="16"/>
                <w:lang w:val="sq-AL"/>
              </w:rPr>
              <w:t>Shërbimi i Gjendjes Civile</w:t>
            </w:r>
          </w:p>
        </w:tc>
        <w:tc>
          <w:tcPr>
            <w:tcW w:w="0" w:type="auto"/>
          </w:tcPr>
          <w:p w:rsidR="006308E8" w:rsidRPr="00D25385" w:rsidRDefault="006308E8" w:rsidP="00121650">
            <w:pPr>
              <w:spacing w:line="276" w:lineRule="auto"/>
              <w:jc w:val="right"/>
              <w:rPr>
                <w:sz w:val="18"/>
                <w:szCs w:val="16"/>
                <w:lang w:val="sq-AL"/>
              </w:rPr>
            </w:pPr>
            <w:r w:rsidRPr="00D25385">
              <w:rPr>
                <w:sz w:val="18"/>
                <w:szCs w:val="16"/>
                <w:lang w:val="sq-AL"/>
              </w:rPr>
              <w:t>639,200</w:t>
            </w:r>
          </w:p>
        </w:tc>
        <w:tc>
          <w:tcPr>
            <w:tcW w:w="0" w:type="auto"/>
          </w:tcPr>
          <w:p w:rsidR="006308E8" w:rsidRPr="00D25385" w:rsidRDefault="006308E8" w:rsidP="00121650">
            <w:pPr>
              <w:spacing w:line="276" w:lineRule="auto"/>
              <w:jc w:val="right"/>
              <w:rPr>
                <w:sz w:val="18"/>
                <w:szCs w:val="16"/>
                <w:lang w:val="sq-AL"/>
              </w:rPr>
            </w:pPr>
            <w:r w:rsidRPr="00D25385">
              <w:rPr>
                <w:sz w:val="18"/>
                <w:szCs w:val="16"/>
                <w:lang w:val="sq-AL"/>
              </w:rPr>
              <w:t>2,000</w:t>
            </w:r>
          </w:p>
        </w:tc>
        <w:tc>
          <w:tcPr>
            <w:tcW w:w="0" w:type="auto"/>
          </w:tcPr>
          <w:p w:rsidR="006308E8" w:rsidRPr="00D25385" w:rsidRDefault="006308E8" w:rsidP="00121650">
            <w:pPr>
              <w:spacing w:line="276" w:lineRule="auto"/>
              <w:jc w:val="right"/>
              <w:rPr>
                <w:sz w:val="18"/>
                <w:szCs w:val="16"/>
                <w:lang w:val="sq-AL"/>
              </w:rPr>
            </w:pPr>
            <w:r w:rsidRPr="00D25385">
              <w:rPr>
                <w:sz w:val="18"/>
                <w:szCs w:val="16"/>
                <w:lang w:val="sq-AL"/>
              </w:rPr>
              <w:t>130,075</w:t>
            </w:r>
          </w:p>
        </w:tc>
        <w:tc>
          <w:tcPr>
            <w:tcW w:w="0" w:type="auto"/>
          </w:tcPr>
          <w:p w:rsidR="006308E8" w:rsidRPr="00D25385" w:rsidRDefault="006308E8" w:rsidP="00121650">
            <w:pPr>
              <w:spacing w:line="276" w:lineRule="auto"/>
              <w:jc w:val="right"/>
              <w:rPr>
                <w:sz w:val="18"/>
                <w:szCs w:val="16"/>
                <w:lang w:val="sq-AL"/>
              </w:rPr>
            </w:pPr>
            <w:r w:rsidRPr="00D25385">
              <w:rPr>
                <w:sz w:val="18"/>
                <w:szCs w:val="16"/>
                <w:lang w:val="sq-AL"/>
              </w:rPr>
              <w:t>-</w:t>
            </w:r>
          </w:p>
        </w:tc>
        <w:tc>
          <w:tcPr>
            <w:tcW w:w="0" w:type="auto"/>
          </w:tcPr>
          <w:p w:rsidR="006308E8" w:rsidRPr="00D25385" w:rsidRDefault="006308E8" w:rsidP="00121650">
            <w:pPr>
              <w:spacing w:line="276" w:lineRule="auto"/>
              <w:jc w:val="center"/>
              <w:rPr>
                <w:sz w:val="18"/>
                <w:szCs w:val="16"/>
                <w:lang w:val="sq-AL"/>
              </w:rPr>
            </w:pPr>
            <w:r w:rsidRPr="00D25385">
              <w:rPr>
                <w:sz w:val="18"/>
                <w:szCs w:val="16"/>
                <w:lang w:val="sq-AL"/>
              </w:rPr>
              <w:t>20.35%</w:t>
            </w:r>
          </w:p>
        </w:tc>
        <w:tc>
          <w:tcPr>
            <w:tcW w:w="0" w:type="auto"/>
          </w:tcPr>
          <w:p w:rsidR="006308E8" w:rsidRPr="00D25385" w:rsidRDefault="006308E8" w:rsidP="00121650">
            <w:pPr>
              <w:spacing w:line="276" w:lineRule="auto"/>
              <w:jc w:val="center"/>
              <w:rPr>
                <w:sz w:val="18"/>
                <w:szCs w:val="16"/>
                <w:lang w:val="sq-AL"/>
              </w:rPr>
            </w:pPr>
            <w:r w:rsidRPr="00D25385">
              <w:rPr>
                <w:sz w:val="18"/>
                <w:szCs w:val="16"/>
                <w:lang w:val="sq-AL"/>
              </w:rPr>
              <w:t>0.00%</w:t>
            </w:r>
          </w:p>
        </w:tc>
      </w:tr>
      <w:tr w:rsidR="006308E8" w:rsidRPr="00D25385" w:rsidTr="00D25385">
        <w:trPr>
          <w:trHeight w:val="132"/>
          <w:jc w:val="center"/>
        </w:trPr>
        <w:tc>
          <w:tcPr>
            <w:tcW w:w="0" w:type="auto"/>
          </w:tcPr>
          <w:p w:rsidR="006308E8" w:rsidRPr="00D25385" w:rsidRDefault="006308E8" w:rsidP="00121650">
            <w:pPr>
              <w:spacing w:line="276" w:lineRule="auto"/>
              <w:rPr>
                <w:sz w:val="18"/>
                <w:szCs w:val="16"/>
                <w:lang w:val="sq-AL"/>
              </w:rPr>
            </w:pPr>
            <w:r w:rsidRPr="00D25385">
              <w:rPr>
                <w:sz w:val="18"/>
                <w:szCs w:val="16"/>
                <w:lang w:val="sq-AL"/>
              </w:rPr>
              <w:t xml:space="preserve">4. </w:t>
            </w:r>
          </w:p>
        </w:tc>
        <w:tc>
          <w:tcPr>
            <w:tcW w:w="0" w:type="auto"/>
          </w:tcPr>
          <w:p w:rsidR="006308E8" w:rsidRPr="00D25385" w:rsidRDefault="006308E8" w:rsidP="00121650">
            <w:pPr>
              <w:spacing w:line="276" w:lineRule="auto"/>
              <w:rPr>
                <w:sz w:val="18"/>
                <w:szCs w:val="16"/>
                <w:lang w:val="sq-AL"/>
              </w:rPr>
            </w:pPr>
            <w:r w:rsidRPr="00D25385">
              <w:rPr>
                <w:sz w:val="18"/>
                <w:szCs w:val="16"/>
                <w:lang w:val="sq-AL"/>
              </w:rPr>
              <w:t>Prefekturat dhe Funksionet e Deleguar</w:t>
            </w:r>
          </w:p>
        </w:tc>
        <w:tc>
          <w:tcPr>
            <w:tcW w:w="0" w:type="auto"/>
          </w:tcPr>
          <w:p w:rsidR="006308E8" w:rsidRPr="00D25385" w:rsidRDefault="006308E8" w:rsidP="00121650">
            <w:pPr>
              <w:spacing w:line="276" w:lineRule="auto"/>
              <w:jc w:val="right"/>
              <w:rPr>
                <w:sz w:val="18"/>
                <w:szCs w:val="16"/>
                <w:lang w:val="sq-AL"/>
              </w:rPr>
            </w:pPr>
            <w:r w:rsidRPr="00D25385">
              <w:rPr>
                <w:sz w:val="18"/>
                <w:szCs w:val="16"/>
                <w:lang w:val="sq-AL"/>
              </w:rPr>
              <w:t>484,900</w:t>
            </w:r>
          </w:p>
        </w:tc>
        <w:tc>
          <w:tcPr>
            <w:tcW w:w="0" w:type="auto"/>
          </w:tcPr>
          <w:p w:rsidR="006308E8" w:rsidRPr="00D25385" w:rsidRDefault="006308E8" w:rsidP="00121650">
            <w:pPr>
              <w:spacing w:line="276" w:lineRule="auto"/>
              <w:jc w:val="right"/>
              <w:rPr>
                <w:sz w:val="18"/>
                <w:szCs w:val="16"/>
                <w:lang w:val="sq-AL"/>
              </w:rPr>
            </w:pPr>
            <w:r w:rsidRPr="00D25385">
              <w:rPr>
                <w:sz w:val="18"/>
                <w:szCs w:val="16"/>
                <w:lang w:val="sq-AL"/>
              </w:rPr>
              <w:t>45,000</w:t>
            </w:r>
          </w:p>
        </w:tc>
        <w:tc>
          <w:tcPr>
            <w:tcW w:w="0" w:type="auto"/>
          </w:tcPr>
          <w:p w:rsidR="006308E8" w:rsidRPr="00D25385" w:rsidRDefault="006308E8" w:rsidP="00121650">
            <w:pPr>
              <w:spacing w:line="276" w:lineRule="auto"/>
              <w:jc w:val="right"/>
              <w:rPr>
                <w:sz w:val="18"/>
                <w:szCs w:val="16"/>
                <w:lang w:val="sq-AL"/>
              </w:rPr>
            </w:pPr>
            <w:r w:rsidRPr="00D25385">
              <w:rPr>
                <w:sz w:val="18"/>
                <w:szCs w:val="16"/>
                <w:lang w:val="sq-AL"/>
              </w:rPr>
              <w:t>138,580</w:t>
            </w:r>
          </w:p>
        </w:tc>
        <w:tc>
          <w:tcPr>
            <w:tcW w:w="0" w:type="auto"/>
          </w:tcPr>
          <w:p w:rsidR="006308E8" w:rsidRPr="00D25385" w:rsidRDefault="006308E8" w:rsidP="00121650">
            <w:pPr>
              <w:spacing w:line="276" w:lineRule="auto"/>
              <w:jc w:val="right"/>
              <w:rPr>
                <w:sz w:val="18"/>
                <w:szCs w:val="16"/>
                <w:lang w:val="sq-AL"/>
              </w:rPr>
            </w:pPr>
            <w:r w:rsidRPr="00D25385">
              <w:rPr>
                <w:sz w:val="18"/>
                <w:szCs w:val="16"/>
                <w:lang w:val="sq-AL"/>
              </w:rPr>
              <w:t>45,000</w:t>
            </w:r>
          </w:p>
        </w:tc>
        <w:tc>
          <w:tcPr>
            <w:tcW w:w="0" w:type="auto"/>
          </w:tcPr>
          <w:p w:rsidR="006308E8" w:rsidRPr="00D25385" w:rsidRDefault="006308E8" w:rsidP="00121650">
            <w:pPr>
              <w:spacing w:line="276" w:lineRule="auto"/>
              <w:jc w:val="center"/>
              <w:rPr>
                <w:sz w:val="18"/>
                <w:szCs w:val="16"/>
                <w:lang w:val="sq-AL"/>
              </w:rPr>
            </w:pPr>
            <w:r w:rsidRPr="00D25385">
              <w:rPr>
                <w:sz w:val="18"/>
                <w:szCs w:val="16"/>
                <w:lang w:val="sq-AL"/>
              </w:rPr>
              <w:t>28.58%</w:t>
            </w:r>
          </w:p>
        </w:tc>
        <w:tc>
          <w:tcPr>
            <w:tcW w:w="0" w:type="auto"/>
          </w:tcPr>
          <w:p w:rsidR="006308E8" w:rsidRPr="00D25385" w:rsidRDefault="006308E8" w:rsidP="00121650">
            <w:pPr>
              <w:spacing w:line="276" w:lineRule="auto"/>
              <w:jc w:val="center"/>
              <w:rPr>
                <w:sz w:val="18"/>
                <w:szCs w:val="16"/>
                <w:lang w:val="sq-AL"/>
              </w:rPr>
            </w:pPr>
            <w:r w:rsidRPr="00D25385">
              <w:rPr>
                <w:sz w:val="18"/>
                <w:szCs w:val="16"/>
                <w:lang w:val="sq-AL"/>
              </w:rPr>
              <w:t>100%</w:t>
            </w:r>
          </w:p>
        </w:tc>
      </w:tr>
      <w:tr w:rsidR="006308E8" w:rsidRPr="00D25385" w:rsidTr="00D25385">
        <w:trPr>
          <w:trHeight w:val="132"/>
          <w:jc w:val="center"/>
        </w:trPr>
        <w:tc>
          <w:tcPr>
            <w:tcW w:w="0" w:type="auto"/>
          </w:tcPr>
          <w:p w:rsidR="006308E8" w:rsidRPr="00D25385" w:rsidRDefault="006308E8" w:rsidP="00121650">
            <w:pPr>
              <w:spacing w:line="276" w:lineRule="auto"/>
              <w:rPr>
                <w:sz w:val="18"/>
                <w:szCs w:val="16"/>
                <w:lang w:val="sq-AL"/>
              </w:rPr>
            </w:pPr>
          </w:p>
        </w:tc>
        <w:tc>
          <w:tcPr>
            <w:tcW w:w="0" w:type="auto"/>
          </w:tcPr>
          <w:p w:rsidR="006308E8" w:rsidRPr="00D25385" w:rsidRDefault="006308E8" w:rsidP="00121650">
            <w:pPr>
              <w:spacing w:line="276" w:lineRule="auto"/>
              <w:rPr>
                <w:sz w:val="18"/>
                <w:szCs w:val="16"/>
                <w:lang w:val="sq-AL"/>
              </w:rPr>
            </w:pPr>
            <w:r w:rsidRPr="00D25385">
              <w:rPr>
                <w:sz w:val="18"/>
                <w:szCs w:val="16"/>
                <w:lang w:val="sq-AL"/>
              </w:rPr>
              <w:t xml:space="preserve">               Financimi i huaj</w:t>
            </w:r>
          </w:p>
        </w:tc>
        <w:tc>
          <w:tcPr>
            <w:tcW w:w="0" w:type="auto"/>
          </w:tcPr>
          <w:p w:rsidR="006308E8" w:rsidRPr="00D25385" w:rsidRDefault="006308E8" w:rsidP="00121650">
            <w:pPr>
              <w:spacing w:line="276" w:lineRule="auto"/>
              <w:jc w:val="right"/>
              <w:rPr>
                <w:sz w:val="18"/>
                <w:szCs w:val="16"/>
                <w:lang w:val="sq-AL"/>
              </w:rPr>
            </w:pPr>
          </w:p>
        </w:tc>
        <w:tc>
          <w:tcPr>
            <w:tcW w:w="0" w:type="auto"/>
          </w:tcPr>
          <w:p w:rsidR="006308E8" w:rsidRPr="00D25385" w:rsidRDefault="006308E8" w:rsidP="00121650">
            <w:pPr>
              <w:spacing w:line="276" w:lineRule="auto"/>
              <w:jc w:val="right"/>
              <w:rPr>
                <w:sz w:val="18"/>
                <w:szCs w:val="16"/>
                <w:lang w:val="sq-AL"/>
              </w:rPr>
            </w:pPr>
            <w:r w:rsidRPr="00D25385">
              <w:rPr>
                <w:sz w:val="18"/>
                <w:szCs w:val="16"/>
                <w:lang w:val="sq-AL"/>
              </w:rPr>
              <w:t>-</w:t>
            </w:r>
          </w:p>
        </w:tc>
        <w:tc>
          <w:tcPr>
            <w:tcW w:w="0" w:type="auto"/>
          </w:tcPr>
          <w:p w:rsidR="006308E8" w:rsidRPr="00D25385" w:rsidRDefault="006308E8" w:rsidP="00121650">
            <w:pPr>
              <w:spacing w:line="276" w:lineRule="auto"/>
              <w:jc w:val="right"/>
              <w:rPr>
                <w:sz w:val="18"/>
                <w:szCs w:val="16"/>
                <w:lang w:val="sq-AL"/>
              </w:rPr>
            </w:pPr>
          </w:p>
        </w:tc>
        <w:tc>
          <w:tcPr>
            <w:tcW w:w="0" w:type="auto"/>
          </w:tcPr>
          <w:p w:rsidR="006308E8" w:rsidRPr="00D25385" w:rsidRDefault="006308E8" w:rsidP="00121650">
            <w:pPr>
              <w:spacing w:line="276" w:lineRule="auto"/>
              <w:jc w:val="right"/>
              <w:rPr>
                <w:sz w:val="18"/>
                <w:szCs w:val="16"/>
                <w:lang w:val="sq-AL"/>
              </w:rPr>
            </w:pPr>
            <w:r w:rsidRPr="00D25385">
              <w:rPr>
                <w:sz w:val="18"/>
                <w:szCs w:val="16"/>
                <w:lang w:val="sq-AL"/>
              </w:rPr>
              <w:t>11,629</w:t>
            </w:r>
          </w:p>
        </w:tc>
        <w:tc>
          <w:tcPr>
            <w:tcW w:w="0" w:type="auto"/>
          </w:tcPr>
          <w:p w:rsidR="006308E8" w:rsidRPr="00D25385" w:rsidRDefault="006308E8" w:rsidP="00121650">
            <w:pPr>
              <w:spacing w:line="276" w:lineRule="auto"/>
              <w:jc w:val="center"/>
              <w:rPr>
                <w:sz w:val="18"/>
                <w:szCs w:val="16"/>
                <w:lang w:val="sq-AL"/>
              </w:rPr>
            </w:pPr>
          </w:p>
        </w:tc>
        <w:tc>
          <w:tcPr>
            <w:tcW w:w="0" w:type="auto"/>
          </w:tcPr>
          <w:p w:rsidR="006308E8" w:rsidRPr="00D25385" w:rsidRDefault="006308E8" w:rsidP="00121650">
            <w:pPr>
              <w:spacing w:line="276" w:lineRule="auto"/>
              <w:jc w:val="center"/>
              <w:rPr>
                <w:sz w:val="18"/>
                <w:szCs w:val="16"/>
                <w:lang w:val="sq-AL"/>
              </w:rPr>
            </w:pPr>
          </w:p>
        </w:tc>
      </w:tr>
    </w:tbl>
    <w:p w:rsidR="006308E8" w:rsidRPr="00BB7F2F" w:rsidRDefault="006308E8" w:rsidP="006308E8">
      <w:pPr>
        <w:spacing w:before="240" w:line="276" w:lineRule="auto"/>
        <w:jc w:val="both"/>
        <w:rPr>
          <w:rFonts w:asciiTheme="minorHAnsi" w:eastAsia="MS Mincho" w:hAnsiTheme="minorHAnsi"/>
          <w:i/>
          <w:lang w:val="sq-AL"/>
        </w:rPr>
      </w:pPr>
      <w:r w:rsidRPr="00BB7F2F">
        <w:rPr>
          <w:rFonts w:asciiTheme="minorHAnsi" w:hAnsiTheme="minorHAnsi"/>
          <w:b/>
          <w:lang w:val="sq-AL"/>
        </w:rPr>
        <w:t>Në programin “Policia e Shtetit</w:t>
      </w:r>
      <w:r w:rsidRPr="00BB7F2F">
        <w:rPr>
          <w:rFonts w:asciiTheme="minorHAnsi" w:hAnsiTheme="minorHAnsi"/>
          <w:lang w:val="sq-AL"/>
        </w:rPr>
        <w:t xml:space="preserve">”, </w:t>
      </w:r>
      <w:r w:rsidRPr="00BB7F2F">
        <w:rPr>
          <w:rFonts w:asciiTheme="minorHAnsi" w:eastAsia="MS Mincho" w:hAnsiTheme="minorHAnsi"/>
          <w:lang w:val="sq-AL"/>
        </w:rPr>
        <w:t xml:space="preserve">me realizimin e fondeve me rreth 28% ndaj planit vjetor, është realizuar qëllimi i politikës së programit. Qëllimi i këtij progami është:  </w:t>
      </w:r>
      <w:r w:rsidRPr="00BB7F2F">
        <w:rPr>
          <w:rFonts w:asciiTheme="minorHAnsi" w:eastAsia="MS Mincho" w:hAnsiTheme="minorHAnsi"/>
          <w:i/>
          <w:lang w:val="sq-AL"/>
        </w:rPr>
        <w:t>“Lufta pa kompromis dhe ndëshkimi i ashpër penal ndaj  grupeve dhe/ose organizatave kriminale të ndryshme, si dhe i grupeve me axhenda ekstremiste të dhunshme dhe terroriste duke shënjestëruar dhe goditur veprimtarinë e krimit të organizuar e rrjetet kriminale, sekuestruar dhe konfiskuar çdo aset ekonomik të paligjshëm. Përforcimi i zbatimit të ligjit për rritjen e nivelit të sigurisë publike dhe asaj rrugore. Menaxhimi efektiv, efeçient dhe i integruar i kufijve nëpërmjet mirëfunksionimit të 27 pikave të kalimit kufitar në Republikën e Shqipërisë. Forcimi i kapaciteteve institucionale, garantimi i pavarësisë operacionale të policisë së shtetit dhe konsolidimi i arsimit, kualifikimit dhe veçanërisht trajnimit të vazhdueshëm e të profilizuar të strukturave të Policisë së Shtetit.”</w:t>
      </w:r>
    </w:p>
    <w:p w:rsidR="00D25385" w:rsidRPr="00D25385" w:rsidRDefault="00D25385" w:rsidP="006308E8">
      <w:pPr>
        <w:spacing w:line="276" w:lineRule="auto"/>
        <w:jc w:val="both"/>
        <w:rPr>
          <w:rFonts w:asciiTheme="minorHAnsi" w:eastAsia="MS Mincho" w:hAnsiTheme="minorHAnsi"/>
          <w:sz w:val="8"/>
          <w:szCs w:val="8"/>
          <w:lang w:val="sq-AL"/>
        </w:rPr>
      </w:pPr>
    </w:p>
    <w:p w:rsidR="006308E8" w:rsidRPr="00BB7F2F" w:rsidRDefault="006308E8" w:rsidP="006308E8">
      <w:pPr>
        <w:spacing w:line="276" w:lineRule="auto"/>
        <w:jc w:val="both"/>
        <w:rPr>
          <w:rFonts w:asciiTheme="minorHAnsi" w:eastAsia="MS Mincho" w:hAnsiTheme="minorHAnsi"/>
          <w:lang w:val="sq-AL"/>
        </w:rPr>
      </w:pPr>
      <w:r w:rsidRPr="00BB7F2F">
        <w:rPr>
          <w:rFonts w:asciiTheme="minorHAnsi" w:eastAsia="MS Mincho" w:hAnsiTheme="minorHAnsi"/>
          <w:lang w:val="sq-AL"/>
        </w:rPr>
        <w:lastRenderedPageBreak/>
        <w:t>Qëllimi i programit realizohet nëpërmjet 4 objektivave dhe 25 produkteve të realizuar përgjatë 4 mujorit të parë të vitit 2020,  të cilat paraqiten si vijon:</w:t>
      </w:r>
    </w:p>
    <w:p w:rsidR="006308E8" w:rsidRPr="00BB7F2F" w:rsidRDefault="006308E8" w:rsidP="006308E8">
      <w:pPr>
        <w:spacing w:before="240" w:after="240" w:line="276" w:lineRule="auto"/>
        <w:contextualSpacing/>
        <w:jc w:val="both"/>
        <w:rPr>
          <w:rFonts w:asciiTheme="minorHAnsi" w:eastAsia="MS Mincho" w:hAnsiTheme="minorHAnsi"/>
          <w:lang w:val="sq-AL"/>
        </w:rPr>
      </w:pPr>
      <w:r w:rsidRPr="00D25385">
        <w:rPr>
          <w:rFonts w:asciiTheme="minorHAnsi" w:eastAsia="MS Mincho" w:hAnsiTheme="minorHAnsi"/>
          <w:lang w:val="sq-AL"/>
        </w:rPr>
        <w:t xml:space="preserve">Objektivi 1 </w:t>
      </w:r>
      <w:r w:rsidRPr="00D25385">
        <w:rPr>
          <w:rFonts w:asciiTheme="minorHAnsi" w:eastAsia="MS Mincho" w:hAnsiTheme="minorHAnsi"/>
          <w:i/>
          <w:lang w:val="sq-AL"/>
        </w:rPr>
        <w:t>“Rritja e hetimeve proaktive në luftën kundër krimit të organizuar, trafiqeve,</w:t>
      </w:r>
      <w:r w:rsidRPr="00BB7F2F">
        <w:rPr>
          <w:rFonts w:asciiTheme="minorHAnsi" w:eastAsia="MS Mincho" w:hAnsiTheme="minorHAnsi"/>
          <w:i/>
          <w:lang w:val="sq-AL"/>
        </w:rPr>
        <w:t xml:space="preserve"> korrupsionit, terrorizmit si dhe forcimi i koordinimit ndërinstitucional ndërkombëtar në luftën kundër krimit të organizuar e terrorizmit”.</w:t>
      </w:r>
      <w:r w:rsidRPr="00BB7F2F">
        <w:rPr>
          <w:rFonts w:asciiTheme="minorHAnsi" w:eastAsia="MS Mincho" w:hAnsiTheme="minorHAnsi"/>
          <w:lang w:val="sq-AL"/>
        </w:rPr>
        <w:t xml:space="preserve"> Për realizimin e objektivit kanë kontribuar produktet sa më poshtë:</w:t>
      </w:r>
    </w:p>
    <w:p w:rsidR="006308E8" w:rsidRPr="00BB7F2F" w:rsidRDefault="006308E8" w:rsidP="00503465">
      <w:pPr>
        <w:numPr>
          <w:ilvl w:val="0"/>
          <w:numId w:val="17"/>
        </w:numPr>
        <w:spacing w:line="276" w:lineRule="auto"/>
        <w:ind w:left="540"/>
        <w:contextualSpacing/>
        <w:jc w:val="both"/>
        <w:rPr>
          <w:rFonts w:asciiTheme="minorHAnsi" w:eastAsia="MS Mincho" w:hAnsiTheme="minorHAnsi"/>
          <w:lang w:val="sq-AL"/>
        </w:rPr>
      </w:pPr>
      <w:r w:rsidRPr="00BB7F2F">
        <w:rPr>
          <w:rFonts w:asciiTheme="minorHAnsi" w:eastAsia="MS Mincho" w:hAnsiTheme="minorHAnsi"/>
          <w:lang w:val="sq-AL"/>
        </w:rPr>
        <w:t xml:space="preserve">Realizimi i 41 </w:t>
      </w:r>
      <w:r w:rsidRPr="00BB7F2F">
        <w:rPr>
          <w:rFonts w:asciiTheme="minorHAnsi" w:eastAsia="MS Mincho" w:hAnsiTheme="minorHAnsi"/>
          <w:i/>
          <w:lang w:val="sq-AL"/>
        </w:rPr>
        <w:t>“Operacione të posaçme Konvencionale” apo 75 % e sasisë së planifikuar</w:t>
      </w:r>
      <w:r w:rsidRPr="00BB7F2F">
        <w:rPr>
          <w:rFonts w:asciiTheme="minorHAnsi" w:eastAsia="MS Mincho" w:hAnsiTheme="minorHAnsi"/>
          <w:lang w:val="sq-AL"/>
        </w:rPr>
        <w:t>, me një kosto totale prej 84 milionë lekë.</w:t>
      </w:r>
    </w:p>
    <w:p w:rsidR="006308E8" w:rsidRPr="00BB7F2F" w:rsidRDefault="006308E8" w:rsidP="00503465">
      <w:pPr>
        <w:numPr>
          <w:ilvl w:val="0"/>
          <w:numId w:val="17"/>
        </w:numPr>
        <w:spacing w:line="276" w:lineRule="auto"/>
        <w:ind w:left="540"/>
        <w:contextualSpacing/>
        <w:jc w:val="both"/>
        <w:rPr>
          <w:rFonts w:asciiTheme="minorHAnsi" w:eastAsia="MS Mincho" w:hAnsiTheme="minorHAnsi"/>
          <w:lang w:val="sq-AL"/>
        </w:rPr>
      </w:pPr>
      <w:r w:rsidRPr="00BB7F2F">
        <w:rPr>
          <w:rFonts w:asciiTheme="minorHAnsi" w:eastAsia="MS Mincho" w:hAnsiTheme="minorHAnsi"/>
          <w:lang w:val="sq-AL"/>
        </w:rPr>
        <w:t>Realizimi i 68 programeve për “</w:t>
      </w:r>
      <w:r w:rsidRPr="00BB7F2F">
        <w:rPr>
          <w:rFonts w:asciiTheme="minorHAnsi" w:eastAsia="MS Mincho" w:hAnsiTheme="minorHAnsi"/>
          <w:i/>
          <w:lang w:val="sq-AL"/>
        </w:rPr>
        <w:t>Mbështetjen për Strategjinë Anti-Kanabis, mbikqyrje ajrore”</w:t>
      </w:r>
      <w:r w:rsidRPr="00BB7F2F">
        <w:rPr>
          <w:rFonts w:asciiTheme="minorHAnsi" w:eastAsia="MS Mincho" w:hAnsiTheme="minorHAnsi"/>
          <w:lang w:val="sq-AL"/>
        </w:rPr>
        <w:t>, me një fond total prej 51 milionë lekë.</w:t>
      </w:r>
    </w:p>
    <w:p w:rsidR="006308E8" w:rsidRPr="00BB7F2F" w:rsidRDefault="006308E8" w:rsidP="00503465">
      <w:pPr>
        <w:numPr>
          <w:ilvl w:val="0"/>
          <w:numId w:val="17"/>
        </w:numPr>
        <w:spacing w:after="240" w:line="276" w:lineRule="auto"/>
        <w:ind w:left="540"/>
        <w:contextualSpacing/>
        <w:jc w:val="both"/>
        <w:rPr>
          <w:rFonts w:asciiTheme="minorHAnsi" w:eastAsia="MS Mincho" w:hAnsiTheme="minorHAnsi"/>
          <w:lang w:val="sq-AL"/>
        </w:rPr>
      </w:pPr>
      <w:r w:rsidRPr="00BB7F2F">
        <w:rPr>
          <w:rFonts w:asciiTheme="minorHAnsi" w:eastAsia="MS Mincho" w:hAnsiTheme="minorHAnsi"/>
          <w:lang w:val="sq-AL"/>
        </w:rPr>
        <w:t xml:space="preserve">Janë kryer 11,953 </w:t>
      </w:r>
      <w:r w:rsidRPr="00BB7F2F">
        <w:rPr>
          <w:rFonts w:asciiTheme="minorHAnsi" w:eastAsia="MS Mincho" w:hAnsiTheme="minorHAnsi"/>
          <w:i/>
          <w:lang w:val="sq-AL"/>
        </w:rPr>
        <w:t xml:space="preserve">“Operacione policore të hetuara dhe shërbime”, </w:t>
      </w:r>
      <w:r w:rsidRPr="00BB7F2F">
        <w:rPr>
          <w:rFonts w:asciiTheme="minorHAnsi" w:eastAsia="MS Mincho" w:hAnsiTheme="minorHAnsi"/>
          <w:lang w:val="sq-AL"/>
        </w:rPr>
        <w:t>apo 92% e sasisë së planifikuar për periudhën, me një kosto totale prej 2.5 milionë lekë.</w:t>
      </w:r>
    </w:p>
    <w:p w:rsidR="006308E8" w:rsidRPr="00BB7F2F" w:rsidRDefault="006308E8" w:rsidP="00503465">
      <w:pPr>
        <w:numPr>
          <w:ilvl w:val="0"/>
          <w:numId w:val="17"/>
        </w:numPr>
        <w:spacing w:after="240" w:line="276" w:lineRule="auto"/>
        <w:ind w:left="540"/>
        <w:contextualSpacing/>
        <w:jc w:val="both"/>
        <w:rPr>
          <w:rFonts w:asciiTheme="minorHAnsi" w:eastAsia="MS Mincho" w:hAnsiTheme="minorHAnsi"/>
          <w:lang w:val="sq-AL"/>
        </w:rPr>
      </w:pPr>
      <w:r w:rsidRPr="00BB7F2F">
        <w:rPr>
          <w:rFonts w:asciiTheme="minorHAnsi" w:eastAsia="MS Mincho" w:hAnsiTheme="minorHAnsi"/>
          <w:lang w:val="sq-AL"/>
        </w:rPr>
        <w:t>Janë realizuar 54 opracione në bashkëpunim ndërkombëtar në fushën e narkotikeve. Janë realizuar 17,500 shkëmbime informacionesh me partnerët ndërkombëtar.</w:t>
      </w:r>
    </w:p>
    <w:p w:rsidR="006308E8" w:rsidRPr="00BB7F2F" w:rsidRDefault="006308E8" w:rsidP="00503465">
      <w:pPr>
        <w:numPr>
          <w:ilvl w:val="0"/>
          <w:numId w:val="17"/>
        </w:numPr>
        <w:spacing w:after="240" w:line="276" w:lineRule="auto"/>
        <w:ind w:left="540"/>
        <w:contextualSpacing/>
        <w:jc w:val="both"/>
        <w:rPr>
          <w:rFonts w:asciiTheme="minorHAnsi" w:eastAsia="MS Mincho" w:hAnsiTheme="minorHAnsi"/>
          <w:lang w:val="sq-AL"/>
        </w:rPr>
      </w:pPr>
      <w:r w:rsidRPr="00BB7F2F">
        <w:rPr>
          <w:rFonts w:asciiTheme="minorHAnsi" w:eastAsia="MS Mincho" w:hAnsiTheme="minorHAnsi"/>
          <w:lang w:val="sq-AL"/>
        </w:rPr>
        <w:t>Janë realizuar me 13% më shumë se një vit më parë nr i operacioneve të përbashkëta policore me EUROPOL-in.</w:t>
      </w:r>
    </w:p>
    <w:p w:rsidR="006308E8" w:rsidRPr="00BB7F2F" w:rsidRDefault="006308E8" w:rsidP="00503465">
      <w:pPr>
        <w:numPr>
          <w:ilvl w:val="0"/>
          <w:numId w:val="17"/>
        </w:numPr>
        <w:spacing w:after="240" w:line="276" w:lineRule="auto"/>
        <w:ind w:left="540"/>
        <w:contextualSpacing/>
        <w:jc w:val="both"/>
        <w:rPr>
          <w:rFonts w:asciiTheme="minorHAnsi" w:eastAsia="MS Mincho" w:hAnsiTheme="minorHAnsi"/>
          <w:lang w:val="sq-AL"/>
        </w:rPr>
      </w:pPr>
      <w:r w:rsidRPr="00BB7F2F">
        <w:rPr>
          <w:rFonts w:asciiTheme="minorHAnsi" w:eastAsia="MS Mincho" w:hAnsiTheme="minorHAnsi"/>
          <w:lang w:val="sq-AL"/>
        </w:rPr>
        <w:t xml:space="preserve">Janë sekuestruar 5% më shumë se një vit më parë asete nga veprimtaria kriminale. </w:t>
      </w:r>
    </w:p>
    <w:p w:rsidR="006308E8" w:rsidRPr="00D25385" w:rsidRDefault="006308E8" w:rsidP="006308E8">
      <w:pPr>
        <w:spacing w:line="276" w:lineRule="auto"/>
        <w:ind w:left="720"/>
        <w:contextualSpacing/>
        <w:jc w:val="both"/>
        <w:rPr>
          <w:rFonts w:asciiTheme="minorHAnsi" w:eastAsia="MS Mincho" w:hAnsiTheme="minorHAnsi"/>
          <w:sz w:val="8"/>
          <w:szCs w:val="8"/>
          <w:lang w:val="sq-AL"/>
        </w:rPr>
      </w:pPr>
    </w:p>
    <w:p w:rsidR="006308E8" w:rsidRPr="00BB7F2F" w:rsidRDefault="006308E8" w:rsidP="006308E8">
      <w:pPr>
        <w:spacing w:line="276" w:lineRule="auto"/>
        <w:contextualSpacing/>
        <w:jc w:val="both"/>
        <w:rPr>
          <w:rFonts w:asciiTheme="minorHAnsi" w:eastAsia="MS Mincho" w:hAnsiTheme="minorHAnsi"/>
          <w:lang w:val="sq-AL"/>
        </w:rPr>
      </w:pPr>
      <w:r w:rsidRPr="00D25385">
        <w:rPr>
          <w:rFonts w:asciiTheme="minorHAnsi" w:eastAsia="MS Mincho" w:hAnsiTheme="minorHAnsi"/>
          <w:lang w:val="sq-AL"/>
        </w:rPr>
        <w:t>Objektivi 2</w:t>
      </w:r>
      <w:r w:rsidRPr="00D25385">
        <w:rPr>
          <w:rFonts w:asciiTheme="minorHAnsi" w:eastAsia="MS Mincho" w:hAnsiTheme="minorHAnsi"/>
          <w:i/>
          <w:lang w:val="sq-AL"/>
        </w:rPr>
        <w:t xml:space="preserve"> “Rritja e sigurisë Publike dhe Sigurisë rrugore përmes patrullimeve në rrugë dhe forcimi</w:t>
      </w:r>
      <w:r w:rsidRPr="00BB7F2F">
        <w:rPr>
          <w:rFonts w:asciiTheme="minorHAnsi" w:eastAsia="MS Mincho" w:hAnsiTheme="minorHAnsi"/>
          <w:i/>
          <w:lang w:val="sq-AL"/>
        </w:rPr>
        <w:t xml:space="preserve"> i kontrollit të territorit me policimin në komunitet”</w:t>
      </w:r>
      <w:r w:rsidRPr="00BB7F2F">
        <w:rPr>
          <w:rFonts w:asciiTheme="minorHAnsi" w:eastAsia="MS Mincho" w:hAnsiTheme="minorHAnsi"/>
          <w:lang w:val="sq-AL"/>
        </w:rPr>
        <w:t>. Për realizimin e objektivit kanë kontribuar produktet sa më poshtë:</w:t>
      </w:r>
    </w:p>
    <w:p w:rsidR="006308E8" w:rsidRPr="00BB7F2F" w:rsidRDefault="006308E8" w:rsidP="00503465">
      <w:pPr>
        <w:numPr>
          <w:ilvl w:val="0"/>
          <w:numId w:val="17"/>
        </w:numPr>
        <w:spacing w:line="276" w:lineRule="auto"/>
        <w:ind w:left="540"/>
        <w:contextualSpacing/>
        <w:jc w:val="both"/>
        <w:rPr>
          <w:rFonts w:asciiTheme="minorHAnsi" w:eastAsia="MS Mincho" w:hAnsiTheme="minorHAnsi"/>
          <w:lang w:val="sq-AL"/>
        </w:rPr>
      </w:pPr>
      <w:r w:rsidRPr="00BB7F2F">
        <w:rPr>
          <w:rFonts w:asciiTheme="minorHAnsi" w:eastAsia="MS Mincho" w:hAnsiTheme="minorHAnsi"/>
          <w:lang w:val="sq-AL"/>
        </w:rPr>
        <w:t>Realizimi i 1,960 “</w:t>
      </w:r>
      <w:r w:rsidRPr="00BB7F2F">
        <w:rPr>
          <w:rFonts w:asciiTheme="minorHAnsi" w:eastAsia="MS Mincho" w:hAnsiTheme="minorHAnsi"/>
          <w:i/>
          <w:lang w:val="sq-AL"/>
        </w:rPr>
        <w:t>Shërbime të policisë rrugore të kryera në rrugët nacionale</w:t>
      </w:r>
      <w:r w:rsidRPr="00BB7F2F">
        <w:rPr>
          <w:rFonts w:asciiTheme="minorHAnsi" w:eastAsia="MS Mincho" w:hAnsiTheme="minorHAnsi"/>
          <w:lang w:val="sq-AL"/>
        </w:rPr>
        <w:t>”, apo 86% e sasisë së planifikuar për 4-mujorin, me një kosto totale prej 80 milionë lekë.</w:t>
      </w:r>
    </w:p>
    <w:p w:rsidR="006308E8" w:rsidRPr="00BB7F2F" w:rsidRDefault="006308E8" w:rsidP="00503465">
      <w:pPr>
        <w:numPr>
          <w:ilvl w:val="0"/>
          <w:numId w:val="17"/>
        </w:numPr>
        <w:spacing w:line="276" w:lineRule="auto"/>
        <w:ind w:left="540"/>
        <w:contextualSpacing/>
        <w:jc w:val="both"/>
        <w:rPr>
          <w:rFonts w:asciiTheme="minorHAnsi" w:eastAsia="MS Mincho" w:hAnsiTheme="minorHAnsi"/>
          <w:lang w:val="sq-AL"/>
        </w:rPr>
      </w:pPr>
      <w:r w:rsidRPr="00BB7F2F">
        <w:rPr>
          <w:rFonts w:asciiTheme="minorHAnsi" w:eastAsia="MS Mincho" w:hAnsiTheme="minorHAnsi"/>
          <w:lang w:val="sq-AL"/>
        </w:rPr>
        <w:t xml:space="preserve">Janë realizuar 139 </w:t>
      </w:r>
      <w:r w:rsidRPr="00BB7F2F">
        <w:rPr>
          <w:rFonts w:asciiTheme="minorHAnsi" w:eastAsia="MS Mincho" w:hAnsiTheme="minorHAnsi"/>
          <w:i/>
          <w:lang w:val="sq-AL"/>
        </w:rPr>
        <w:t>“Shërbime të Forcave Speciale dhe e NSH për sigurimin e Rendit Publik</w:t>
      </w:r>
      <w:r w:rsidRPr="00BB7F2F">
        <w:rPr>
          <w:rFonts w:asciiTheme="minorHAnsi" w:eastAsia="MS Mincho" w:hAnsiTheme="minorHAnsi"/>
          <w:lang w:val="sq-AL"/>
        </w:rPr>
        <w:t>”, apo 89% e sasisë së planifikuar për 4-mujorin, me një kosto totale prej 311 milionë lekë.</w:t>
      </w:r>
    </w:p>
    <w:p w:rsidR="006308E8" w:rsidRPr="00BB7F2F" w:rsidRDefault="006308E8" w:rsidP="00503465">
      <w:pPr>
        <w:numPr>
          <w:ilvl w:val="0"/>
          <w:numId w:val="17"/>
        </w:numPr>
        <w:spacing w:line="276" w:lineRule="auto"/>
        <w:ind w:left="540"/>
        <w:contextualSpacing/>
        <w:jc w:val="both"/>
        <w:rPr>
          <w:rFonts w:asciiTheme="minorHAnsi" w:eastAsia="MS Mincho" w:hAnsiTheme="minorHAnsi"/>
          <w:lang w:val="sq-AL"/>
        </w:rPr>
      </w:pPr>
      <w:r w:rsidRPr="00BB7F2F">
        <w:rPr>
          <w:rFonts w:asciiTheme="minorHAnsi" w:eastAsia="MS Mincho" w:hAnsiTheme="minorHAnsi"/>
          <w:lang w:val="sq-AL"/>
        </w:rPr>
        <w:t>U realizuan 938 raste asistence dhe trajnime për Policinë e Shtetit, me kosto prej 58 milionë lekë.</w:t>
      </w:r>
    </w:p>
    <w:p w:rsidR="006308E8" w:rsidRPr="00BB7F2F" w:rsidRDefault="006308E8" w:rsidP="00503465">
      <w:pPr>
        <w:numPr>
          <w:ilvl w:val="0"/>
          <w:numId w:val="17"/>
        </w:numPr>
        <w:spacing w:line="276" w:lineRule="auto"/>
        <w:ind w:left="540"/>
        <w:contextualSpacing/>
        <w:jc w:val="both"/>
        <w:rPr>
          <w:rFonts w:asciiTheme="minorHAnsi" w:eastAsia="MS Mincho" w:hAnsiTheme="minorHAnsi"/>
          <w:lang w:val="sq-AL"/>
        </w:rPr>
      </w:pPr>
      <w:r w:rsidRPr="00BB7F2F">
        <w:rPr>
          <w:rFonts w:asciiTheme="minorHAnsi" w:eastAsia="MS Mincho" w:hAnsiTheme="minorHAnsi"/>
          <w:lang w:val="sq-AL"/>
        </w:rPr>
        <w:t>U punësuan 10% më shumë punonjëse të policisë rrugore gra ndaj totalit, krahasuar me një vit më parë.</w:t>
      </w:r>
    </w:p>
    <w:p w:rsidR="006308E8" w:rsidRPr="00BB7F2F" w:rsidRDefault="006308E8" w:rsidP="00503465">
      <w:pPr>
        <w:numPr>
          <w:ilvl w:val="0"/>
          <w:numId w:val="17"/>
        </w:numPr>
        <w:spacing w:line="276" w:lineRule="auto"/>
        <w:ind w:left="540"/>
        <w:contextualSpacing/>
        <w:jc w:val="both"/>
        <w:rPr>
          <w:rFonts w:asciiTheme="minorHAnsi" w:eastAsia="MS Mincho" w:hAnsiTheme="minorHAnsi"/>
          <w:lang w:val="sq-AL"/>
        </w:rPr>
      </w:pPr>
      <w:r w:rsidRPr="00BB7F2F">
        <w:rPr>
          <w:rFonts w:asciiTheme="minorHAnsi" w:eastAsia="MS Mincho" w:hAnsiTheme="minorHAnsi"/>
          <w:lang w:val="sq-AL"/>
        </w:rPr>
        <w:t>Janë realizuar 346 programe të policimit në komunitet faza e dytë (Qeverija Suedeze).</w:t>
      </w:r>
    </w:p>
    <w:p w:rsidR="006308E8" w:rsidRPr="00BB7F2F" w:rsidRDefault="006308E8" w:rsidP="006308E8">
      <w:pPr>
        <w:spacing w:line="276" w:lineRule="auto"/>
        <w:ind w:left="180"/>
        <w:contextualSpacing/>
        <w:jc w:val="both"/>
        <w:rPr>
          <w:rFonts w:asciiTheme="minorHAnsi" w:eastAsia="MS Mincho" w:hAnsiTheme="minorHAnsi"/>
          <w:lang w:val="sq-AL"/>
        </w:rPr>
      </w:pPr>
      <w:r w:rsidRPr="00BB7F2F">
        <w:rPr>
          <w:rFonts w:asciiTheme="minorHAnsi" w:eastAsia="MS Mincho" w:hAnsiTheme="minorHAnsi"/>
          <w:lang w:val="sq-AL"/>
        </w:rPr>
        <w:t xml:space="preserve"> </w:t>
      </w:r>
    </w:p>
    <w:p w:rsidR="006308E8" w:rsidRPr="00BB7F2F" w:rsidRDefault="006308E8" w:rsidP="006308E8">
      <w:pPr>
        <w:spacing w:line="276" w:lineRule="auto"/>
        <w:contextualSpacing/>
        <w:jc w:val="both"/>
        <w:rPr>
          <w:rFonts w:asciiTheme="minorHAnsi" w:eastAsia="MS Mincho" w:hAnsiTheme="minorHAnsi"/>
          <w:lang w:val="sq-AL"/>
        </w:rPr>
      </w:pPr>
      <w:r w:rsidRPr="00D25385">
        <w:rPr>
          <w:rFonts w:asciiTheme="minorHAnsi" w:eastAsia="MS Mincho" w:hAnsiTheme="minorHAnsi"/>
          <w:lang w:val="sq-AL"/>
        </w:rPr>
        <w:t>Objektivi 3 “</w:t>
      </w:r>
      <w:r w:rsidRPr="00D25385">
        <w:rPr>
          <w:rFonts w:asciiTheme="minorHAnsi" w:eastAsia="MS Mincho" w:hAnsiTheme="minorHAnsi"/>
          <w:i/>
          <w:lang w:val="sq-AL"/>
        </w:rPr>
        <w:t>Forcimi i masave për luiftën kundë krimit ndërkufitar dhe trafiqeve të paligjshme me</w:t>
      </w:r>
      <w:r w:rsidRPr="00BB7F2F">
        <w:rPr>
          <w:rFonts w:asciiTheme="minorHAnsi" w:eastAsia="MS Mincho" w:hAnsiTheme="minorHAnsi"/>
          <w:i/>
          <w:lang w:val="sq-AL"/>
        </w:rPr>
        <w:t xml:space="preserve"> synim rritjen e standartev të sigurisë së kufijve sipas standarteve të BE-së dhe Kodit Schengen”.</w:t>
      </w:r>
      <w:r w:rsidRPr="00BB7F2F">
        <w:rPr>
          <w:rFonts w:asciiTheme="minorHAnsi" w:eastAsia="MS Mincho" w:hAnsiTheme="minorHAnsi"/>
          <w:lang w:val="sq-AL"/>
        </w:rPr>
        <w:t xml:space="preserve"> Për realizimin e objektivit kanë kontribuar 3 produkte përgjatë 4 mujorit,  të cilët konsistojnë në :</w:t>
      </w:r>
    </w:p>
    <w:p w:rsidR="006308E8" w:rsidRPr="00BB7F2F" w:rsidRDefault="006308E8" w:rsidP="00503465">
      <w:pPr>
        <w:numPr>
          <w:ilvl w:val="0"/>
          <w:numId w:val="17"/>
        </w:numPr>
        <w:spacing w:line="276" w:lineRule="auto"/>
        <w:ind w:left="540"/>
        <w:contextualSpacing/>
        <w:jc w:val="both"/>
        <w:rPr>
          <w:rFonts w:asciiTheme="minorHAnsi" w:eastAsia="MS Mincho" w:hAnsiTheme="minorHAnsi"/>
          <w:lang w:val="sq-AL"/>
        </w:rPr>
      </w:pPr>
      <w:r w:rsidRPr="00BB7F2F">
        <w:rPr>
          <w:rFonts w:asciiTheme="minorHAnsi" w:eastAsia="MS Mincho" w:hAnsiTheme="minorHAnsi"/>
          <w:lang w:val="sq-AL"/>
        </w:rPr>
        <w:t>U realizuan 15 operacione të sigurisë në kufirin blu, apo 91% e sasisë së planifikuar për 4-mujorin, me një kosto totale prej 37 milionë lekë.</w:t>
      </w:r>
    </w:p>
    <w:p w:rsidR="006308E8" w:rsidRPr="00BB7F2F" w:rsidRDefault="006308E8" w:rsidP="00503465">
      <w:pPr>
        <w:numPr>
          <w:ilvl w:val="0"/>
          <w:numId w:val="17"/>
        </w:numPr>
        <w:spacing w:line="276" w:lineRule="auto"/>
        <w:ind w:left="540"/>
        <w:contextualSpacing/>
        <w:jc w:val="both"/>
        <w:rPr>
          <w:rFonts w:asciiTheme="minorHAnsi" w:eastAsia="MS Mincho" w:hAnsiTheme="minorHAnsi"/>
          <w:lang w:val="sq-AL"/>
        </w:rPr>
      </w:pPr>
      <w:r w:rsidRPr="00BB7F2F">
        <w:rPr>
          <w:rFonts w:asciiTheme="minorHAnsi" w:eastAsia="MS Mincho" w:hAnsiTheme="minorHAnsi"/>
          <w:lang w:val="sq-AL"/>
        </w:rPr>
        <w:t>Janë procesuar 10,151,000 persona në PKK, kategoria I; II dhe e II-të (ajrore, detare, tokësore), apo 97% e sasisë së planifikuar për 4-mujorin, me një kosto totale prej 612 milionë lekë.</w:t>
      </w:r>
    </w:p>
    <w:p w:rsidR="006308E8" w:rsidRPr="00BB7F2F" w:rsidRDefault="006308E8" w:rsidP="00503465">
      <w:pPr>
        <w:numPr>
          <w:ilvl w:val="0"/>
          <w:numId w:val="17"/>
        </w:numPr>
        <w:spacing w:line="276" w:lineRule="auto"/>
        <w:ind w:left="540"/>
        <w:contextualSpacing/>
        <w:jc w:val="both"/>
        <w:rPr>
          <w:rFonts w:asciiTheme="minorHAnsi" w:eastAsia="MS Mincho" w:hAnsiTheme="minorHAnsi"/>
          <w:lang w:val="sq-AL"/>
        </w:rPr>
      </w:pPr>
      <w:r w:rsidRPr="00BB7F2F">
        <w:rPr>
          <w:rFonts w:asciiTheme="minorHAnsi" w:eastAsia="MS Mincho" w:hAnsiTheme="minorHAnsi"/>
          <w:lang w:val="sq-AL"/>
        </w:rPr>
        <w:t>Janë trajnuar 50 Qen policie në kushte shërbimi.</w:t>
      </w:r>
    </w:p>
    <w:p w:rsidR="006308E8" w:rsidRPr="00BB7F2F" w:rsidRDefault="006308E8" w:rsidP="00503465">
      <w:pPr>
        <w:numPr>
          <w:ilvl w:val="0"/>
          <w:numId w:val="17"/>
        </w:numPr>
        <w:spacing w:line="276" w:lineRule="auto"/>
        <w:ind w:left="540"/>
        <w:contextualSpacing/>
        <w:jc w:val="both"/>
        <w:rPr>
          <w:rFonts w:asciiTheme="minorHAnsi" w:eastAsia="MS Mincho" w:hAnsiTheme="minorHAnsi"/>
          <w:lang w:val="sq-AL"/>
        </w:rPr>
      </w:pPr>
      <w:r w:rsidRPr="00BB7F2F">
        <w:rPr>
          <w:rFonts w:asciiTheme="minorHAnsi" w:eastAsia="MS Mincho" w:hAnsiTheme="minorHAnsi"/>
          <w:lang w:val="sq-AL"/>
        </w:rPr>
        <w:t>Janë realizuar 1,550 raste zbuluese të trafikimit të paligjshëm duke përdorur teknikat e posaçme hetimore.</w:t>
      </w:r>
    </w:p>
    <w:p w:rsidR="006308E8" w:rsidRPr="00BB7F2F" w:rsidRDefault="006308E8" w:rsidP="00503465">
      <w:pPr>
        <w:numPr>
          <w:ilvl w:val="0"/>
          <w:numId w:val="17"/>
        </w:numPr>
        <w:spacing w:line="276" w:lineRule="auto"/>
        <w:ind w:left="540"/>
        <w:contextualSpacing/>
        <w:jc w:val="both"/>
        <w:rPr>
          <w:rFonts w:asciiTheme="minorHAnsi" w:eastAsia="MS Mincho" w:hAnsiTheme="minorHAnsi"/>
          <w:lang w:val="sq-AL"/>
        </w:rPr>
      </w:pPr>
      <w:r w:rsidRPr="00BB7F2F">
        <w:rPr>
          <w:rFonts w:asciiTheme="minorHAnsi" w:eastAsia="MS Mincho" w:hAnsiTheme="minorHAnsi"/>
          <w:lang w:val="sq-AL"/>
        </w:rPr>
        <w:t>Janë trajtuar 320 shtetas të huaj në Qendrën e pritjes Karec</w:t>
      </w:r>
    </w:p>
    <w:p w:rsidR="006308E8" w:rsidRPr="00D25385" w:rsidRDefault="006308E8" w:rsidP="006308E8">
      <w:pPr>
        <w:spacing w:line="276" w:lineRule="auto"/>
        <w:contextualSpacing/>
        <w:jc w:val="both"/>
        <w:rPr>
          <w:rFonts w:asciiTheme="minorHAnsi" w:eastAsia="MS Mincho" w:hAnsiTheme="minorHAnsi"/>
          <w:b/>
          <w:sz w:val="8"/>
          <w:szCs w:val="8"/>
          <w:lang w:val="sq-AL"/>
        </w:rPr>
      </w:pPr>
    </w:p>
    <w:p w:rsidR="006308E8" w:rsidRPr="00BB7F2F" w:rsidRDefault="006308E8" w:rsidP="006308E8">
      <w:pPr>
        <w:spacing w:line="276" w:lineRule="auto"/>
        <w:contextualSpacing/>
        <w:jc w:val="both"/>
        <w:rPr>
          <w:rFonts w:asciiTheme="minorHAnsi" w:eastAsia="MS Mincho" w:hAnsiTheme="minorHAnsi"/>
          <w:lang w:val="sq-AL"/>
        </w:rPr>
      </w:pPr>
      <w:r w:rsidRPr="00D25385">
        <w:rPr>
          <w:rFonts w:asciiTheme="minorHAnsi" w:eastAsia="MS Mincho" w:hAnsiTheme="minorHAnsi"/>
          <w:lang w:val="sq-AL"/>
        </w:rPr>
        <w:lastRenderedPageBreak/>
        <w:t>Objektivi 4 “</w:t>
      </w:r>
      <w:r w:rsidRPr="00D25385">
        <w:rPr>
          <w:rFonts w:asciiTheme="minorHAnsi" w:eastAsia="MS Mincho" w:hAnsiTheme="minorHAnsi"/>
          <w:i/>
          <w:lang w:val="sq-AL"/>
        </w:rPr>
        <w:t>Përafrimi i standartve të shërbimeve policore me ato të BE-së ”.</w:t>
      </w:r>
      <w:r w:rsidRPr="00D25385">
        <w:rPr>
          <w:rFonts w:asciiTheme="minorHAnsi" w:eastAsia="MS Mincho" w:hAnsiTheme="minorHAnsi"/>
          <w:lang w:val="sq-AL"/>
        </w:rPr>
        <w:t xml:space="preserve"> Për realizimin e</w:t>
      </w:r>
      <w:r w:rsidRPr="00BB7F2F">
        <w:rPr>
          <w:rFonts w:asciiTheme="minorHAnsi" w:eastAsia="MS Mincho" w:hAnsiTheme="minorHAnsi"/>
          <w:lang w:val="sq-AL"/>
        </w:rPr>
        <w:t xml:space="preserve"> objektivit kanë kontribuar 5 produkte përgjatë 4 mujorit,  të cilët konsistojnë në :</w:t>
      </w:r>
    </w:p>
    <w:p w:rsidR="006308E8" w:rsidRPr="00BB7F2F" w:rsidRDefault="006308E8" w:rsidP="00503465">
      <w:pPr>
        <w:numPr>
          <w:ilvl w:val="0"/>
          <w:numId w:val="17"/>
        </w:numPr>
        <w:spacing w:line="276" w:lineRule="auto"/>
        <w:ind w:left="540"/>
        <w:contextualSpacing/>
        <w:jc w:val="both"/>
        <w:rPr>
          <w:rFonts w:asciiTheme="minorHAnsi" w:eastAsia="MS Mincho" w:hAnsiTheme="minorHAnsi"/>
          <w:lang w:val="sq-AL"/>
        </w:rPr>
      </w:pPr>
      <w:r w:rsidRPr="00BB7F2F">
        <w:rPr>
          <w:rFonts w:asciiTheme="minorHAnsi" w:eastAsia="MS Mincho" w:hAnsiTheme="minorHAnsi"/>
          <w:lang w:val="sq-AL"/>
        </w:rPr>
        <w:t>U trajnuan 82 rekrut të rinj, apo 87% e sasisë së planifikuar për 4-mujorin, me një kosto totale prej 35 milionë lekë.</w:t>
      </w:r>
    </w:p>
    <w:p w:rsidR="006308E8" w:rsidRPr="00BB7F2F" w:rsidRDefault="006308E8" w:rsidP="00503465">
      <w:pPr>
        <w:numPr>
          <w:ilvl w:val="0"/>
          <w:numId w:val="17"/>
        </w:numPr>
        <w:spacing w:line="276" w:lineRule="auto"/>
        <w:ind w:left="540"/>
        <w:contextualSpacing/>
        <w:jc w:val="both"/>
        <w:rPr>
          <w:rFonts w:asciiTheme="minorHAnsi" w:eastAsia="MS Mincho" w:hAnsiTheme="minorHAnsi"/>
          <w:lang w:val="sq-AL"/>
        </w:rPr>
      </w:pPr>
      <w:r w:rsidRPr="00BB7F2F">
        <w:rPr>
          <w:rFonts w:asciiTheme="minorHAnsi" w:eastAsia="MS Mincho" w:hAnsiTheme="minorHAnsi"/>
          <w:lang w:val="sq-AL"/>
        </w:rPr>
        <w:t xml:space="preserve">U trajtuan 94 bashkëshorte të punonjësve të policisë së shtetit, në zbatim të VKM nr. 256, datë 25.03.2015 “Për kompensimin e privacionet dhe humbjet që i shkaktohen punonjësit të policisë së Shtetit, për shkak të nevojave të punës dhe shërbimit” </w:t>
      </w:r>
    </w:p>
    <w:p w:rsidR="006308E8" w:rsidRPr="00BB7F2F" w:rsidRDefault="006308E8" w:rsidP="006308E8">
      <w:pPr>
        <w:spacing w:line="276" w:lineRule="auto"/>
        <w:jc w:val="both"/>
        <w:rPr>
          <w:rFonts w:asciiTheme="minorHAnsi" w:eastAsia="MS Mincho" w:hAnsiTheme="minorHAnsi"/>
          <w:b/>
          <w:lang w:val="sq-AL"/>
        </w:rPr>
      </w:pPr>
    </w:p>
    <w:p w:rsidR="006308E8" w:rsidRPr="00BB7F2F" w:rsidRDefault="006308E8" w:rsidP="006308E8">
      <w:pPr>
        <w:spacing w:line="276" w:lineRule="auto"/>
        <w:jc w:val="both"/>
        <w:rPr>
          <w:rFonts w:asciiTheme="minorHAnsi" w:eastAsia="MS Mincho" w:hAnsiTheme="minorHAnsi"/>
          <w:lang w:val="sq-AL"/>
        </w:rPr>
      </w:pPr>
      <w:r w:rsidRPr="00BB7F2F">
        <w:rPr>
          <w:rFonts w:asciiTheme="minorHAnsi" w:eastAsia="MS Mincho" w:hAnsiTheme="minorHAnsi"/>
          <w:b/>
          <w:lang w:val="sq-AL"/>
        </w:rPr>
        <w:t>Programi “Garda e Republikës”</w:t>
      </w:r>
      <w:r w:rsidRPr="00BB7F2F">
        <w:rPr>
          <w:rFonts w:asciiTheme="minorHAnsi" w:eastAsia="MS Mincho" w:hAnsiTheme="minorHAnsi"/>
          <w:lang w:val="sq-AL"/>
        </w:rPr>
        <w:t xml:space="preserve">, realizimi i fondeve me rreth 29% ndaj planit vjetor, ka realizuar qëllimi e politikës së programit. Qëllimi i këtij progami është: </w:t>
      </w:r>
      <w:r w:rsidRPr="00BB7F2F">
        <w:rPr>
          <w:rFonts w:asciiTheme="minorHAnsi" w:eastAsia="MS Mincho" w:hAnsiTheme="minorHAnsi"/>
          <w:i/>
          <w:lang w:val="sq-AL"/>
        </w:rPr>
        <w:t>“Të kontribuojë në përmiresimin e vazhdueshëm të Sigurise së Personaliteteve Vendas dhe të Huaj, të Objekteve të Rëndësisë së Veçantë nëpërmjet rritjes së kapaciteteve menaxhuese dhe përputhjes me standartet europiane në fushën e sigurisë, duke synuar arritjen e nivelit 100% të sigurisë.”</w:t>
      </w:r>
      <w:r w:rsidRPr="00BB7F2F">
        <w:rPr>
          <w:rFonts w:asciiTheme="minorHAnsi" w:eastAsia="MS Mincho" w:hAnsiTheme="minorHAnsi"/>
          <w:lang w:val="sq-AL"/>
        </w:rPr>
        <w:t xml:space="preserve"> </w:t>
      </w:r>
    </w:p>
    <w:p w:rsidR="006308E8" w:rsidRPr="00BB7F2F" w:rsidRDefault="006308E8" w:rsidP="006308E8">
      <w:pPr>
        <w:spacing w:line="276" w:lineRule="auto"/>
        <w:jc w:val="both"/>
        <w:rPr>
          <w:rFonts w:asciiTheme="minorHAnsi" w:eastAsia="MS Mincho" w:hAnsiTheme="minorHAnsi"/>
          <w:lang w:val="sq-AL"/>
        </w:rPr>
      </w:pPr>
      <w:r w:rsidRPr="00BB7F2F">
        <w:rPr>
          <w:rFonts w:asciiTheme="minorHAnsi" w:eastAsia="MS Mincho" w:hAnsiTheme="minorHAnsi"/>
          <w:lang w:val="sq-AL"/>
        </w:rPr>
        <w:t>Qëllimi i programit realizohet nëpërmjet objektivave specifike të parashikuara dhe 1  produkti të realizuar përgjatë 4-mujorit, me specifikisht i paraqitur si më poshtë:</w:t>
      </w:r>
    </w:p>
    <w:p w:rsidR="006308E8" w:rsidRPr="00D25385" w:rsidRDefault="006308E8" w:rsidP="00503465">
      <w:pPr>
        <w:numPr>
          <w:ilvl w:val="0"/>
          <w:numId w:val="17"/>
        </w:numPr>
        <w:spacing w:line="276" w:lineRule="auto"/>
        <w:contextualSpacing/>
        <w:jc w:val="both"/>
        <w:rPr>
          <w:rFonts w:asciiTheme="minorHAnsi" w:eastAsia="MS Mincho" w:hAnsiTheme="minorHAnsi"/>
          <w:i/>
          <w:lang w:val="sq-AL"/>
        </w:rPr>
      </w:pPr>
      <w:r w:rsidRPr="00D25385">
        <w:rPr>
          <w:rFonts w:asciiTheme="minorHAnsi" w:eastAsia="MS Mincho" w:hAnsiTheme="minorHAnsi"/>
          <w:i/>
          <w:lang w:val="sq-AL"/>
        </w:rPr>
        <w:t xml:space="preserve">Është realizuar ruajtja e 110 </w:t>
      </w:r>
      <w:r w:rsidR="00D25385">
        <w:rPr>
          <w:rFonts w:asciiTheme="minorHAnsi" w:eastAsia="MS Mincho" w:hAnsiTheme="minorHAnsi"/>
          <w:i/>
          <w:lang w:val="sq-AL"/>
        </w:rPr>
        <w:t>p</w:t>
      </w:r>
      <w:r w:rsidRPr="00D25385">
        <w:rPr>
          <w:rFonts w:asciiTheme="minorHAnsi" w:eastAsia="MS Mincho" w:hAnsiTheme="minorHAnsi"/>
          <w:i/>
          <w:lang w:val="sq-AL"/>
        </w:rPr>
        <w:t>ersonaliteteve VIP vendas dhe të huaj, me një kosto prej 453 milionë lekë.</w:t>
      </w:r>
    </w:p>
    <w:p w:rsidR="006308E8" w:rsidRPr="00D25385" w:rsidRDefault="006308E8" w:rsidP="006308E8">
      <w:pPr>
        <w:spacing w:line="276" w:lineRule="auto"/>
        <w:jc w:val="both"/>
        <w:rPr>
          <w:rFonts w:asciiTheme="minorHAnsi" w:hAnsiTheme="minorHAnsi"/>
          <w:b/>
          <w:i/>
          <w:sz w:val="8"/>
          <w:szCs w:val="8"/>
          <w:lang w:val="sq-AL"/>
        </w:rPr>
      </w:pPr>
    </w:p>
    <w:p w:rsidR="006308E8" w:rsidRPr="00BB7F2F" w:rsidRDefault="006308E8" w:rsidP="006308E8">
      <w:pPr>
        <w:spacing w:line="276" w:lineRule="auto"/>
        <w:jc w:val="both"/>
        <w:rPr>
          <w:rFonts w:asciiTheme="minorHAnsi" w:hAnsiTheme="minorHAnsi"/>
          <w:lang w:val="sq-AL"/>
        </w:rPr>
      </w:pPr>
      <w:r w:rsidRPr="00BB7F2F">
        <w:rPr>
          <w:rFonts w:asciiTheme="minorHAnsi" w:hAnsiTheme="minorHAnsi"/>
          <w:b/>
          <w:lang w:val="sq-AL"/>
        </w:rPr>
        <w:t>Në programin “Shërbimi i Gjendjes Civile”</w:t>
      </w:r>
      <w:r w:rsidRPr="00BB7F2F">
        <w:rPr>
          <w:rFonts w:asciiTheme="minorHAnsi" w:hAnsiTheme="minorHAnsi"/>
          <w:lang w:val="sq-AL"/>
        </w:rPr>
        <w:t xml:space="preserve">, ka realizim të fondeve rreth 20 % ndaj planit vjetor, duke realizuar kështu edhe qëllimin e politikës së programit, e cila është : </w:t>
      </w:r>
      <w:r w:rsidRPr="00BB7F2F">
        <w:rPr>
          <w:rFonts w:asciiTheme="minorHAnsi" w:hAnsiTheme="minorHAnsi"/>
          <w:i/>
          <w:lang w:val="sq-AL"/>
        </w:rPr>
        <w:t>“Konsolidimi i mëtejshëm të një sistemi të dixhitalizuar të regjistrit kombëtar të gjendjes civile (RKGJC), të sistemit të regjistrit kombëtar të adresave (RKA) dhe regjistrimi/përditësimi i të dhënave të shtetasve në Republikën e Shqipërisë me vërtetësi dhe në kohë reale.”</w:t>
      </w:r>
      <w:r w:rsidRPr="00BB7F2F">
        <w:rPr>
          <w:rFonts w:asciiTheme="minorHAnsi" w:hAnsiTheme="minorHAnsi"/>
          <w:lang w:val="sq-AL"/>
        </w:rPr>
        <w:t xml:space="preserve">  Qëllimi i programit u realizua nëpërmjet produkteve sa më poshtë:</w:t>
      </w:r>
    </w:p>
    <w:p w:rsidR="006308E8" w:rsidRPr="00BB7F2F" w:rsidRDefault="006308E8" w:rsidP="00503465">
      <w:pPr>
        <w:numPr>
          <w:ilvl w:val="0"/>
          <w:numId w:val="39"/>
        </w:numPr>
        <w:spacing w:line="276" w:lineRule="auto"/>
        <w:jc w:val="both"/>
        <w:rPr>
          <w:rFonts w:asciiTheme="minorHAnsi" w:hAnsiTheme="minorHAnsi"/>
          <w:lang w:val="sq-AL"/>
        </w:rPr>
      </w:pPr>
      <w:r w:rsidRPr="00BB7F2F">
        <w:rPr>
          <w:rFonts w:asciiTheme="minorHAnsi" w:hAnsiTheme="minorHAnsi"/>
          <w:lang w:val="sq-AL"/>
        </w:rPr>
        <w:t>Rregjistrimit të 296,420 akte dhe dokumente të lëshuara nga shërbimi i Gjendjes Civile, me kosto prej 129 milionë lekë.</w:t>
      </w:r>
    </w:p>
    <w:p w:rsidR="006308E8" w:rsidRPr="00BB7F2F" w:rsidRDefault="006308E8" w:rsidP="00503465">
      <w:pPr>
        <w:numPr>
          <w:ilvl w:val="0"/>
          <w:numId w:val="39"/>
        </w:numPr>
        <w:spacing w:line="276" w:lineRule="auto"/>
        <w:jc w:val="both"/>
        <w:rPr>
          <w:rFonts w:asciiTheme="minorHAnsi" w:hAnsiTheme="minorHAnsi"/>
          <w:lang w:val="sq-AL"/>
        </w:rPr>
      </w:pPr>
      <w:r w:rsidRPr="00BB7F2F">
        <w:rPr>
          <w:rFonts w:asciiTheme="minorHAnsi" w:hAnsiTheme="minorHAnsi"/>
          <w:lang w:val="sq-AL"/>
        </w:rPr>
        <w:t>Nëpërmjet funksionitmit të sistemit të adresavë të përmirësuar dhe rritjen e funksionalitetit të RKGJC.</w:t>
      </w:r>
    </w:p>
    <w:p w:rsidR="006308E8" w:rsidRPr="00D25385" w:rsidRDefault="006308E8" w:rsidP="006308E8">
      <w:pPr>
        <w:spacing w:line="276" w:lineRule="auto"/>
        <w:jc w:val="both"/>
        <w:rPr>
          <w:rFonts w:asciiTheme="minorHAnsi" w:hAnsiTheme="minorHAnsi"/>
          <w:sz w:val="8"/>
          <w:szCs w:val="8"/>
          <w:lang w:val="sq-AL"/>
        </w:rPr>
      </w:pPr>
    </w:p>
    <w:p w:rsidR="00D25385" w:rsidRPr="00EA3EDD" w:rsidRDefault="00D25385" w:rsidP="006308E8">
      <w:pPr>
        <w:spacing w:line="276" w:lineRule="auto"/>
        <w:jc w:val="both"/>
        <w:rPr>
          <w:rFonts w:asciiTheme="minorHAnsi" w:hAnsiTheme="minorHAnsi"/>
          <w:b/>
          <w:sz w:val="8"/>
          <w:szCs w:val="8"/>
          <w:lang w:val="sq-AL"/>
        </w:rPr>
      </w:pPr>
    </w:p>
    <w:p w:rsidR="006308E8" w:rsidRPr="00BB7F2F" w:rsidRDefault="006308E8" w:rsidP="006308E8">
      <w:pPr>
        <w:spacing w:line="276" w:lineRule="auto"/>
        <w:jc w:val="both"/>
        <w:rPr>
          <w:rFonts w:asciiTheme="minorHAnsi" w:hAnsiTheme="minorHAnsi"/>
          <w:lang w:val="sq-AL"/>
        </w:rPr>
      </w:pPr>
      <w:r w:rsidRPr="00BB7F2F">
        <w:rPr>
          <w:rFonts w:asciiTheme="minorHAnsi" w:hAnsiTheme="minorHAnsi"/>
          <w:b/>
          <w:lang w:val="sq-AL"/>
        </w:rPr>
        <w:t xml:space="preserve">Programi “Prefektura dhe Funksionet e Deleguara”, </w:t>
      </w:r>
      <w:r w:rsidRPr="00BB7F2F">
        <w:rPr>
          <w:rFonts w:asciiTheme="minorHAnsi" w:hAnsiTheme="minorHAnsi"/>
          <w:lang w:val="sq-AL"/>
        </w:rPr>
        <w:t xml:space="preserve">ka realizuar fondet për 4 mujorin e parë të vitit 2020 në masën 37%. Qëllimi i politikës së programit është: </w:t>
      </w:r>
      <w:r w:rsidRPr="00BB7F2F">
        <w:rPr>
          <w:rFonts w:asciiTheme="minorHAnsi" w:hAnsiTheme="minorHAnsi"/>
          <w:i/>
          <w:lang w:val="sq-AL"/>
        </w:rPr>
        <w:t>“Ndjekia e zbatimit të programit të Qeverisë në nivel vendor si përfaqësues i qeverisë”, i cili synohet të realizohet nëpërmjet objektivit: “Rritja e performacës së Prefektit të Qarkut në nivel vendor për zbati</w:t>
      </w:r>
      <w:r w:rsidR="00D25385">
        <w:rPr>
          <w:rFonts w:asciiTheme="minorHAnsi" w:hAnsiTheme="minorHAnsi"/>
          <w:i/>
          <w:lang w:val="sq-AL"/>
        </w:rPr>
        <w:t>min e reformës Administrativo-</w:t>
      </w:r>
      <w:r w:rsidRPr="00BB7F2F">
        <w:rPr>
          <w:rFonts w:asciiTheme="minorHAnsi" w:hAnsiTheme="minorHAnsi"/>
          <w:i/>
          <w:lang w:val="sq-AL"/>
        </w:rPr>
        <w:t xml:space="preserve">Territoriale”. </w:t>
      </w:r>
      <w:r w:rsidRPr="00BB7F2F">
        <w:rPr>
          <w:rFonts w:asciiTheme="minorHAnsi" w:hAnsiTheme="minorHAnsi"/>
          <w:lang w:val="sq-AL"/>
        </w:rPr>
        <w:t>Për realizimin e objektivit kanë kontribuar produktet sa më poshtë:</w:t>
      </w:r>
    </w:p>
    <w:p w:rsidR="006308E8" w:rsidRPr="00D25385" w:rsidRDefault="006308E8" w:rsidP="00503465">
      <w:pPr>
        <w:numPr>
          <w:ilvl w:val="0"/>
          <w:numId w:val="39"/>
        </w:numPr>
        <w:spacing w:line="276" w:lineRule="auto"/>
        <w:jc w:val="both"/>
        <w:rPr>
          <w:rFonts w:asciiTheme="minorHAnsi" w:hAnsiTheme="minorHAnsi"/>
          <w:i/>
          <w:lang w:val="sq-AL"/>
        </w:rPr>
      </w:pPr>
      <w:r w:rsidRPr="00D25385">
        <w:rPr>
          <w:rFonts w:asciiTheme="minorHAnsi" w:hAnsiTheme="minorHAnsi"/>
          <w:i/>
          <w:lang w:val="sq-AL"/>
        </w:rPr>
        <w:t>Janë kryer 287 monitorime në nivel qarku nga Perfekti i Qarkut me kosto prej 13 milionë lekë.</w:t>
      </w:r>
    </w:p>
    <w:p w:rsidR="006308E8" w:rsidRPr="00D25385" w:rsidRDefault="006308E8" w:rsidP="00503465">
      <w:pPr>
        <w:numPr>
          <w:ilvl w:val="0"/>
          <w:numId w:val="39"/>
        </w:numPr>
        <w:spacing w:line="276" w:lineRule="auto"/>
        <w:jc w:val="both"/>
        <w:rPr>
          <w:rFonts w:asciiTheme="minorHAnsi" w:hAnsiTheme="minorHAnsi"/>
          <w:i/>
          <w:lang w:val="sq-AL"/>
        </w:rPr>
      </w:pPr>
      <w:r w:rsidRPr="00D25385">
        <w:rPr>
          <w:rFonts w:asciiTheme="minorHAnsi" w:hAnsiTheme="minorHAnsi"/>
          <w:i/>
          <w:lang w:val="sq-AL"/>
        </w:rPr>
        <w:t xml:space="preserve">Është dhënë ndihmë për garantimin e vazhdueshmërisë së funksioneve dhe shërbimeve publike, në nivel vendor në kuadër të zbatimit të reformës administrativo-territoriale, me kosto rreth 7 milionë lekë. </w:t>
      </w:r>
    </w:p>
    <w:p w:rsidR="00EA3EDD" w:rsidRPr="00524EBF" w:rsidRDefault="006308E8" w:rsidP="00524EBF">
      <w:pPr>
        <w:numPr>
          <w:ilvl w:val="0"/>
          <w:numId w:val="39"/>
        </w:numPr>
        <w:spacing w:line="276" w:lineRule="auto"/>
        <w:jc w:val="both"/>
        <w:rPr>
          <w:rFonts w:asciiTheme="minorHAnsi" w:hAnsiTheme="minorHAnsi"/>
          <w:i/>
          <w:lang w:val="sq-AL"/>
        </w:rPr>
      </w:pPr>
      <w:r w:rsidRPr="00D25385">
        <w:rPr>
          <w:rFonts w:asciiTheme="minorHAnsi" w:hAnsiTheme="minorHAnsi"/>
          <w:i/>
          <w:lang w:val="sq-AL"/>
        </w:rPr>
        <w:t xml:space="preserve">Janë trajtuar 116 për administrimin dhe mbrojtjen e tokës. </w:t>
      </w:r>
    </w:p>
    <w:p w:rsidR="00EA3EDD" w:rsidRDefault="00EA3EDD" w:rsidP="006308E8">
      <w:pPr>
        <w:spacing w:before="120" w:after="120" w:line="276" w:lineRule="auto"/>
        <w:jc w:val="both"/>
        <w:rPr>
          <w:rFonts w:asciiTheme="minorHAnsi" w:hAnsiTheme="minorHAnsi"/>
          <w:b/>
          <w:noProof/>
          <w:color w:val="0070C0"/>
          <w:lang w:val="sq-AL"/>
        </w:rPr>
      </w:pPr>
    </w:p>
    <w:p w:rsidR="00CE2A5A" w:rsidRDefault="00CE2A5A" w:rsidP="006308E8">
      <w:pPr>
        <w:spacing w:before="120" w:after="120" w:line="276" w:lineRule="auto"/>
        <w:jc w:val="both"/>
        <w:rPr>
          <w:rFonts w:asciiTheme="minorHAnsi" w:hAnsiTheme="minorHAnsi"/>
          <w:b/>
          <w:noProof/>
          <w:color w:val="0070C0"/>
          <w:lang w:val="sq-AL"/>
        </w:rPr>
      </w:pPr>
    </w:p>
    <w:p w:rsidR="00CE2A5A" w:rsidRDefault="00CE2A5A" w:rsidP="006308E8">
      <w:pPr>
        <w:spacing w:before="120" w:after="120" w:line="276" w:lineRule="auto"/>
        <w:jc w:val="both"/>
        <w:rPr>
          <w:rFonts w:asciiTheme="minorHAnsi" w:hAnsiTheme="minorHAnsi"/>
          <w:b/>
          <w:noProof/>
          <w:color w:val="0070C0"/>
          <w:lang w:val="sq-AL"/>
        </w:rPr>
      </w:pPr>
    </w:p>
    <w:p w:rsidR="006308E8" w:rsidRPr="00BB7F2F" w:rsidRDefault="006308E8" w:rsidP="006308E8">
      <w:pPr>
        <w:spacing w:before="120" w:after="120" w:line="276" w:lineRule="auto"/>
        <w:jc w:val="both"/>
        <w:rPr>
          <w:rFonts w:asciiTheme="minorHAnsi" w:hAnsiTheme="minorHAnsi"/>
          <w:b/>
          <w:noProof/>
          <w:color w:val="0070C0"/>
          <w:lang w:val="sq-AL"/>
        </w:rPr>
      </w:pPr>
      <w:r w:rsidRPr="00BB7F2F">
        <w:rPr>
          <w:rFonts w:asciiTheme="minorHAnsi" w:hAnsiTheme="minorHAnsi"/>
          <w:b/>
          <w:noProof/>
          <w:color w:val="0070C0"/>
          <w:lang w:val="sq-AL"/>
        </w:rPr>
        <w:lastRenderedPageBreak/>
        <w:t>KULTURA</w:t>
      </w:r>
      <w:bookmarkEnd w:id="185"/>
      <w:bookmarkEnd w:id="186"/>
      <w:bookmarkEnd w:id="187"/>
    </w:p>
    <w:p w:rsidR="006308E8" w:rsidRPr="00BB7F2F" w:rsidRDefault="006308E8" w:rsidP="006308E8">
      <w:pPr>
        <w:spacing w:line="276" w:lineRule="auto"/>
        <w:jc w:val="both"/>
        <w:rPr>
          <w:rFonts w:asciiTheme="minorHAnsi" w:eastAsia="MS Mincho" w:hAnsiTheme="minorHAnsi"/>
          <w:color w:val="000000"/>
          <w:lang w:val="sq-AL"/>
        </w:rPr>
      </w:pPr>
      <w:r w:rsidRPr="00BB7F2F">
        <w:rPr>
          <w:rFonts w:asciiTheme="minorHAnsi" w:eastAsia="MS Mincho" w:hAnsiTheme="minorHAnsi"/>
          <w:color w:val="000000"/>
          <w:lang w:val="sq-AL"/>
        </w:rPr>
        <w:t>Performanca e treguesve buxhetorë për programet e Ministrisë së Kulturës paraqitet si mëposhtë:</w:t>
      </w:r>
    </w:p>
    <w:p w:rsidR="00524EBF" w:rsidRPr="00524EBF" w:rsidRDefault="00524EBF" w:rsidP="00524EBF">
      <w:pPr>
        <w:pStyle w:val="Caption"/>
        <w:spacing w:after="0"/>
        <w:rPr>
          <w:rFonts w:asciiTheme="minorHAnsi" w:hAnsiTheme="minorHAnsi"/>
          <w:b w:val="0"/>
          <w:bCs w:val="0"/>
          <w:i/>
          <w:noProof/>
          <w:color w:val="auto"/>
          <w:sz w:val="24"/>
          <w:szCs w:val="24"/>
        </w:rPr>
      </w:pPr>
      <w:bookmarkStart w:id="190" w:name="_Toc44404439"/>
      <w:r w:rsidRPr="00524EBF">
        <w:rPr>
          <w:rFonts w:asciiTheme="minorHAnsi" w:hAnsiTheme="minorHAnsi"/>
          <w:b w:val="0"/>
          <w:bCs w:val="0"/>
          <w:i/>
          <w:noProof/>
          <w:color w:val="auto"/>
          <w:sz w:val="24"/>
          <w:szCs w:val="24"/>
        </w:rPr>
        <w:t xml:space="preserve">Tabela </w:t>
      </w:r>
      <w:r w:rsidRPr="00524EBF">
        <w:rPr>
          <w:rFonts w:asciiTheme="minorHAnsi" w:hAnsiTheme="minorHAnsi"/>
          <w:b w:val="0"/>
          <w:bCs w:val="0"/>
          <w:i/>
          <w:noProof/>
          <w:color w:val="auto"/>
          <w:sz w:val="24"/>
          <w:szCs w:val="24"/>
        </w:rPr>
        <w:fldChar w:fldCharType="begin"/>
      </w:r>
      <w:r w:rsidRPr="00524EBF">
        <w:rPr>
          <w:rFonts w:asciiTheme="minorHAnsi" w:hAnsiTheme="minorHAnsi"/>
          <w:b w:val="0"/>
          <w:bCs w:val="0"/>
          <w:i/>
          <w:noProof/>
          <w:color w:val="auto"/>
          <w:sz w:val="24"/>
          <w:szCs w:val="24"/>
        </w:rPr>
        <w:instrText xml:space="preserve"> SEQ Tabela \* ARABIC </w:instrText>
      </w:r>
      <w:r w:rsidRPr="00524EBF">
        <w:rPr>
          <w:rFonts w:asciiTheme="minorHAnsi" w:hAnsiTheme="minorHAnsi"/>
          <w:b w:val="0"/>
          <w:bCs w:val="0"/>
          <w:i/>
          <w:noProof/>
          <w:color w:val="auto"/>
          <w:sz w:val="24"/>
          <w:szCs w:val="24"/>
        </w:rPr>
        <w:fldChar w:fldCharType="separate"/>
      </w:r>
      <w:r w:rsidR="00C342E2">
        <w:rPr>
          <w:rFonts w:asciiTheme="minorHAnsi" w:hAnsiTheme="minorHAnsi"/>
          <w:b w:val="0"/>
          <w:bCs w:val="0"/>
          <w:i/>
          <w:noProof/>
          <w:color w:val="auto"/>
          <w:sz w:val="24"/>
          <w:szCs w:val="24"/>
        </w:rPr>
        <w:t>38</w:t>
      </w:r>
      <w:r w:rsidRPr="00524EBF">
        <w:rPr>
          <w:rFonts w:asciiTheme="minorHAnsi" w:hAnsiTheme="minorHAnsi"/>
          <w:b w:val="0"/>
          <w:bCs w:val="0"/>
          <w:i/>
          <w:noProof/>
          <w:color w:val="auto"/>
          <w:sz w:val="24"/>
          <w:szCs w:val="24"/>
        </w:rPr>
        <w:fldChar w:fldCharType="end"/>
      </w:r>
      <w:r w:rsidRPr="00524EBF">
        <w:rPr>
          <w:rFonts w:asciiTheme="minorHAnsi" w:hAnsiTheme="minorHAnsi"/>
          <w:b w:val="0"/>
          <w:bCs w:val="0"/>
          <w:i/>
          <w:noProof/>
          <w:color w:val="auto"/>
          <w:sz w:val="24"/>
          <w:szCs w:val="24"/>
        </w:rPr>
        <w:t>: Kultura</w:t>
      </w:r>
      <w:bookmarkEnd w:id="190"/>
    </w:p>
    <w:p w:rsidR="006308E8" w:rsidRPr="00D25385" w:rsidRDefault="006308E8" w:rsidP="006308E8">
      <w:pPr>
        <w:spacing w:line="276" w:lineRule="auto"/>
        <w:ind w:left="2880" w:firstLine="720"/>
        <w:jc w:val="right"/>
        <w:rPr>
          <w:rFonts w:asciiTheme="minorHAnsi" w:eastAsia="MS Mincho" w:hAnsiTheme="minorHAnsi"/>
          <w:i/>
          <w:color w:val="000000"/>
          <w:sz w:val="22"/>
          <w:lang w:val="sq-AL"/>
        </w:rPr>
      </w:pPr>
      <w:r w:rsidRPr="00D25385">
        <w:rPr>
          <w:rFonts w:asciiTheme="minorHAnsi" w:eastAsia="MS Mincho" w:hAnsiTheme="minorHAnsi"/>
          <w:i/>
          <w:color w:val="000000"/>
          <w:sz w:val="22"/>
          <w:lang w:val="sq-AL"/>
        </w:rPr>
        <w:t>Në mijë lekë</w:t>
      </w:r>
    </w:p>
    <w:tbl>
      <w:tblPr>
        <w:tblStyle w:val="ListTable3-Accent52"/>
        <w:tblW w:w="9367" w:type="dxa"/>
        <w:jc w:val="center"/>
        <w:tblLook w:val="01E0" w:firstRow="1" w:lastRow="1" w:firstColumn="1" w:lastColumn="1" w:noHBand="0" w:noVBand="0"/>
      </w:tblPr>
      <w:tblGrid>
        <w:gridCol w:w="461"/>
        <w:gridCol w:w="2896"/>
        <w:gridCol w:w="1020"/>
        <w:gridCol w:w="1096"/>
        <w:gridCol w:w="931"/>
        <w:gridCol w:w="1007"/>
        <w:gridCol w:w="939"/>
        <w:gridCol w:w="1017"/>
      </w:tblGrid>
      <w:tr w:rsidR="006308E8" w:rsidRPr="00D25385" w:rsidTr="00D25385">
        <w:trPr>
          <w:cnfStyle w:val="100000000000" w:firstRow="1" w:lastRow="0" w:firstColumn="0" w:lastColumn="0" w:oddVBand="0" w:evenVBand="0" w:oddHBand="0" w:evenHBand="0" w:firstRowFirstColumn="0" w:firstRowLastColumn="0" w:lastRowFirstColumn="0" w:lastRowLastColumn="0"/>
          <w:trHeight w:val="238"/>
          <w:jc w:val="center"/>
        </w:trPr>
        <w:tc>
          <w:tcPr>
            <w:cnfStyle w:val="001000000100" w:firstRow="0" w:lastRow="0" w:firstColumn="1" w:lastColumn="0" w:oddVBand="0" w:evenVBand="0" w:oddHBand="0" w:evenHBand="0" w:firstRowFirstColumn="1" w:firstRowLastColumn="0" w:lastRowFirstColumn="0" w:lastRowLastColumn="0"/>
            <w:tcW w:w="0" w:type="auto"/>
            <w:vMerge w:val="restart"/>
          </w:tcPr>
          <w:p w:rsidR="006308E8" w:rsidRPr="00D25385" w:rsidRDefault="006308E8" w:rsidP="00121650">
            <w:pPr>
              <w:spacing w:line="276" w:lineRule="auto"/>
              <w:jc w:val="center"/>
              <w:rPr>
                <w:rFonts w:asciiTheme="minorHAnsi" w:hAnsiTheme="minorHAnsi"/>
                <w:sz w:val="18"/>
                <w:szCs w:val="16"/>
                <w:lang w:val="sq-AL"/>
              </w:rPr>
            </w:pPr>
            <w:r w:rsidRPr="00D25385">
              <w:rPr>
                <w:rFonts w:asciiTheme="minorHAnsi" w:hAnsiTheme="minorHAnsi"/>
                <w:sz w:val="18"/>
                <w:szCs w:val="16"/>
                <w:lang w:val="sq-AL"/>
              </w:rPr>
              <w:t>NR</w:t>
            </w:r>
          </w:p>
        </w:tc>
        <w:tc>
          <w:tcPr>
            <w:cnfStyle w:val="000010000000" w:firstRow="0" w:lastRow="0" w:firstColumn="0" w:lastColumn="0" w:oddVBand="1" w:evenVBand="0" w:oddHBand="0" w:evenHBand="0" w:firstRowFirstColumn="0" w:firstRowLastColumn="0" w:lastRowFirstColumn="0" w:lastRowLastColumn="0"/>
            <w:tcW w:w="0" w:type="auto"/>
            <w:vMerge w:val="restart"/>
          </w:tcPr>
          <w:p w:rsidR="006308E8" w:rsidRPr="00D25385" w:rsidRDefault="006308E8" w:rsidP="00121650">
            <w:pPr>
              <w:spacing w:line="276" w:lineRule="auto"/>
              <w:jc w:val="center"/>
              <w:rPr>
                <w:rFonts w:asciiTheme="minorHAnsi" w:hAnsiTheme="minorHAnsi"/>
                <w:sz w:val="18"/>
                <w:szCs w:val="16"/>
                <w:lang w:val="sq-AL"/>
              </w:rPr>
            </w:pPr>
            <w:r w:rsidRPr="00D25385">
              <w:rPr>
                <w:rFonts w:asciiTheme="minorHAnsi" w:hAnsiTheme="minorHAnsi"/>
                <w:sz w:val="18"/>
                <w:szCs w:val="16"/>
                <w:lang w:val="sq-AL"/>
              </w:rPr>
              <w:t>Emërtimi i Programit</w:t>
            </w:r>
          </w:p>
        </w:tc>
        <w:tc>
          <w:tcPr>
            <w:tcW w:w="0" w:type="auto"/>
            <w:gridSpan w:val="2"/>
          </w:tcPr>
          <w:p w:rsidR="006308E8" w:rsidRPr="00D25385" w:rsidRDefault="006308E8" w:rsidP="00121650">
            <w:pPr>
              <w:spacing w:line="276" w:lineRule="auto"/>
              <w:ind w:left="84"/>
              <w:jc w:val="center"/>
              <w:cnfStyle w:val="100000000000" w:firstRow="1" w:lastRow="0" w:firstColumn="0" w:lastColumn="0" w:oddVBand="0" w:evenVBand="0" w:oddHBand="0" w:evenHBand="0" w:firstRowFirstColumn="0" w:firstRowLastColumn="0" w:lastRowFirstColumn="0" w:lastRowLastColumn="0"/>
              <w:rPr>
                <w:rFonts w:asciiTheme="minorHAnsi" w:hAnsiTheme="minorHAnsi"/>
                <w:sz w:val="18"/>
                <w:szCs w:val="16"/>
                <w:lang w:val="sq-AL"/>
              </w:rPr>
            </w:pPr>
            <w:r w:rsidRPr="00D25385">
              <w:rPr>
                <w:rFonts w:asciiTheme="minorHAnsi" w:hAnsiTheme="minorHAnsi"/>
                <w:sz w:val="18"/>
                <w:szCs w:val="16"/>
                <w:lang w:val="sq-AL"/>
              </w:rPr>
              <w:t>Plani 2020</w:t>
            </w:r>
          </w:p>
        </w:tc>
        <w:tc>
          <w:tcPr>
            <w:cnfStyle w:val="000010000000" w:firstRow="0" w:lastRow="0" w:firstColumn="0" w:lastColumn="0" w:oddVBand="1" w:evenVBand="0" w:oddHBand="0" w:evenHBand="0" w:firstRowFirstColumn="0" w:firstRowLastColumn="0" w:lastRowFirstColumn="0" w:lastRowLastColumn="0"/>
            <w:tcW w:w="0" w:type="auto"/>
            <w:gridSpan w:val="2"/>
          </w:tcPr>
          <w:p w:rsidR="006308E8" w:rsidRPr="00D25385" w:rsidRDefault="006308E8" w:rsidP="00121650">
            <w:pPr>
              <w:spacing w:line="276" w:lineRule="auto"/>
              <w:jc w:val="center"/>
              <w:rPr>
                <w:rFonts w:asciiTheme="minorHAnsi" w:hAnsiTheme="minorHAnsi"/>
                <w:sz w:val="18"/>
                <w:szCs w:val="16"/>
                <w:lang w:val="sq-AL"/>
              </w:rPr>
            </w:pPr>
            <w:r w:rsidRPr="00D25385">
              <w:rPr>
                <w:rFonts w:asciiTheme="minorHAnsi" w:hAnsiTheme="minorHAnsi"/>
                <w:sz w:val="18"/>
                <w:szCs w:val="16"/>
                <w:lang w:val="sq-AL"/>
              </w:rPr>
              <w:t>Fakti 4 mujori I 2020</w:t>
            </w:r>
          </w:p>
        </w:tc>
        <w:tc>
          <w:tcPr>
            <w:cnfStyle w:val="000100001000" w:firstRow="0" w:lastRow="0" w:firstColumn="0" w:lastColumn="1" w:oddVBand="0" w:evenVBand="0" w:oddHBand="0" w:evenHBand="0" w:firstRowFirstColumn="0" w:firstRowLastColumn="1" w:lastRowFirstColumn="0" w:lastRowLastColumn="0"/>
            <w:tcW w:w="0" w:type="auto"/>
            <w:gridSpan w:val="2"/>
            <w:tcBorders>
              <w:bottom w:val="single" w:sz="4" w:space="0" w:color="4BACC6"/>
            </w:tcBorders>
          </w:tcPr>
          <w:p w:rsidR="006308E8" w:rsidRPr="00D25385" w:rsidRDefault="006308E8" w:rsidP="00121650">
            <w:pPr>
              <w:spacing w:line="276" w:lineRule="auto"/>
              <w:jc w:val="center"/>
              <w:rPr>
                <w:rFonts w:asciiTheme="minorHAnsi" w:hAnsiTheme="minorHAnsi"/>
                <w:sz w:val="18"/>
                <w:szCs w:val="16"/>
                <w:lang w:val="sq-AL"/>
              </w:rPr>
            </w:pPr>
            <w:r w:rsidRPr="00D25385">
              <w:rPr>
                <w:rFonts w:asciiTheme="minorHAnsi" w:hAnsiTheme="minorHAnsi"/>
                <w:bCs w:val="0"/>
                <w:sz w:val="18"/>
                <w:szCs w:val="16"/>
                <w:lang w:val="sq-AL"/>
              </w:rPr>
              <w:t>Përqindja  e realizimit</w:t>
            </w:r>
          </w:p>
        </w:tc>
      </w:tr>
      <w:tr w:rsidR="006308E8" w:rsidRPr="00D25385" w:rsidTr="00D25385">
        <w:trPr>
          <w:cnfStyle w:val="000000100000" w:firstRow="0" w:lastRow="0" w:firstColumn="0" w:lastColumn="0" w:oddVBand="0" w:evenVBand="0" w:oddHBand="1" w:evenHBand="0" w:firstRowFirstColumn="0" w:firstRowLastColumn="0" w:lastRowFirstColumn="0" w:lastRowLastColumn="0"/>
          <w:trHeight w:val="124"/>
          <w:jc w:val="center"/>
        </w:trPr>
        <w:tc>
          <w:tcPr>
            <w:cnfStyle w:val="001000000000" w:firstRow="0" w:lastRow="0" w:firstColumn="1" w:lastColumn="0" w:oddVBand="0" w:evenVBand="0" w:oddHBand="0" w:evenHBand="0" w:firstRowFirstColumn="0" w:firstRowLastColumn="0" w:lastRowFirstColumn="0" w:lastRowLastColumn="0"/>
            <w:tcW w:w="0" w:type="auto"/>
            <w:vMerge/>
          </w:tcPr>
          <w:p w:rsidR="006308E8" w:rsidRPr="00D25385" w:rsidRDefault="006308E8" w:rsidP="00121650">
            <w:pPr>
              <w:spacing w:line="276" w:lineRule="auto"/>
              <w:jc w:val="center"/>
              <w:rPr>
                <w:rFonts w:asciiTheme="minorHAnsi" w:hAnsiTheme="minorHAnsi"/>
                <w:b w:val="0"/>
                <w:sz w:val="18"/>
                <w:szCs w:val="16"/>
                <w:lang w:val="sq-AL"/>
              </w:rPr>
            </w:pPr>
          </w:p>
        </w:tc>
        <w:tc>
          <w:tcPr>
            <w:cnfStyle w:val="000010000000" w:firstRow="0" w:lastRow="0" w:firstColumn="0" w:lastColumn="0" w:oddVBand="1" w:evenVBand="0" w:oddHBand="0" w:evenHBand="0" w:firstRowFirstColumn="0" w:firstRowLastColumn="0" w:lastRowFirstColumn="0" w:lastRowLastColumn="0"/>
            <w:tcW w:w="0" w:type="auto"/>
            <w:vMerge/>
          </w:tcPr>
          <w:p w:rsidR="006308E8" w:rsidRPr="00D25385" w:rsidRDefault="006308E8" w:rsidP="00121650">
            <w:pPr>
              <w:spacing w:line="276" w:lineRule="auto"/>
              <w:jc w:val="center"/>
              <w:rPr>
                <w:rFonts w:asciiTheme="minorHAnsi" w:hAnsiTheme="minorHAnsi"/>
                <w:b/>
                <w:sz w:val="18"/>
                <w:szCs w:val="16"/>
                <w:lang w:val="sq-AL"/>
              </w:rPr>
            </w:pPr>
          </w:p>
        </w:tc>
        <w:tc>
          <w:tcPr>
            <w:tcW w:w="0" w:type="auto"/>
          </w:tcPr>
          <w:p w:rsidR="006308E8" w:rsidRPr="00D25385" w:rsidRDefault="006308E8" w:rsidP="00121650">
            <w:pPr>
              <w:spacing w:line="276" w:lineRule="auto"/>
              <w:ind w:left="84"/>
              <w:cnfStyle w:val="000000100000" w:firstRow="0" w:lastRow="0" w:firstColumn="0" w:lastColumn="0" w:oddVBand="0" w:evenVBand="0" w:oddHBand="1" w:evenHBand="0" w:firstRowFirstColumn="0" w:firstRowLastColumn="0" w:lastRowFirstColumn="0" w:lastRowLastColumn="0"/>
              <w:rPr>
                <w:rFonts w:asciiTheme="minorHAnsi" w:hAnsiTheme="minorHAnsi"/>
                <w:b/>
                <w:sz w:val="18"/>
                <w:szCs w:val="16"/>
                <w:lang w:val="sq-AL"/>
              </w:rPr>
            </w:pPr>
            <w:r w:rsidRPr="00D25385">
              <w:rPr>
                <w:rFonts w:asciiTheme="minorHAnsi" w:hAnsiTheme="minorHAnsi"/>
                <w:b/>
                <w:sz w:val="18"/>
                <w:szCs w:val="16"/>
                <w:lang w:val="sq-AL"/>
              </w:rPr>
              <w:t>Korrente</w:t>
            </w:r>
          </w:p>
        </w:tc>
        <w:tc>
          <w:tcPr>
            <w:cnfStyle w:val="000010000000" w:firstRow="0" w:lastRow="0" w:firstColumn="0" w:lastColumn="0" w:oddVBand="1" w:evenVBand="0" w:oddHBand="0" w:evenHBand="0" w:firstRowFirstColumn="0" w:firstRowLastColumn="0" w:lastRowFirstColumn="0" w:lastRowLastColumn="0"/>
            <w:tcW w:w="0" w:type="auto"/>
          </w:tcPr>
          <w:p w:rsidR="006308E8" w:rsidRPr="00D25385" w:rsidRDefault="006308E8" w:rsidP="00121650">
            <w:pPr>
              <w:spacing w:line="276" w:lineRule="auto"/>
              <w:ind w:left="84"/>
              <w:jc w:val="center"/>
              <w:rPr>
                <w:rFonts w:asciiTheme="minorHAnsi" w:hAnsiTheme="minorHAnsi"/>
                <w:b/>
                <w:sz w:val="18"/>
                <w:szCs w:val="16"/>
                <w:lang w:val="sq-AL"/>
              </w:rPr>
            </w:pPr>
            <w:r w:rsidRPr="00D25385">
              <w:rPr>
                <w:rFonts w:asciiTheme="minorHAnsi" w:hAnsiTheme="minorHAnsi"/>
                <w:b/>
                <w:sz w:val="18"/>
                <w:szCs w:val="16"/>
                <w:lang w:val="sq-AL"/>
              </w:rPr>
              <w:t>Investime</w:t>
            </w:r>
          </w:p>
        </w:tc>
        <w:tc>
          <w:tcPr>
            <w:tcW w:w="0" w:type="auto"/>
          </w:tcPr>
          <w:p w:rsidR="006308E8" w:rsidRPr="00D25385" w:rsidRDefault="006308E8" w:rsidP="00121650">
            <w:pPr>
              <w:spacing w:line="276"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b/>
                <w:sz w:val="18"/>
                <w:szCs w:val="16"/>
                <w:lang w:val="sq-AL"/>
              </w:rPr>
            </w:pPr>
            <w:r w:rsidRPr="00D25385">
              <w:rPr>
                <w:rFonts w:asciiTheme="minorHAnsi" w:hAnsiTheme="minorHAnsi"/>
                <w:b/>
                <w:sz w:val="18"/>
                <w:szCs w:val="16"/>
                <w:lang w:val="sq-AL"/>
              </w:rPr>
              <w:t>Korrente</w:t>
            </w:r>
          </w:p>
        </w:tc>
        <w:tc>
          <w:tcPr>
            <w:cnfStyle w:val="000010000000" w:firstRow="0" w:lastRow="0" w:firstColumn="0" w:lastColumn="0" w:oddVBand="1" w:evenVBand="0" w:oddHBand="0" w:evenHBand="0" w:firstRowFirstColumn="0" w:firstRowLastColumn="0" w:lastRowFirstColumn="0" w:lastRowLastColumn="0"/>
            <w:tcW w:w="0" w:type="auto"/>
          </w:tcPr>
          <w:p w:rsidR="006308E8" w:rsidRPr="00D25385" w:rsidRDefault="006308E8" w:rsidP="00121650">
            <w:pPr>
              <w:spacing w:line="276" w:lineRule="auto"/>
              <w:jc w:val="center"/>
              <w:rPr>
                <w:rFonts w:asciiTheme="minorHAnsi" w:hAnsiTheme="minorHAnsi"/>
                <w:b/>
                <w:sz w:val="18"/>
                <w:szCs w:val="16"/>
                <w:lang w:val="sq-AL"/>
              </w:rPr>
            </w:pPr>
            <w:r w:rsidRPr="00D25385">
              <w:rPr>
                <w:rFonts w:asciiTheme="minorHAnsi" w:hAnsiTheme="minorHAnsi"/>
                <w:b/>
                <w:sz w:val="18"/>
                <w:szCs w:val="16"/>
                <w:lang w:val="sq-AL"/>
              </w:rPr>
              <w:t>Investime</w:t>
            </w:r>
          </w:p>
        </w:tc>
        <w:tc>
          <w:tcPr>
            <w:tcW w:w="0" w:type="auto"/>
            <w:tcBorders>
              <w:left w:val="single" w:sz="4" w:space="0" w:color="4BACC6"/>
              <w:right w:val="single" w:sz="4" w:space="0" w:color="4BACC6"/>
            </w:tcBorders>
          </w:tcPr>
          <w:p w:rsidR="006308E8" w:rsidRPr="00D25385" w:rsidRDefault="006308E8" w:rsidP="00121650">
            <w:pPr>
              <w:spacing w:line="276"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b/>
                <w:sz w:val="18"/>
                <w:szCs w:val="16"/>
                <w:lang w:val="sq-AL"/>
              </w:rPr>
            </w:pPr>
            <w:r w:rsidRPr="00D25385">
              <w:rPr>
                <w:rFonts w:asciiTheme="minorHAnsi" w:hAnsiTheme="minorHAnsi"/>
                <w:b/>
                <w:sz w:val="18"/>
                <w:szCs w:val="16"/>
                <w:lang w:val="sq-AL"/>
              </w:rPr>
              <w:t>Korrente</w:t>
            </w:r>
          </w:p>
        </w:tc>
        <w:tc>
          <w:tcPr>
            <w:cnfStyle w:val="000100000000" w:firstRow="0" w:lastRow="0" w:firstColumn="0" w:lastColumn="1" w:oddVBand="0" w:evenVBand="0" w:oddHBand="0" w:evenHBand="0" w:firstRowFirstColumn="0" w:firstRowLastColumn="0" w:lastRowFirstColumn="0" w:lastRowLastColumn="0"/>
            <w:tcW w:w="0" w:type="auto"/>
            <w:tcBorders>
              <w:left w:val="single" w:sz="4" w:space="0" w:color="4BACC6"/>
            </w:tcBorders>
          </w:tcPr>
          <w:p w:rsidR="006308E8" w:rsidRPr="00D25385" w:rsidRDefault="006308E8" w:rsidP="00121650">
            <w:pPr>
              <w:spacing w:line="276" w:lineRule="auto"/>
              <w:jc w:val="center"/>
              <w:rPr>
                <w:rFonts w:asciiTheme="minorHAnsi" w:hAnsiTheme="minorHAnsi"/>
                <w:sz w:val="18"/>
                <w:szCs w:val="16"/>
                <w:lang w:val="sq-AL"/>
              </w:rPr>
            </w:pPr>
            <w:r w:rsidRPr="00D25385">
              <w:rPr>
                <w:rFonts w:asciiTheme="minorHAnsi" w:hAnsiTheme="minorHAnsi"/>
                <w:sz w:val="18"/>
                <w:szCs w:val="16"/>
                <w:lang w:val="sq-AL"/>
              </w:rPr>
              <w:t>Investime</w:t>
            </w:r>
          </w:p>
        </w:tc>
      </w:tr>
      <w:tr w:rsidR="006308E8" w:rsidRPr="00D25385" w:rsidTr="00D25385">
        <w:trPr>
          <w:trHeight w:val="349"/>
          <w:jc w:val="center"/>
        </w:trPr>
        <w:tc>
          <w:tcPr>
            <w:cnfStyle w:val="001000000000" w:firstRow="0" w:lastRow="0" w:firstColumn="1" w:lastColumn="0" w:oddVBand="0" w:evenVBand="0" w:oddHBand="0" w:evenHBand="0" w:firstRowFirstColumn="0" w:firstRowLastColumn="0" w:lastRowFirstColumn="0" w:lastRowLastColumn="0"/>
            <w:tcW w:w="0" w:type="auto"/>
          </w:tcPr>
          <w:p w:rsidR="006308E8" w:rsidRPr="00D25385" w:rsidRDefault="006308E8" w:rsidP="00121650">
            <w:pPr>
              <w:spacing w:line="276" w:lineRule="auto"/>
              <w:rPr>
                <w:rFonts w:asciiTheme="minorHAnsi" w:hAnsiTheme="minorHAnsi"/>
                <w:sz w:val="18"/>
                <w:szCs w:val="16"/>
                <w:lang w:val="sq-AL"/>
              </w:rPr>
            </w:pPr>
            <w:r w:rsidRPr="00D25385">
              <w:rPr>
                <w:rFonts w:asciiTheme="minorHAnsi" w:hAnsiTheme="minorHAnsi"/>
                <w:sz w:val="18"/>
                <w:szCs w:val="16"/>
                <w:lang w:val="sq-AL"/>
              </w:rPr>
              <w:t>1.</w:t>
            </w:r>
          </w:p>
        </w:tc>
        <w:tc>
          <w:tcPr>
            <w:cnfStyle w:val="000010000000" w:firstRow="0" w:lastRow="0" w:firstColumn="0" w:lastColumn="0" w:oddVBand="1" w:evenVBand="0" w:oddHBand="0" w:evenHBand="0" w:firstRowFirstColumn="0" w:firstRowLastColumn="0" w:lastRowFirstColumn="0" w:lastRowLastColumn="0"/>
            <w:tcW w:w="0" w:type="auto"/>
          </w:tcPr>
          <w:p w:rsidR="006308E8" w:rsidRPr="00D25385" w:rsidRDefault="006308E8" w:rsidP="00121650">
            <w:pPr>
              <w:spacing w:line="276" w:lineRule="auto"/>
              <w:rPr>
                <w:rFonts w:asciiTheme="minorHAnsi" w:hAnsiTheme="minorHAnsi"/>
                <w:sz w:val="18"/>
                <w:szCs w:val="16"/>
                <w:lang w:val="sq-AL"/>
              </w:rPr>
            </w:pPr>
            <w:r w:rsidRPr="00D25385">
              <w:rPr>
                <w:rFonts w:asciiTheme="minorHAnsi" w:hAnsiTheme="minorHAnsi"/>
                <w:sz w:val="18"/>
                <w:szCs w:val="16"/>
                <w:lang w:val="sq-AL"/>
              </w:rPr>
              <w:t>Planifikim, menaxhim administrim</w:t>
            </w:r>
          </w:p>
        </w:tc>
        <w:tc>
          <w:tcPr>
            <w:tcW w:w="0" w:type="auto"/>
          </w:tcPr>
          <w:p w:rsidR="006308E8" w:rsidRPr="00D25385" w:rsidRDefault="006308E8" w:rsidP="00D25385">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16"/>
                <w:lang w:val="sq-AL"/>
              </w:rPr>
            </w:pPr>
          </w:p>
          <w:p w:rsidR="006308E8" w:rsidRPr="00D25385" w:rsidRDefault="006308E8" w:rsidP="00D25385">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16"/>
                <w:lang w:val="sq-AL"/>
              </w:rPr>
            </w:pPr>
            <w:r w:rsidRPr="00D25385">
              <w:rPr>
                <w:rFonts w:asciiTheme="minorHAnsi" w:hAnsiTheme="minorHAnsi"/>
                <w:sz w:val="18"/>
                <w:szCs w:val="16"/>
                <w:lang w:val="sq-AL"/>
              </w:rPr>
              <w:t>160 400</w:t>
            </w:r>
          </w:p>
        </w:tc>
        <w:tc>
          <w:tcPr>
            <w:cnfStyle w:val="000010000000" w:firstRow="0" w:lastRow="0" w:firstColumn="0" w:lastColumn="0" w:oddVBand="1" w:evenVBand="0" w:oddHBand="0" w:evenHBand="0" w:firstRowFirstColumn="0" w:firstRowLastColumn="0" w:lastRowFirstColumn="0" w:lastRowLastColumn="0"/>
            <w:tcW w:w="0" w:type="auto"/>
          </w:tcPr>
          <w:p w:rsidR="006308E8" w:rsidRPr="00D25385" w:rsidRDefault="006308E8" w:rsidP="00D25385">
            <w:pPr>
              <w:spacing w:line="276" w:lineRule="auto"/>
              <w:jc w:val="center"/>
              <w:rPr>
                <w:rFonts w:asciiTheme="minorHAnsi" w:hAnsiTheme="minorHAnsi"/>
                <w:sz w:val="18"/>
                <w:szCs w:val="16"/>
                <w:lang w:val="sq-AL"/>
              </w:rPr>
            </w:pPr>
          </w:p>
        </w:tc>
        <w:tc>
          <w:tcPr>
            <w:tcW w:w="0" w:type="auto"/>
          </w:tcPr>
          <w:p w:rsidR="006308E8" w:rsidRPr="00D25385" w:rsidRDefault="006308E8" w:rsidP="00D25385">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16"/>
                <w:lang w:val="sq-AL"/>
              </w:rPr>
            </w:pPr>
          </w:p>
          <w:p w:rsidR="006308E8" w:rsidRPr="00D25385" w:rsidRDefault="006308E8" w:rsidP="00D25385">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16"/>
                <w:lang w:val="sq-AL"/>
              </w:rPr>
            </w:pPr>
            <w:r w:rsidRPr="00D25385">
              <w:rPr>
                <w:rFonts w:asciiTheme="minorHAnsi" w:hAnsiTheme="minorHAnsi"/>
                <w:sz w:val="18"/>
                <w:szCs w:val="16"/>
                <w:lang w:val="sq-AL"/>
              </w:rPr>
              <w:t>40 537</w:t>
            </w:r>
          </w:p>
        </w:tc>
        <w:tc>
          <w:tcPr>
            <w:cnfStyle w:val="000010000000" w:firstRow="0" w:lastRow="0" w:firstColumn="0" w:lastColumn="0" w:oddVBand="1" w:evenVBand="0" w:oddHBand="0" w:evenHBand="0" w:firstRowFirstColumn="0" w:firstRowLastColumn="0" w:lastRowFirstColumn="0" w:lastRowLastColumn="0"/>
            <w:tcW w:w="0" w:type="auto"/>
          </w:tcPr>
          <w:p w:rsidR="006308E8" w:rsidRPr="00D25385" w:rsidRDefault="006308E8" w:rsidP="00D25385">
            <w:pPr>
              <w:spacing w:line="276" w:lineRule="auto"/>
              <w:jc w:val="center"/>
              <w:rPr>
                <w:rFonts w:asciiTheme="minorHAnsi" w:hAnsiTheme="minorHAnsi"/>
                <w:sz w:val="18"/>
                <w:szCs w:val="16"/>
                <w:lang w:val="sq-AL"/>
              </w:rPr>
            </w:pPr>
          </w:p>
        </w:tc>
        <w:tc>
          <w:tcPr>
            <w:tcW w:w="0" w:type="auto"/>
            <w:tcBorders>
              <w:left w:val="single" w:sz="4" w:space="0" w:color="4BACC6"/>
              <w:right w:val="single" w:sz="4" w:space="0" w:color="4BACC6"/>
            </w:tcBorders>
          </w:tcPr>
          <w:p w:rsidR="006308E8" w:rsidRPr="00D25385" w:rsidRDefault="006308E8" w:rsidP="00D25385">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16"/>
                <w:lang w:val="sq-AL"/>
              </w:rPr>
            </w:pPr>
          </w:p>
          <w:p w:rsidR="006308E8" w:rsidRPr="00D25385" w:rsidRDefault="006308E8" w:rsidP="00D25385">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16"/>
                <w:lang w:val="sq-AL"/>
              </w:rPr>
            </w:pPr>
            <w:r w:rsidRPr="00D25385">
              <w:rPr>
                <w:rFonts w:asciiTheme="minorHAnsi" w:hAnsiTheme="minorHAnsi"/>
                <w:bCs/>
                <w:sz w:val="18"/>
                <w:szCs w:val="16"/>
                <w:lang w:val="sq-AL"/>
              </w:rPr>
              <w:t>25.2%</w:t>
            </w:r>
          </w:p>
        </w:tc>
        <w:tc>
          <w:tcPr>
            <w:cnfStyle w:val="000100000000" w:firstRow="0" w:lastRow="0" w:firstColumn="0" w:lastColumn="1" w:oddVBand="0" w:evenVBand="0" w:oddHBand="0" w:evenHBand="0" w:firstRowFirstColumn="0" w:firstRowLastColumn="0" w:lastRowFirstColumn="0" w:lastRowLastColumn="0"/>
            <w:tcW w:w="0" w:type="auto"/>
            <w:tcBorders>
              <w:left w:val="single" w:sz="4" w:space="0" w:color="4BACC6"/>
            </w:tcBorders>
          </w:tcPr>
          <w:p w:rsidR="006308E8" w:rsidRPr="00D25385" w:rsidRDefault="006308E8" w:rsidP="00D25385">
            <w:pPr>
              <w:spacing w:line="276" w:lineRule="auto"/>
              <w:jc w:val="center"/>
              <w:rPr>
                <w:rFonts w:asciiTheme="minorHAnsi" w:hAnsiTheme="minorHAnsi"/>
                <w:b w:val="0"/>
                <w:bCs w:val="0"/>
                <w:sz w:val="18"/>
                <w:szCs w:val="16"/>
                <w:lang w:val="sq-AL"/>
              </w:rPr>
            </w:pPr>
          </w:p>
          <w:p w:rsidR="006308E8" w:rsidRPr="00D25385" w:rsidRDefault="006308E8" w:rsidP="00D25385">
            <w:pPr>
              <w:spacing w:line="276" w:lineRule="auto"/>
              <w:jc w:val="center"/>
              <w:rPr>
                <w:rFonts w:asciiTheme="minorHAnsi" w:hAnsiTheme="minorHAnsi"/>
                <w:b w:val="0"/>
                <w:bCs w:val="0"/>
                <w:sz w:val="18"/>
                <w:szCs w:val="16"/>
                <w:lang w:val="sq-AL"/>
              </w:rPr>
            </w:pPr>
          </w:p>
        </w:tc>
      </w:tr>
      <w:tr w:rsidR="006308E8" w:rsidRPr="00D25385" w:rsidTr="00D25385">
        <w:trPr>
          <w:cnfStyle w:val="000000100000" w:firstRow="0" w:lastRow="0" w:firstColumn="0" w:lastColumn="0" w:oddVBand="0" w:evenVBand="0" w:oddHBand="1" w:evenHBand="0" w:firstRowFirstColumn="0" w:firstRowLastColumn="0" w:lastRowFirstColumn="0" w:lastRowLastColumn="0"/>
          <w:trHeight w:val="305"/>
          <w:jc w:val="center"/>
        </w:trPr>
        <w:tc>
          <w:tcPr>
            <w:cnfStyle w:val="001000000000" w:firstRow="0" w:lastRow="0" w:firstColumn="1" w:lastColumn="0" w:oddVBand="0" w:evenVBand="0" w:oddHBand="0" w:evenHBand="0" w:firstRowFirstColumn="0" w:firstRowLastColumn="0" w:lastRowFirstColumn="0" w:lastRowLastColumn="0"/>
            <w:tcW w:w="0" w:type="auto"/>
          </w:tcPr>
          <w:p w:rsidR="006308E8" w:rsidRPr="00D25385" w:rsidRDefault="006308E8" w:rsidP="00D25385">
            <w:pPr>
              <w:spacing w:line="276" w:lineRule="auto"/>
              <w:rPr>
                <w:rFonts w:asciiTheme="minorHAnsi" w:hAnsiTheme="minorHAnsi"/>
                <w:sz w:val="18"/>
                <w:szCs w:val="16"/>
                <w:lang w:val="sq-AL"/>
              </w:rPr>
            </w:pPr>
            <w:r w:rsidRPr="00D25385">
              <w:rPr>
                <w:rFonts w:asciiTheme="minorHAnsi" w:hAnsiTheme="minorHAnsi"/>
                <w:sz w:val="18"/>
                <w:szCs w:val="16"/>
                <w:lang w:val="sq-AL"/>
              </w:rPr>
              <w:t>2.</w:t>
            </w:r>
          </w:p>
        </w:tc>
        <w:tc>
          <w:tcPr>
            <w:cnfStyle w:val="000010000000" w:firstRow="0" w:lastRow="0" w:firstColumn="0" w:lastColumn="0" w:oddVBand="1" w:evenVBand="0" w:oddHBand="0" w:evenHBand="0" w:firstRowFirstColumn="0" w:firstRowLastColumn="0" w:lastRowFirstColumn="0" w:lastRowLastColumn="0"/>
            <w:tcW w:w="0" w:type="auto"/>
          </w:tcPr>
          <w:p w:rsidR="006308E8" w:rsidRPr="00D25385" w:rsidRDefault="006308E8" w:rsidP="00121650">
            <w:pPr>
              <w:spacing w:line="276" w:lineRule="auto"/>
              <w:rPr>
                <w:rFonts w:asciiTheme="minorHAnsi" w:hAnsiTheme="minorHAnsi"/>
                <w:sz w:val="18"/>
                <w:szCs w:val="16"/>
                <w:lang w:val="sq-AL"/>
              </w:rPr>
            </w:pPr>
            <w:r w:rsidRPr="00D25385">
              <w:rPr>
                <w:rFonts w:asciiTheme="minorHAnsi" w:hAnsiTheme="minorHAnsi"/>
                <w:sz w:val="18"/>
                <w:szCs w:val="16"/>
                <w:lang w:val="sq-AL"/>
              </w:rPr>
              <w:t>Trashëgimia kulturore dhe muzetë</w:t>
            </w:r>
          </w:p>
        </w:tc>
        <w:tc>
          <w:tcPr>
            <w:tcW w:w="0" w:type="auto"/>
          </w:tcPr>
          <w:p w:rsidR="006308E8" w:rsidRPr="00D25385" w:rsidRDefault="006308E8" w:rsidP="00D25385">
            <w:pPr>
              <w:spacing w:line="276"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16"/>
                <w:lang w:val="sq-AL"/>
              </w:rPr>
            </w:pPr>
            <w:r w:rsidRPr="00D25385">
              <w:rPr>
                <w:rFonts w:asciiTheme="minorHAnsi" w:hAnsiTheme="minorHAnsi"/>
                <w:sz w:val="18"/>
                <w:szCs w:val="16"/>
                <w:lang w:val="sq-AL"/>
              </w:rPr>
              <w:t>540 981</w:t>
            </w:r>
          </w:p>
        </w:tc>
        <w:tc>
          <w:tcPr>
            <w:cnfStyle w:val="000010000000" w:firstRow="0" w:lastRow="0" w:firstColumn="0" w:lastColumn="0" w:oddVBand="1" w:evenVBand="0" w:oddHBand="0" w:evenHBand="0" w:firstRowFirstColumn="0" w:firstRowLastColumn="0" w:lastRowFirstColumn="0" w:lastRowLastColumn="0"/>
            <w:tcW w:w="0" w:type="auto"/>
          </w:tcPr>
          <w:p w:rsidR="006308E8" w:rsidRPr="00D25385" w:rsidRDefault="006308E8" w:rsidP="00D25385">
            <w:pPr>
              <w:spacing w:line="276" w:lineRule="auto"/>
              <w:jc w:val="center"/>
              <w:rPr>
                <w:rFonts w:asciiTheme="minorHAnsi" w:hAnsiTheme="minorHAnsi"/>
                <w:sz w:val="18"/>
                <w:szCs w:val="16"/>
                <w:lang w:val="sq-AL"/>
              </w:rPr>
            </w:pPr>
            <w:r w:rsidRPr="00D25385">
              <w:rPr>
                <w:rFonts w:asciiTheme="minorHAnsi" w:hAnsiTheme="minorHAnsi"/>
                <w:sz w:val="18"/>
                <w:szCs w:val="16"/>
                <w:lang w:val="sq-AL"/>
              </w:rPr>
              <w:t>291 452</w:t>
            </w:r>
          </w:p>
        </w:tc>
        <w:tc>
          <w:tcPr>
            <w:tcW w:w="0" w:type="auto"/>
          </w:tcPr>
          <w:p w:rsidR="006308E8" w:rsidRPr="00D25385" w:rsidRDefault="006308E8" w:rsidP="00D25385">
            <w:pPr>
              <w:spacing w:line="276"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16"/>
                <w:lang w:val="sq-AL"/>
              </w:rPr>
            </w:pPr>
            <w:r w:rsidRPr="00D25385">
              <w:rPr>
                <w:rFonts w:asciiTheme="minorHAnsi" w:hAnsiTheme="minorHAnsi"/>
                <w:sz w:val="18"/>
                <w:szCs w:val="16"/>
                <w:lang w:val="sq-AL"/>
              </w:rPr>
              <w:t>122 531</w:t>
            </w:r>
          </w:p>
        </w:tc>
        <w:tc>
          <w:tcPr>
            <w:cnfStyle w:val="000010000000" w:firstRow="0" w:lastRow="0" w:firstColumn="0" w:lastColumn="0" w:oddVBand="1" w:evenVBand="0" w:oddHBand="0" w:evenHBand="0" w:firstRowFirstColumn="0" w:firstRowLastColumn="0" w:lastRowFirstColumn="0" w:lastRowLastColumn="0"/>
            <w:tcW w:w="0" w:type="auto"/>
          </w:tcPr>
          <w:p w:rsidR="006308E8" w:rsidRPr="00D25385" w:rsidRDefault="006308E8" w:rsidP="00D25385">
            <w:pPr>
              <w:spacing w:line="276" w:lineRule="auto"/>
              <w:jc w:val="center"/>
              <w:rPr>
                <w:rFonts w:asciiTheme="minorHAnsi" w:hAnsiTheme="minorHAnsi"/>
                <w:sz w:val="18"/>
                <w:szCs w:val="16"/>
                <w:lang w:val="sq-AL"/>
              </w:rPr>
            </w:pPr>
            <w:r w:rsidRPr="00D25385">
              <w:rPr>
                <w:rFonts w:asciiTheme="minorHAnsi" w:hAnsiTheme="minorHAnsi"/>
                <w:sz w:val="18"/>
                <w:szCs w:val="16"/>
                <w:lang w:val="sq-AL"/>
              </w:rPr>
              <w:t>267</w:t>
            </w:r>
          </w:p>
        </w:tc>
        <w:tc>
          <w:tcPr>
            <w:tcW w:w="0" w:type="auto"/>
            <w:tcBorders>
              <w:left w:val="single" w:sz="4" w:space="0" w:color="4BACC6"/>
              <w:right w:val="single" w:sz="4" w:space="0" w:color="4BACC6"/>
            </w:tcBorders>
          </w:tcPr>
          <w:p w:rsidR="006308E8" w:rsidRPr="00D25385" w:rsidRDefault="006308E8" w:rsidP="00D25385">
            <w:pPr>
              <w:spacing w:line="276"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16"/>
                <w:lang w:val="sq-AL"/>
              </w:rPr>
            </w:pPr>
            <w:r w:rsidRPr="00D25385">
              <w:rPr>
                <w:rFonts w:asciiTheme="minorHAnsi" w:hAnsiTheme="minorHAnsi"/>
                <w:sz w:val="18"/>
                <w:szCs w:val="16"/>
                <w:lang w:val="sq-AL"/>
              </w:rPr>
              <w:t>22.6%</w:t>
            </w:r>
          </w:p>
        </w:tc>
        <w:tc>
          <w:tcPr>
            <w:cnfStyle w:val="000100000000" w:firstRow="0" w:lastRow="0" w:firstColumn="0" w:lastColumn="1" w:oddVBand="0" w:evenVBand="0" w:oddHBand="0" w:evenHBand="0" w:firstRowFirstColumn="0" w:firstRowLastColumn="0" w:lastRowFirstColumn="0" w:lastRowLastColumn="0"/>
            <w:tcW w:w="0" w:type="auto"/>
            <w:tcBorders>
              <w:left w:val="single" w:sz="4" w:space="0" w:color="4BACC6"/>
            </w:tcBorders>
          </w:tcPr>
          <w:p w:rsidR="006308E8" w:rsidRPr="00D25385" w:rsidRDefault="006308E8" w:rsidP="00D25385">
            <w:pPr>
              <w:spacing w:line="276" w:lineRule="auto"/>
              <w:jc w:val="center"/>
              <w:rPr>
                <w:rFonts w:asciiTheme="minorHAnsi" w:hAnsiTheme="minorHAnsi"/>
                <w:sz w:val="18"/>
                <w:szCs w:val="16"/>
                <w:lang w:val="sq-AL"/>
              </w:rPr>
            </w:pPr>
            <w:r w:rsidRPr="00D25385">
              <w:rPr>
                <w:rFonts w:asciiTheme="minorHAnsi" w:hAnsiTheme="minorHAnsi"/>
                <w:sz w:val="18"/>
                <w:szCs w:val="16"/>
                <w:lang w:val="sq-AL"/>
              </w:rPr>
              <w:t>0.09%</w:t>
            </w:r>
          </w:p>
        </w:tc>
      </w:tr>
      <w:tr w:rsidR="006308E8" w:rsidRPr="00D25385" w:rsidTr="00D25385">
        <w:trPr>
          <w:trHeight w:val="312"/>
          <w:jc w:val="center"/>
        </w:trPr>
        <w:tc>
          <w:tcPr>
            <w:cnfStyle w:val="001000000000" w:firstRow="0" w:lastRow="0" w:firstColumn="1" w:lastColumn="0" w:oddVBand="0" w:evenVBand="0" w:oddHBand="0" w:evenHBand="0" w:firstRowFirstColumn="0" w:firstRowLastColumn="0" w:lastRowFirstColumn="0" w:lastRowLastColumn="0"/>
            <w:tcW w:w="0" w:type="auto"/>
          </w:tcPr>
          <w:p w:rsidR="006308E8" w:rsidRPr="00D25385" w:rsidRDefault="006308E8" w:rsidP="00121650">
            <w:pPr>
              <w:spacing w:line="276" w:lineRule="auto"/>
              <w:rPr>
                <w:rFonts w:asciiTheme="minorHAnsi" w:hAnsiTheme="minorHAnsi"/>
                <w:sz w:val="18"/>
                <w:szCs w:val="16"/>
                <w:lang w:val="sq-AL"/>
              </w:rPr>
            </w:pPr>
          </w:p>
        </w:tc>
        <w:tc>
          <w:tcPr>
            <w:cnfStyle w:val="000010000000" w:firstRow="0" w:lastRow="0" w:firstColumn="0" w:lastColumn="0" w:oddVBand="1" w:evenVBand="0" w:oddHBand="0" w:evenHBand="0" w:firstRowFirstColumn="0" w:firstRowLastColumn="0" w:lastRowFirstColumn="0" w:lastRowLastColumn="0"/>
            <w:tcW w:w="0" w:type="auto"/>
          </w:tcPr>
          <w:p w:rsidR="006308E8" w:rsidRPr="00D25385" w:rsidRDefault="006308E8" w:rsidP="00121650">
            <w:pPr>
              <w:spacing w:line="276" w:lineRule="auto"/>
              <w:rPr>
                <w:rFonts w:asciiTheme="minorHAnsi" w:hAnsiTheme="minorHAnsi"/>
                <w:sz w:val="18"/>
                <w:szCs w:val="16"/>
                <w:lang w:val="sq-AL"/>
              </w:rPr>
            </w:pPr>
            <w:r w:rsidRPr="00D25385">
              <w:rPr>
                <w:rFonts w:asciiTheme="minorHAnsi" w:hAnsiTheme="minorHAnsi"/>
                <w:sz w:val="18"/>
                <w:szCs w:val="16"/>
                <w:lang w:val="sq-AL"/>
              </w:rPr>
              <w:t>Financimi i huaj</w:t>
            </w:r>
          </w:p>
        </w:tc>
        <w:tc>
          <w:tcPr>
            <w:tcW w:w="0" w:type="auto"/>
          </w:tcPr>
          <w:p w:rsidR="006308E8" w:rsidRPr="00D25385" w:rsidRDefault="006308E8" w:rsidP="00D25385">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16"/>
                <w:lang w:val="sq-AL"/>
              </w:rPr>
            </w:pPr>
          </w:p>
        </w:tc>
        <w:tc>
          <w:tcPr>
            <w:cnfStyle w:val="000010000000" w:firstRow="0" w:lastRow="0" w:firstColumn="0" w:lastColumn="0" w:oddVBand="1" w:evenVBand="0" w:oddHBand="0" w:evenHBand="0" w:firstRowFirstColumn="0" w:firstRowLastColumn="0" w:lastRowFirstColumn="0" w:lastRowLastColumn="0"/>
            <w:tcW w:w="0" w:type="auto"/>
          </w:tcPr>
          <w:p w:rsidR="006308E8" w:rsidRPr="00D25385" w:rsidRDefault="006308E8" w:rsidP="00D25385">
            <w:pPr>
              <w:spacing w:line="276" w:lineRule="auto"/>
              <w:jc w:val="center"/>
              <w:rPr>
                <w:rFonts w:asciiTheme="minorHAnsi" w:hAnsiTheme="minorHAnsi"/>
                <w:sz w:val="18"/>
                <w:szCs w:val="16"/>
                <w:lang w:val="sq-AL"/>
              </w:rPr>
            </w:pPr>
            <w:r w:rsidRPr="00D25385">
              <w:rPr>
                <w:rFonts w:asciiTheme="minorHAnsi" w:hAnsiTheme="minorHAnsi"/>
                <w:sz w:val="18"/>
                <w:szCs w:val="16"/>
                <w:lang w:val="sq-AL"/>
              </w:rPr>
              <w:t>35 323</w:t>
            </w:r>
          </w:p>
        </w:tc>
        <w:tc>
          <w:tcPr>
            <w:tcW w:w="0" w:type="auto"/>
          </w:tcPr>
          <w:p w:rsidR="006308E8" w:rsidRPr="00D25385" w:rsidRDefault="006308E8" w:rsidP="00D25385">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16"/>
                <w:lang w:val="sq-AL"/>
              </w:rPr>
            </w:pPr>
          </w:p>
        </w:tc>
        <w:tc>
          <w:tcPr>
            <w:cnfStyle w:val="000010000000" w:firstRow="0" w:lastRow="0" w:firstColumn="0" w:lastColumn="0" w:oddVBand="1" w:evenVBand="0" w:oddHBand="0" w:evenHBand="0" w:firstRowFirstColumn="0" w:firstRowLastColumn="0" w:lastRowFirstColumn="0" w:lastRowLastColumn="0"/>
            <w:tcW w:w="0" w:type="auto"/>
          </w:tcPr>
          <w:p w:rsidR="006308E8" w:rsidRPr="00D25385" w:rsidRDefault="006308E8" w:rsidP="00D25385">
            <w:pPr>
              <w:spacing w:line="276" w:lineRule="auto"/>
              <w:jc w:val="center"/>
              <w:rPr>
                <w:rFonts w:asciiTheme="minorHAnsi" w:hAnsiTheme="minorHAnsi"/>
                <w:sz w:val="18"/>
                <w:szCs w:val="16"/>
                <w:lang w:val="sq-AL"/>
              </w:rPr>
            </w:pPr>
          </w:p>
        </w:tc>
        <w:tc>
          <w:tcPr>
            <w:tcW w:w="0" w:type="auto"/>
            <w:tcBorders>
              <w:left w:val="single" w:sz="4" w:space="0" w:color="4BACC6"/>
              <w:right w:val="single" w:sz="4" w:space="0" w:color="4BACC6"/>
            </w:tcBorders>
          </w:tcPr>
          <w:p w:rsidR="006308E8" w:rsidRPr="00D25385" w:rsidRDefault="006308E8" w:rsidP="00D25385">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16"/>
                <w:lang w:val="sq-AL"/>
              </w:rPr>
            </w:pPr>
          </w:p>
        </w:tc>
        <w:tc>
          <w:tcPr>
            <w:cnfStyle w:val="000100000000" w:firstRow="0" w:lastRow="0" w:firstColumn="0" w:lastColumn="1" w:oddVBand="0" w:evenVBand="0" w:oddHBand="0" w:evenHBand="0" w:firstRowFirstColumn="0" w:firstRowLastColumn="0" w:lastRowFirstColumn="0" w:lastRowLastColumn="0"/>
            <w:tcW w:w="0" w:type="auto"/>
            <w:tcBorders>
              <w:left w:val="single" w:sz="4" w:space="0" w:color="4BACC6"/>
            </w:tcBorders>
          </w:tcPr>
          <w:p w:rsidR="006308E8" w:rsidRPr="00D25385" w:rsidRDefault="006308E8" w:rsidP="00D25385">
            <w:pPr>
              <w:spacing w:line="276" w:lineRule="auto"/>
              <w:jc w:val="center"/>
              <w:rPr>
                <w:rFonts w:asciiTheme="minorHAnsi" w:hAnsiTheme="minorHAnsi"/>
                <w:sz w:val="18"/>
                <w:szCs w:val="16"/>
                <w:lang w:val="sq-AL"/>
              </w:rPr>
            </w:pPr>
          </w:p>
        </w:tc>
      </w:tr>
      <w:tr w:rsidR="006308E8" w:rsidRPr="00D25385" w:rsidTr="00D25385">
        <w:trPr>
          <w:cnfStyle w:val="000000100000" w:firstRow="0" w:lastRow="0" w:firstColumn="0" w:lastColumn="0" w:oddVBand="0" w:evenVBand="0" w:oddHBand="1" w:evenHBand="0" w:firstRowFirstColumn="0" w:firstRowLastColumn="0" w:lastRowFirstColumn="0" w:lastRowLastColumn="0"/>
          <w:trHeight w:val="312"/>
          <w:jc w:val="center"/>
        </w:trPr>
        <w:tc>
          <w:tcPr>
            <w:cnfStyle w:val="001000000000" w:firstRow="0" w:lastRow="0" w:firstColumn="1" w:lastColumn="0" w:oddVBand="0" w:evenVBand="0" w:oddHBand="0" w:evenHBand="0" w:firstRowFirstColumn="0" w:firstRowLastColumn="0" w:lastRowFirstColumn="0" w:lastRowLastColumn="0"/>
            <w:tcW w:w="0" w:type="auto"/>
          </w:tcPr>
          <w:p w:rsidR="006308E8" w:rsidRPr="00D25385" w:rsidRDefault="006308E8" w:rsidP="00121650">
            <w:pPr>
              <w:spacing w:line="276" w:lineRule="auto"/>
              <w:rPr>
                <w:rFonts w:asciiTheme="minorHAnsi" w:hAnsiTheme="minorHAnsi"/>
                <w:sz w:val="18"/>
                <w:szCs w:val="16"/>
                <w:lang w:val="sq-AL"/>
              </w:rPr>
            </w:pPr>
            <w:r w:rsidRPr="00D25385">
              <w:rPr>
                <w:rFonts w:asciiTheme="minorHAnsi" w:hAnsiTheme="minorHAnsi"/>
                <w:sz w:val="18"/>
                <w:szCs w:val="16"/>
                <w:lang w:val="sq-AL"/>
              </w:rPr>
              <w:t>3.</w:t>
            </w:r>
          </w:p>
        </w:tc>
        <w:tc>
          <w:tcPr>
            <w:cnfStyle w:val="000010000000" w:firstRow="0" w:lastRow="0" w:firstColumn="0" w:lastColumn="0" w:oddVBand="1" w:evenVBand="0" w:oddHBand="0" w:evenHBand="0" w:firstRowFirstColumn="0" w:firstRowLastColumn="0" w:lastRowFirstColumn="0" w:lastRowLastColumn="0"/>
            <w:tcW w:w="0" w:type="auto"/>
          </w:tcPr>
          <w:p w:rsidR="006308E8" w:rsidRPr="00D25385" w:rsidRDefault="006308E8" w:rsidP="00121650">
            <w:pPr>
              <w:spacing w:line="276" w:lineRule="auto"/>
              <w:rPr>
                <w:rFonts w:asciiTheme="minorHAnsi" w:hAnsiTheme="minorHAnsi"/>
                <w:sz w:val="18"/>
                <w:szCs w:val="16"/>
                <w:lang w:val="sq-AL"/>
              </w:rPr>
            </w:pPr>
            <w:r w:rsidRPr="00D25385">
              <w:rPr>
                <w:rFonts w:asciiTheme="minorHAnsi" w:hAnsiTheme="minorHAnsi"/>
                <w:sz w:val="18"/>
                <w:szCs w:val="16"/>
                <w:lang w:val="sq-AL"/>
              </w:rPr>
              <w:t>Arti dhe Kultura</w:t>
            </w:r>
          </w:p>
        </w:tc>
        <w:tc>
          <w:tcPr>
            <w:tcW w:w="0" w:type="auto"/>
          </w:tcPr>
          <w:p w:rsidR="006308E8" w:rsidRPr="00D25385" w:rsidRDefault="006308E8" w:rsidP="00D25385">
            <w:pPr>
              <w:spacing w:line="276"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16"/>
                <w:lang w:val="sq-AL"/>
              </w:rPr>
            </w:pPr>
            <w:r w:rsidRPr="00D25385">
              <w:rPr>
                <w:rFonts w:asciiTheme="minorHAnsi" w:hAnsiTheme="minorHAnsi"/>
                <w:sz w:val="18"/>
                <w:szCs w:val="16"/>
                <w:lang w:val="sq-AL"/>
              </w:rPr>
              <w:t>762 000</w:t>
            </w:r>
          </w:p>
        </w:tc>
        <w:tc>
          <w:tcPr>
            <w:cnfStyle w:val="000010000000" w:firstRow="0" w:lastRow="0" w:firstColumn="0" w:lastColumn="0" w:oddVBand="1" w:evenVBand="0" w:oddHBand="0" w:evenHBand="0" w:firstRowFirstColumn="0" w:firstRowLastColumn="0" w:lastRowFirstColumn="0" w:lastRowLastColumn="0"/>
            <w:tcW w:w="0" w:type="auto"/>
          </w:tcPr>
          <w:p w:rsidR="006308E8" w:rsidRPr="00D25385" w:rsidRDefault="006308E8" w:rsidP="00D25385">
            <w:pPr>
              <w:spacing w:line="276" w:lineRule="auto"/>
              <w:jc w:val="center"/>
              <w:rPr>
                <w:rFonts w:asciiTheme="minorHAnsi" w:hAnsiTheme="minorHAnsi"/>
                <w:sz w:val="18"/>
                <w:szCs w:val="16"/>
                <w:lang w:val="sq-AL"/>
              </w:rPr>
            </w:pPr>
            <w:r w:rsidRPr="00D25385">
              <w:rPr>
                <w:rFonts w:asciiTheme="minorHAnsi" w:hAnsiTheme="minorHAnsi"/>
                <w:sz w:val="18"/>
                <w:szCs w:val="16"/>
                <w:lang w:val="sq-AL"/>
              </w:rPr>
              <w:t>579 500</w:t>
            </w:r>
          </w:p>
        </w:tc>
        <w:tc>
          <w:tcPr>
            <w:tcW w:w="0" w:type="auto"/>
          </w:tcPr>
          <w:p w:rsidR="006308E8" w:rsidRPr="00D25385" w:rsidRDefault="006308E8" w:rsidP="00D25385">
            <w:pPr>
              <w:spacing w:line="276"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16"/>
                <w:lang w:val="sq-AL"/>
              </w:rPr>
            </w:pPr>
            <w:r w:rsidRPr="00D25385">
              <w:rPr>
                <w:rFonts w:asciiTheme="minorHAnsi" w:hAnsiTheme="minorHAnsi"/>
                <w:sz w:val="18"/>
                <w:szCs w:val="16"/>
                <w:lang w:val="sq-AL"/>
              </w:rPr>
              <w:t>209 525</w:t>
            </w:r>
          </w:p>
        </w:tc>
        <w:tc>
          <w:tcPr>
            <w:cnfStyle w:val="000010000000" w:firstRow="0" w:lastRow="0" w:firstColumn="0" w:lastColumn="0" w:oddVBand="1" w:evenVBand="0" w:oddHBand="0" w:evenHBand="0" w:firstRowFirstColumn="0" w:firstRowLastColumn="0" w:lastRowFirstColumn="0" w:lastRowLastColumn="0"/>
            <w:tcW w:w="0" w:type="auto"/>
          </w:tcPr>
          <w:p w:rsidR="006308E8" w:rsidRPr="00D25385" w:rsidRDefault="006308E8" w:rsidP="00D25385">
            <w:pPr>
              <w:spacing w:line="276" w:lineRule="auto"/>
              <w:jc w:val="center"/>
              <w:rPr>
                <w:rFonts w:asciiTheme="minorHAnsi" w:hAnsiTheme="minorHAnsi"/>
                <w:sz w:val="18"/>
                <w:szCs w:val="16"/>
                <w:lang w:val="sq-AL"/>
              </w:rPr>
            </w:pPr>
            <w:r w:rsidRPr="00D25385">
              <w:rPr>
                <w:rFonts w:asciiTheme="minorHAnsi" w:hAnsiTheme="minorHAnsi"/>
                <w:sz w:val="18"/>
                <w:szCs w:val="16"/>
                <w:lang w:val="sq-AL"/>
              </w:rPr>
              <w:t>252 643</w:t>
            </w:r>
          </w:p>
        </w:tc>
        <w:tc>
          <w:tcPr>
            <w:tcW w:w="0" w:type="auto"/>
            <w:tcBorders>
              <w:left w:val="single" w:sz="4" w:space="0" w:color="4BACC6"/>
              <w:right w:val="single" w:sz="4" w:space="0" w:color="4BACC6"/>
            </w:tcBorders>
          </w:tcPr>
          <w:p w:rsidR="006308E8" w:rsidRPr="00D25385" w:rsidRDefault="006308E8" w:rsidP="00D25385">
            <w:pPr>
              <w:spacing w:line="276"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16"/>
                <w:lang w:val="sq-AL"/>
              </w:rPr>
            </w:pPr>
            <w:r w:rsidRPr="00D25385">
              <w:rPr>
                <w:rFonts w:asciiTheme="minorHAnsi" w:hAnsiTheme="minorHAnsi"/>
                <w:sz w:val="18"/>
                <w:szCs w:val="16"/>
                <w:lang w:val="sq-AL"/>
              </w:rPr>
              <w:t>27.4%</w:t>
            </w:r>
          </w:p>
        </w:tc>
        <w:tc>
          <w:tcPr>
            <w:cnfStyle w:val="000100000000" w:firstRow="0" w:lastRow="0" w:firstColumn="0" w:lastColumn="1" w:oddVBand="0" w:evenVBand="0" w:oddHBand="0" w:evenHBand="0" w:firstRowFirstColumn="0" w:firstRowLastColumn="0" w:lastRowFirstColumn="0" w:lastRowLastColumn="0"/>
            <w:tcW w:w="0" w:type="auto"/>
            <w:tcBorders>
              <w:left w:val="single" w:sz="4" w:space="0" w:color="4BACC6"/>
            </w:tcBorders>
          </w:tcPr>
          <w:p w:rsidR="006308E8" w:rsidRPr="00D25385" w:rsidRDefault="006308E8" w:rsidP="00D25385">
            <w:pPr>
              <w:spacing w:line="276" w:lineRule="auto"/>
              <w:jc w:val="center"/>
              <w:rPr>
                <w:rFonts w:asciiTheme="minorHAnsi" w:hAnsiTheme="minorHAnsi"/>
                <w:sz w:val="18"/>
                <w:szCs w:val="16"/>
                <w:lang w:val="sq-AL"/>
              </w:rPr>
            </w:pPr>
            <w:r w:rsidRPr="00D25385">
              <w:rPr>
                <w:rFonts w:asciiTheme="minorHAnsi" w:hAnsiTheme="minorHAnsi"/>
                <w:sz w:val="18"/>
                <w:szCs w:val="16"/>
                <w:lang w:val="sq-AL"/>
              </w:rPr>
              <w:t>43.5%</w:t>
            </w:r>
          </w:p>
        </w:tc>
      </w:tr>
      <w:tr w:rsidR="006308E8" w:rsidRPr="00D25385" w:rsidTr="00D25385">
        <w:trPr>
          <w:cnfStyle w:val="010000000000" w:firstRow="0" w:lastRow="1" w:firstColumn="0" w:lastColumn="0" w:oddVBand="0" w:evenVBand="0" w:oddHBand="0" w:evenHBand="0" w:firstRowFirstColumn="0" w:firstRowLastColumn="0" w:lastRowFirstColumn="0" w:lastRowLastColumn="0"/>
          <w:trHeight w:val="136"/>
          <w:jc w:val="center"/>
        </w:trPr>
        <w:tc>
          <w:tcPr>
            <w:cnfStyle w:val="001000000001" w:firstRow="0" w:lastRow="0" w:firstColumn="1" w:lastColumn="0" w:oddVBand="0" w:evenVBand="0" w:oddHBand="0" w:evenHBand="0" w:firstRowFirstColumn="0" w:firstRowLastColumn="0" w:lastRowFirstColumn="1" w:lastRowLastColumn="0"/>
            <w:tcW w:w="0" w:type="auto"/>
          </w:tcPr>
          <w:p w:rsidR="006308E8" w:rsidRPr="00D25385" w:rsidRDefault="006308E8" w:rsidP="00121650">
            <w:pPr>
              <w:spacing w:line="276" w:lineRule="auto"/>
              <w:jc w:val="center"/>
              <w:rPr>
                <w:rFonts w:asciiTheme="minorHAnsi" w:hAnsiTheme="minorHAnsi"/>
                <w:b w:val="0"/>
                <w:sz w:val="18"/>
                <w:szCs w:val="16"/>
                <w:lang w:val="sq-AL"/>
              </w:rPr>
            </w:pPr>
          </w:p>
        </w:tc>
        <w:tc>
          <w:tcPr>
            <w:cnfStyle w:val="000010000000" w:firstRow="0" w:lastRow="0" w:firstColumn="0" w:lastColumn="0" w:oddVBand="1" w:evenVBand="0" w:oddHBand="0" w:evenHBand="0" w:firstRowFirstColumn="0" w:firstRowLastColumn="0" w:lastRowFirstColumn="0" w:lastRowLastColumn="0"/>
            <w:tcW w:w="0" w:type="auto"/>
          </w:tcPr>
          <w:p w:rsidR="006308E8" w:rsidRPr="00D25385" w:rsidRDefault="006308E8" w:rsidP="00121650">
            <w:pPr>
              <w:spacing w:line="276" w:lineRule="auto"/>
              <w:rPr>
                <w:rFonts w:asciiTheme="minorHAnsi" w:hAnsiTheme="minorHAnsi"/>
                <w:b w:val="0"/>
                <w:sz w:val="18"/>
                <w:szCs w:val="16"/>
                <w:lang w:val="sq-AL"/>
              </w:rPr>
            </w:pPr>
            <w:r w:rsidRPr="00D25385">
              <w:rPr>
                <w:rFonts w:asciiTheme="minorHAnsi" w:hAnsiTheme="minorHAnsi"/>
                <w:b w:val="0"/>
                <w:sz w:val="18"/>
                <w:szCs w:val="16"/>
                <w:lang w:val="sq-AL"/>
              </w:rPr>
              <w:t>Financimi i huaj</w:t>
            </w:r>
          </w:p>
        </w:tc>
        <w:tc>
          <w:tcPr>
            <w:tcW w:w="0" w:type="auto"/>
          </w:tcPr>
          <w:p w:rsidR="006308E8" w:rsidRPr="00D25385" w:rsidRDefault="006308E8" w:rsidP="00D25385">
            <w:pPr>
              <w:spacing w:line="276" w:lineRule="auto"/>
              <w:jc w:val="center"/>
              <w:cnfStyle w:val="010000000000" w:firstRow="0" w:lastRow="1" w:firstColumn="0" w:lastColumn="0" w:oddVBand="0" w:evenVBand="0" w:oddHBand="0" w:evenHBand="0" w:firstRowFirstColumn="0" w:firstRowLastColumn="0" w:lastRowFirstColumn="0" w:lastRowLastColumn="0"/>
              <w:rPr>
                <w:rFonts w:asciiTheme="minorHAnsi" w:hAnsiTheme="minorHAnsi"/>
                <w:b w:val="0"/>
                <w:sz w:val="18"/>
                <w:szCs w:val="16"/>
                <w:lang w:val="sq-AL"/>
              </w:rPr>
            </w:pPr>
          </w:p>
        </w:tc>
        <w:tc>
          <w:tcPr>
            <w:cnfStyle w:val="000010000000" w:firstRow="0" w:lastRow="0" w:firstColumn="0" w:lastColumn="0" w:oddVBand="1" w:evenVBand="0" w:oddHBand="0" w:evenHBand="0" w:firstRowFirstColumn="0" w:firstRowLastColumn="0" w:lastRowFirstColumn="0" w:lastRowLastColumn="0"/>
            <w:tcW w:w="0" w:type="auto"/>
          </w:tcPr>
          <w:p w:rsidR="006308E8" w:rsidRPr="00D25385" w:rsidRDefault="006308E8" w:rsidP="00D25385">
            <w:pPr>
              <w:spacing w:line="276" w:lineRule="auto"/>
              <w:jc w:val="center"/>
              <w:rPr>
                <w:rFonts w:asciiTheme="minorHAnsi" w:hAnsiTheme="minorHAnsi"/>
                <w:sz w:val="18"/>
                <w:szCs w:val="16"/>
                <w:lang w:val="sq-AL"/>
              </w:rPr>
            </w:pPr>
          </w:p>
        </w:tc>
        <w:tc>
          <w:tcPr>
            <w:tcW w:w="0" w:type="auto"/>
          </w:tcPr>
          <w:p w:rsidR="006308E8" w:rsidRPr="00D25385" w:rsidRDefault="006308E8" w:rsidP="00D25385">
            <w:pPr>
              <w:spacing w:line="276" w:lineRule="auto"/>
              <w:jc w:val="center"/>
              <w:cnfStyle w:val="010000000000" w:firstRow="0" w:lastRow="1" w:firstColumn="0" w:lastColumn="0" w:oddVBand="0" w:evenVBand="0" w:oddHBand="0" w:evenHBand="0" w:firstRowFirstColumn="0" w:firstRowLastColumn="0" w:lastRowFirstColumn="0" w:lastRowLastColumn="0"/>
              <w:rPr>
                <w:rFonts w:asciiTheme="minorHAnsi" w:hAnsiTheme="minorHAnsi"/>
                <w:b w:val="0"/>
                <w:sz w:val="18"/>
                <w:szCs w:val="16"/>
                <w:lang w:val="sq-AL"/>
              </w:rPr>
            </w:pPr>
            <w:r w:rsidRPr="00D25385">
              <w:rPr>
                <w:rFonts w:asciiTheme="minorHAnsi" w:hAnsiTheme="minorHAnsi"/>
                <w:b w:val="0"/>
                <w:sz w:val="18"/>
                <w:szCs w:val="16"/>
                <w:lang w:val="sq-AL"/>
              </w:rPr>
              <w:t>145 000</w:t>
            </w:r>
          </w:p>
        </w:tc>
        <w:tc>
          <w:tcPr>
            <w:cnfStyle w:val="000010000000" w:firstRow="0" w:lastRow="0" w:firstColumn="0" w:lastColumn="0" w:oddVBand="1" w:evenVBand="0" w:oddHBand="0" w:evenHBand="0" w:firstRowFirstColumn="0" w:firstRowLastColumn="0" w:lastRowFirstColumn="0" w:lastRowLastColumn="0"/>
            <w:tcW w:w="0" w:type="auto"/>
          </w:tcPr>
          <w:p w:rsidR="006308E8" w:rsidRPr="00D25385" w:rsidRDefault="006308E8" w:rsidP="00D25385">
            <w:pPr>
              <w:spacing w:line="276" w:lineRule="auto"/>
              <w:jc w:val="center"/>
              <w:rPr>
                <w:rFonts w:asciiTheme="minorHAnsi" w:hAnsiTheme="minorHAnsi"/>
                <w:b w:val="0"/>
                <w:sz w:val="18"/>
                <w:szCs w:val="16"/>
                <w:lang w:val="sq-AL"/>
              </w:rPr>
            </w:pPr>
          </w:p>
        </w:tc>
        <w:tc>
          <w:tcPr>
            <w:tcW w:w="0" w:type="auto"/>
            <w:tcBorders>
              <w:left w:val="single" w:sz="4" w:space="0" w:color="4BACC6"/>
              <w:bottom w:val="single" w:sz="4" w:space="0" w:color="4BACC6"/>
              <w:right w:val="single" w:sz="4" w:space="0" w:color="4BACC6"/>
            </w:tcBorders>
          </w:tcPr>
          <w:p w:rsidR="006308E8" w:rsidRPr="00D25385" w:rsidRDefault="006308E8" w:rsidP="00D25385">
            <w:pPr>
              <w:spacing w:line="276" w:lineRule="auto"/>
              <w:jc w:val="center"/>
              <w:cnfStyle w:val="010000000000" w:firstRow="0" w:lastRow="1" w:firstColumn="0" w:lastColumn="0" w:oddVBand="0" w:evenVBand="0" w:oddHBand="0" w:evenHBand="0" w:firstRowFirstColumn="0" w:firstRowLastColumn="0" w:lastRowFirstColumn="0" w:lastRowLastColumn="0"/>
              <w:rPr>
                <w:rFonts w:asciiTheme="minorHAnsi" w:hAnsiTheme="minorHAnsi"/>
                <w:b w:val="0"/>
                <w:sz w:val="18"/>
                <w:szCs w:val="16"/>
                <w:lang w:val="sq-AL"/>
              </w:rPr>
            </w:pPr>
          </w:p>
        </w:tc>
        <w:tc>
          <w:tcPr>
            <w:cnfStyle w:val="000100000010" w:firstRow="0" w:lastRow="0" w:firstColumn="0" w:lastColumn="1" w:oddVBand="0" w:evenVBand="0" w:oddHBand="0" w:evenHBand="0" w:firstRowFirstColumn="0" w:firstRowLastColumn="0" w:lastRowFirstColumn="0" w:lastRowLastColumn="1"/>
            <w:tcW w:w="0" w:type="auto"/>
            <w:tcBorders>
              <w:left w:val="single" w:sz="4" w:space="0" w:color="4BACC6"/>
              <w:bottom w:val="single" w:sz="4" w:space="0" w:color="4BACC6"/>
            </w:tcBorders>
          </w:tcPr>
          <w:p w:rsidR="006308E8" w:rsidRPr="00D25385" w:rsidRDefault="006308E8" w:rsidP="00D25385">
            <w:pPr>
              <w:spacing w:line="276" w:lineRule="auto"/>
              <w:jc w:val="center"/>
              <w:rPr>
                <w:rFonts w:asciiTheme="minorHAnsi" w:hAnsiTheme="minorHAnsi"/>
                <w:b w:val="0"/>
                <w:sz w:val="18"/>
                <w:szCs w:val="16"/>
                <w:lang w:val="sq-AL"/>
              </w:rPr>
            </w:pPr>
          </w:p>
        </w:tc>
      </w:tr>
    </w:tbl>
    <w:p w:rsidR="006308E8" w:rsidRPr="00BB7F2F" w:rsidRDefault="006308E8" w:rsidP="006308E8">
      <w:pPr>
        <w:spacing w:line="276" w:lineRule="auto"/>
        <w:jc w:val="both"/>
        <w:rPr>
          <w:rFonts w:asciiTheme="minorHAnsi" w:eastAsia="MS Mincho" w:hAnsiTheme="minorHAnsi"/>
          <w:i/>
          <w:u w:val="single"/>
          <w:lang w:val="sq-AL"/>
        </w:rPr>
      </w:pPr>
    </w:p>
    <w:p w:rsidR="006308E8" w:rsidRPr="00BB7F2F" w:rsidRDefault="006308E8" w:rsidP="006308E8">
      <w:pPr>
        <w:spacing w:line="276" w:lineRule="auto"/>
        <w:jc w:val="both"/>
        <w:rPr>
          <w:rFonts w:asciiTheme="minorHAnsi" w:eastAsia="MS Mincho" w:hAnsiTheme="minorHAnsi"/>
          <w:lang w:val="sq-AL"/>
        </w:rPr>
      </w:pPr>
      <w:r w:rsidRPr="00BB7F2F">
        <w:rPr>
          <w:rFonts w:asciiTheme="minorHAnsi" w:eastAsia="MS Mincho" w:hAnsiTheme="minorHAnsi"/>
          <w:lang w:val="sq-AL"/>
        </w:rPr>
        <w:t>Në të dy programet ky realizim i planit të shpenzimeve korrente është i lidhur me mosplotësimin e vendeve vakante sipas organikës së institucioneve si edhe me procedurat e prokurimit të mallrave e shërbimeve, proces ky që zgjat deri në finalizimin e lidhjes së kontratës, por është parashikuar që realizimi i këtyre shpenzimeve në periudhat në vijim do të ndryshojë ndjeshëm.</w:t>
      </w:r>
    </w:p>
    <w:p w:rsidR="00D25385" w:rsidRDefault="00D25385" w:rsidP="006308E8">
      <w:pPr>
        <w:spacing w:line="276" w:lineRule="auto"/>
        <w:jc w:val="both"/>
        <w:rPr>
          <w:rFonts w:asciiTheme="minorHAnsi" w:eastAsia="MS Mincho" w:hAnsiTheme="minorHAnsi"/>
          <w:lang w:val="sq-AL"/>
        </w:rPr>
      </w:pPr>
    </w:p>
    <w:p w:rsidR="006308E8" w:rsidRPr="00BB7F2F" w:rsidRDefault="006308E8" w:rsidP="006308E8">
      <w:pPr>
        <w:spacing w:line="276" w:lineRule="auto"/>
        <w:jc w:val="both"/>
        <w:rPr>
          <w:rFonts w:asciiTheme="minorHAnsi" w:eastAsia="MS Mincho" w:hAnsiTheme="minorHAnsi"/>
          <w:lang w:val="sq-AL"/>
        </w:rPr>
      </w:pPr>
      <w:r w:rsidRPr="00BB7F2F">
        <w:rPr>
          <w:rFonts w:asciiTheme="minorHAnsi" w:eastAsia="MS Mincho" w:hAnsiTheme="minorHAnsi"/>
          <w:lang w:val="sq-AL"/>
        </w:rPr>
        <w:t>Në programin</w:t>
      </w:r>
      <w:r w:rsidRPr="00BB7F2F">
        <w:rPr>
          <w:rFonts w:asciiTheme="minorHAnsi" w:eastAsia="MS Mincho" w:hAnsiTheme="minorHAnsi"/>
          <w:b/>
          <w:lang w:val="sq-AL"/>
        </w:rPr>
        <w:t xml:space="preserve"> “Trashëgimia Kulturore</w:t>
      </w:r>
      <w:r w:rsidRPr="00BB7F2F">
        <w:rPr>
          <w:rFonts w:asciiTheme="minorHAnsi" w:eastAsia="MS Mincho" w:hAnsiTheme="minorHAnsi"/>
          <w:lang w:val="sq-AL"/>
        </w:rPr>
        <w:t>” është realizuar promovimi, ruajtja, konservimi, restaurimi i objekteve dhe fondeve muzeore si dhe edukimi përmes trashëgimisë dhe aktiviteteve në funksion të saj. Këto objektiva gjatë  4/Mujorit të parë të vitit 2020 janë arritur nëpërmjet realizimit të produkteve si më poshtë:</w:t>
      </w:r>
    </w:p>
    <w:p w:rsidR="006308E8" w:rsidRPr="00BB7F2F" w:rsidRDefault="006308E8" w:rsidP="00503465">
      <w:pPr>
        <w:numPr>
          <w:ilvl w:val="0"/>
          <w:numId w:val="14"/>
        </w:numPr>
        <w:spacing w:line="276" w:lineRule="auto"/>
        <w:ind w:left="450" w:hanging="270"/>
        <w:jc w:val="both"/>
        <w:rPr>
          <w:rFonts w:asciiTheme="minorHAnsi" w:eastAsia="MS Mincho" w:hAnsiTheme="minorHAnsi"/>
          <w:lang w:val="sq-AL"/>
        </w:rPr>
      </w:pPr>
      <w:r w:rsidRPr="00BB7F2F">
        <w:rPr>
          <w:rFonts w:asciiTheme="minorHAnsi" w:eastAsia="MS Mincho" w:hAnsiTheme="minorHAnsi"/>
          <w:lang w:val="sq-AL"/>
        </w:rPr>
        <w:t>“Objekte monument kulture të ruajtura dhe të mbrojtura”, me një kosto faktike prej 71.7 milion lekë, ku:</w:t>
      </w:r>
    </w:p>
    <w:p w:rsidR="006308E8" w:rsidRPr="00BB7F2F" w:rsidRDefault="006308E8" w:rsidP="00D25385">
      <w:pPr>
        <w:spacing w:line="276" w:lineRule="auto"/>
        <w:ind w:left="450"/>
        <w:jc w:val="both"/>
        <w:rPr>
          <w:rFonts w:asciiTheme="minorHAnsi" w:eastAsia="MS Mincho" w:hAnsiTheme="minorHAnsi"/>
          <w:lang w:val="sq-AL"/>
        </w:rPr>
      </w:pPr>
      <w:r w:rsidRPr="00BB7F2F">
        <w:rPr>
          <w:rFonts w:asciiTheme="minorHAnsi" w:eastAsia="MS Mincho" w:hAnsiTheme="minorHAnsi"/>
          <w:lang w:val="sq-AL"/>
        </w:rPr>
        <w:t xml:space="preserve">Gjatë 4 mujorit të parë të vitit 2020, punimet kanë konsistuar kryesisht në mirëmbajtjen rutinë të objekteve të vizitueshëm , nxjerrjen e disaobjekteve nga gjendja e riskut, pastrime nga vegjetacioni si dhe në përgatitjen e objekteve të trashëgimisë kulturore për sezonin turistik. Gjatë periudhës janar-shkurt punimet janë zhvilluarme ritme normale , ndërsa në muajt mars prill punimet janë kryer me ritme me te ngadalta për shkak të pandemisë Covid-19. Gjatë kësaj periudhe kryesisht janë hartuar projektet e nevojshme për restaurimin e objekteve.  </w:t>
      </w:r>
    </w:p>
    <w:p w:rsidR="006308E8" w:rsidRPr="00BB7F2F" w:rsidRDefault="006308E8" w:rsidP="00503465">
      <w:pPr>
        <w:numPr>
          <w:ilvl w:val="0"/>
          <w:numId w:val="14"/>
        </w:numPr>
        <w:spacing w:line="276" w:lineRule="auto"/>
        <w:ind w:left="450" w:hanging="270"/>
        <w:jc w:val="both"/>
        <w:rPr>
          <w:rFonts w:asciiTheme="minorHAnsi" w:eastAsia="MS Mincho" w:hAnsiTheme="minorHAnsi"/>
          <w:lang w:val="sq-AL"/>
        </w:rPr>
      </w:pPr>
      <w:r w:rsidRPr="00BB7F2F">
        <w:rPr>
          <w:rFonts w:asciiTheme="minorHAnsi" w:eastAsia="MS Mincho" w:hAnsiTheme="minorHAnsi"/>
          <w:lang w:val="sq-AL"/>
        </w:rPr>
        <w:t xml:space="preserve">“Muze të mirëmbajtura dhe të vizitueshëm nga publiku ” me një kosto faktike prej 45.9 milion lekë, ku: </w:t>
      </w:r>
    </w:p>
    <w:p w:rsidR="006308E8" w:rsidRPr="00BB7F2F" w:rsidRDefault="006308E8" w:rsidP="00503465">
      <w:pPr>
        <w:numPr>
          <w:ilvl w:val="1"/>
          <w:numId w:val="16"/>
        </w:numPr>
        <w:spacing w:line="276" w:lineRule="auto"/>
        <w:ind w:left="900"/>
        <w:jc w:val="both"/>
        <w:rPr>
          <w:rFonts w:asciiTheme="minorHAnsi" w:eastAsia="MS Mincho" w:hAnsiTheme="minorHAnsi"/>
          <w:lang w:val="sq-AL"/>
        </w:rPr>
      </w:pPr>
      <w:r w:rsidRPr="00BB7F2F">
        <w:rPr>
          <w:rFonts w:asciiTheme="minorHAnsi" w:eastAsia="MS Mincho" w:hAnsiTheme="minorHAnsi"/>
          <w:lang w:val="sq-AL"/>
        </w:rPr>
        <w:t>Muzeu Kombëtar i Fotografisë “Marubi”, gjatë 4 mujorit të parë ka vijuar me aktivitete dhe promovime on-line të cilat kanë shënuar një rritje të aksesit të vizitorëve edhe në këtë mënyrë. Kryesisht është fokusuar në projektet e edukimit të cilat tashmë i ka të publikuara dhe lancuara në faqet zyrtare të këtij institucioni.</w:t>
      </w:r>
    </w:p>
    <w:p w:rsidR="006308E8" w:rsidRPr="00BB7F2F" w:rsidRDefault="006308E8" w:rsidP="00503465">
      <w:pPr>
        <w:numPr>
          <w:ilvl w:val="1"/>
          <w:numId w:val="16"/>
        </w:numPr>
        <w:spacing w:line="276" w:lineRule="auto"/>
        <w:ind w:left="900"/>
        <w:jc w:val="both"/>
        <w:rPr>
          <w:rFonts w:asciiTheme="minorHAnsi" w:eastAsia="MS Mincho" w:hAnsiTheme="minorHAnsi"/>
          <w:lang w:val="sq-AL"/>
        </w:rPr>
      </w:pPr>
      <w:r w:rsidRPr="00BB7F2F">
        <w:rPr>
          <w:rFonts w:asciiTheme="minorHAnsi" w:eastAsia="MS Mincho" w:hAnsiTheme="minorHAnsi"/>
          <w:lang w:val="sq-AL"/>
        </w:rPr>
        <w:t xml:space="preserve">Muzeu Historik Kombëtar, gjatë këtij 4 mujori, ka realizuar veprimtarinë e vet kryesisht ne formatin online për shkak të mbylljes së muzeve për publikun. Janë kryer një sërë restaurimesh të objekteve pjesë të muzeut. </w:t>
      </w:r>
    </w:p>
    <w:p w:rsidR="006308E8" w:rsidRPr="00BB7F2F" w:rsidRDefault="006308E8" w:rsidP="00503465">
      <w:pPr>
        <w:numPr>
          <w:ilvl w:val="1"/>
          <w:numId w:val="16"/>
        </w:numPr>
        <w:spacing w:line="276" w:lineRule="auto"/>
        <w:ind w:left="900"/>
        <w:jc w:val="both"/>
        <w:rPr>
          <w:rFonts w:asciiTheme="minorHAnsi" w:eastAsia="MS Mincho" w:hAnsiTheme="minorHAnsi"/>
          <w:lang w:val="sq-AL"/>
        </w:rPr>
      </w:pPr>
      <w:r w:rsidRPr="00BB7F2F">
        <w:rPr>
          <w:rFonts w:asciiTheme="minorHAnsi" w:eastAsia="MS Mincho" w:hAnsiTheme="minorHAnsi"/>
          <w:lang w:val="sq-AL"/>
        </w:rPr>
        <w:t xml:space="preserve">Muzeu kombëtar i Artit Mesjetar, Arsimit dhe Arkeologjik, Korçë, ka organizuar veprimtari qe janë lidhur me prritjen e vizitorëve dhe promovimin e vlerave të trashëgimisë që administrohen nga këta muze.   </w:t>
      </w:r>
    </w:p>
    <w:p w:rsidR="006308E8" w:rsidRPr="00BB7F2F" w:rsidRDefault="006308E8" w:rsidP="00503465">
      <w:pPr>
        <w:numPr>
          <w:ilvl w:val="1"/>
          <w:numId w:val="16"/>
        </w:numPr>
        <w:spacing w:line="276" w:lineRule="auto"/>
        <w:ind w:left="900"/>
        <w:jc w:val="both"/>
        <w:rPr>
          <w:rFonts w:asciiTheme="minorHAnsi" w:eastAsia="MS Mincho" w:hAnsiTheme="minorHAnsi"/>
          <w:lang w:val="sq-AL"/>
        </w:rPr>
      </w:pPr>
      <w:r w:rsidRPr="00BB7F2F">
        <w:rPr>
          <w:rFonts w:asciiTheme="minorHAnsi" w:eastAsia="MS Mincho" w:hAnsiTheme="minorHAnsi"/>
          <w:lang w:val="sq-AL"/>
        </w:rPr>
        <w:lastRenderedPageBreak/>
        <w:t xml:space="preserve">Qendra Kombëtare e Muzeumeve Berat ka kryer një sërë veprimtarish me karakter promovues dhe njëkohësisht dhe mirëmbajtje të objekteve muzeore. </w:t>
      </w:r>
    </w:p>
    <w:p w:rsidR="006308E8" w:rsidRPr="00BB7F2F" w:rsidRDefault="006308E8" w:rsidP="00503465">
      <w:pPr>
        <w:numPr>
          <w:ilvl w:val="1"/>
          <w:numId w:val="16"/>
        </w:numPr>
        <w:spacing w:line="276" w:lineRule="auto"/>
        <w:ind w:left="900"/>
        <w:jc w:val="both"/>
        <w:rPr>
          <w:rFonts w:asciiTheme="minorHAnsi" w:eastAsia="MS Mincho" w:hAnsiTheme="minorHAnsi"/>
          <w:lang w:val="sq-AL"/>
        </w:rPr>
      </w:pPr>
      <w:r w:rsidRPr="00BB7F2F">
        <w:rPr>
          <w:rFonts w:asciiTheme="minorHAnsi" w:eastAsia="MS Mincho" w:hAnsiTheme="minorHAnsi"/>
          <w:lang w:val="sq-AL"/>
        </w:rPr>
        <w:t>Muzeu Kombëtar Pavarësia Vlorë gjatë 4 mujorit të parë ka kryer një sërë aktivitetesh në përkujtim të figurave të shquara dhe ngjarjeve të rëndësishme histotiko-kulturore.</w:t>
      </w:r>
    </w:p>
    <w:p w:rsidR="006308E8" w:rsidRPr="00BB7F2F" w:rsidRDefault="006308E8" w:rsidP="00503465">
      <w:pPr>
        <w:numPr>
          <w:ilvl w:val="1"/>
          <w:numId w:val="16"/>
        </w:numPr>
        <w:spacing w:line="276" w:lineRule="auto"/>
        <w:ind w:left="900"/>
        <w:jc w:val="both"/>
        <w:rPr>
          <w:rFonts w:asciiTheme="minorHAnsi" w:eastAsia="MS Mincho" w:hAnsiTheme="minorHAnsi"/>
          <w:lang w:val="sq-AL"/>
        </w:rPr>
      </w:pPr>
      <w:r w:rsidRPr="00BB7F2F">
        <w:rPr>
          <w:rFonts w:asciiTheme="minorHAnsi" w:eastAsia="MS Mincho" w:hAnsiTheme="minorHAnsi"/>
          <w:lang w:val="sq-AL"/>
        </w:rPr>
        <w:t>Muzeu Kombëtar “Gjethi” gjatë këtij 4 mujori është fokusuar në objektivat kryesore për promovimin e vlerave historiko-kulturore si dhe pritjen e vizitorëve si projektet” Kujtojmë për të mos harruar”, dhe “Mbresa” në bashkëpunim me shkollat e mesme të qytetit.</w:t>
      </w:r>
    </w:p>
    <w:p w:rsidR="006308E8" w:rsidRPr="00BB7F2F" w:rsidRDefault="006308E8" w:rsidP="00503465">
      <w:pPr>
        <w:numPr>
          <w:ilvl w:val="1"/>
          <w:numId w:val="16"/>
        </w:numPr>
        <w:spacing w:line="276" w:lineRule="auto"/>
        <w:ind w:left="900"/>
        <w:jc w:val="both"/>
        <w:rPr>
          <w:rFonts w:asciiTheme="minorHAnsi" w:eastAsia="MS Mincho" w:hAnsiTheme="minorHAnsi"/>
          <w:lang w:val="sq-AL"/>
        </w:rPr>
      </w:pPr>
      <w:r w:rsidRPr="00BB7F2F">
        <w:rPr>
          <w:rFonts w:asciiTheme="minorHAnsi" w:eastAsia="MS Mincho" w:hAnsiTheme="minorHAnsi"/>
          <w:lang w:val="sq-AL"/>
        </w:rPr>
        <w:t xml:space="preserve"> Realizimi i punimeve restauruese të parqeve të Butrintit dhe Apolonisë.</w:t>
      </w:r>
    </w:p>
    <w:p w:rsidR="006308E8" w:rsidRPr="00BB7F2F" w:rsidRDefault="006308E8" w:rsidP="006308E8">
      <w:pPr>
        <w:spacing w:line="276" w:lineRule="auto"/>
        <w:ind w:left="1440"/>
        <w:jc w:val="both"/>
        <w:rPr>
          <w:rFonts w:asciiTheme="minorHAnsi" w:eastAsia="MS Mincho" w:hAnsiTheme="minorHAnsi"/>
          <w:lang w:val="sq-AL"/>
        </w:rPr>
      </w:pPr>
    </w:p>
    <w:p w:rsidR="006308E8" w:rsidRPr="00BB7F2F" w:rsidRDefault="006308E8" w:rsidP="00503465">
      <w:pPr>
        <w:numPr>
          <w:ilvl w:val="0"/>
          <w:numId w:val="14"/>
        </w:numPr>
        <w:spacing w:line="276" w:lineRule="auto"/>
        <w:ind w:left="450" w:hanging="270"/>
        <w:jc w:val="both"/>
        <w:rPr>
          <w:rFonts w:asciiTheme="minorHAnsi" w:eastAsia="MS Mincho" w:hAnsiTheme="minorHAnsi"/>
          <w:lang w:val="sq-AL"/>
        </w:rPr>
      </w:pPr>
      <w:r w:rsidRPr="00BB7F2F">
        <w:rPr>
          <w:rFonts w:asciiTheme="minorHAnsi" w:eastAsia="MS Mincho" w:hAnsiTheme="minorHAnsi"/>
          <w:lang w:val="sq-AL"/>
        </w:rPr>
        <w:t xml:space="preserve">“Aktivitete, të fushës së trashëgimisë jomateriale”, me nje kosto faktike prej 2.6 </w:t>
      </w:r>
      <w:r w:rsidR="00D25385">
        <w:rPr>
          <w:rFonts w:asciiTheme="minorHAnsi" w:eastAsia="MS Mincho" w:hAnsiTheme="minorHAnsi"/>
          <w:lang w:val="sq-AL"/>
        </w:rPr>
        <w:t>mln</w:t>
      </w:r>
      <w:r w:rsidRPr="00BB7F2F">
        <w:rPr>
          <w:rFonts w:asciiTheme="minorHAnsi" w:eastAsia="MS Mincho" w:hAnsiTheme="minorHAnsi"/>
          <w:lang w:val="sq-AL"/>
        </w:rPr>
        <w:t xml:space="preserve"> lekë.</w:t>
      </w:r>
    </w:p>
    <w:p w:rsidR="006308E8" w:rsidRPr="00BB7F2F" w:rsidRDefault="006308E8" w:rsidP="00503465">
      <w:pPr>
        <w:numPr>
          <w:ilvl w:val="1"/>
          <w:numId w:val="16"/>
        </w:numPr>
        <w:spacing w:line="276" w:lineRule="auto"/>
        <w:ind w:left="900"/>
        <w:jc w:val="both"/>
        <w:rPr>
          <w:rFonts w:asciiTheme="minorHAnsi" w:eastAsia="MS Mincho" w:hAnsiTheme="minorHAnsi"/>
          <w:lang w:val="sq-AL"/>
        </w:rPr>
      </w:pPr>
      <w:r w:rsidRPr="00BB7F2F">
        <w:rPr>
          <w:rFonts w:asciiTheme="minorHAnsi" w:eastAsia="MS Mincho" w:hAnsiTheme="minorHAnsi"/>
          <w:lang w:val="sq-AL"/>
        </w:rPr>
        <w:t>Projektet me thirrje për vitin 2020 të trashëgimisë jo materiale janë perzgjedhur 45 gjatë fazës së parë në shkurt 2020. Me shpalljen e pandemise nuk vazhduan procedurat e tjera për përzgjedhjen e fituesve.</w:t>
      </w:r>
    </w:p>
    <w:p w:rsidR="006308E8" w:rsidRPr="00BB7F2F" w:rsidRDefault="006308E8" w:rsidP="00503465">
      <w:pPr>
        <w:numPr>
          <w:ilvl w:val="1"/>
          <w:numId w:val="16"/>
        </w:numPr>
        <w:spacing w:line="276" w:lineRule="auto"/>
        <w:ind w:left="900"/>
        <w:jc w:val="both"/>
        <w:rPr>
          <w:rFonts w:asciiTheme="minorHAnsi" w:eastAsia="MS Mincho" w:hAnsiTheme="minorHAnsi"/>
          <w:lang w:val="sq-AL"/>
        </w:rPr>
      </w:pPr>
      <w:r w:rsidRPr="00BB7F2F">
        <w:rPr>
          <w:rFonts w:asciiTheme="minorHAnsi" w:eastAsia="MS Mincho" w:hAnsiTheme="minorHAnsi"/>
          <w:lang w:val="sq-AL"/>
        </w:rPr>
        <w:t xml:space="preserve"> “Trashëgimia materiale e jomateriale e inventarizuar”, me një kosto faktike prej 2.2 milion lekë. Gjatë 4 mujorit të parë të vitit 2020 rezultojnë të regjistruara në bazën e të dhënave shtetërore “Regjistri Kombëtar i Pasurive Kulturore gjithsej 23 308 objekte nga të cilat 23 087 objekte në pronësi shtetërore dhe 221 objekte në pronësi private.</w:t>
      </w:r>
    </w:p>
    <w:p w:rsidR="006308E8" w:rsidRPr="00BB7F2F" w:rsidRDefault="006308E8" w:rsidP="006308E8">
      <w:pPr>
        <w:spacing w:before="240" w:line="276" w:lineRule="auto"/>
        <w:jc w:val="both"/>
        <w:rPr>
          <w:rFonts w:asciiTheme="minorHAnsi" w:eastAsia="MS Mincho" w:hAnsiTheme="minorHAnsi"/>
          <w:lang w:val="sq-AL"/>
        </w:rPr>
      </w:pPr>
      <w:r w:rsidRPr="00BB7F2F">
        <w:rPr>
          <w:rFonts w:asciiTheme="minorHAnsi" w:eastAsia="MS Mincho" w:hAnsiTheme="minorHAnsi"/>
          <w:lang w:val="sq-AL"/>
        </w:rPr>
        <w:t>Programi</w:t>
      </w:r>
      <w:r w:rsidRPr="00BB7F2F">
        <w:rPr>
          <w:rFonts w:asciiTheme="minorHAnsi" w:eastAsia="MS Mincho" w:hAnsiTheme="minorHAnsi"/>
          <w:b/>
          <w:lang w:val="sq-AL"/>
        </w:rPr>
        <w:t xml:space="preserve"> “Arti dhe Kultura”</w:t>
      </w:r>
      <w:r w:rsidRPr="00BB7F2F">
        <w:rPr>
          <w:rFonts w:asciiTheme="minorHAnsi" w:eastAsia="MS Mincho" w:hAnsiTheme="minorHAnsi"/>
          <w:lang w:val="sq-AL"/>
        </w:rPr>
        <w:t xml:space="preserve"> ka qëllim edukimin, zhvillimin dhe promovimin e skenës artistike dhe vlerave kulturore kombëtare dhe ka objektiv rritjen e interesit të publikut ndaj programeve kulturore përmes përmirësimit të shërbimeve në infrastrukturë si dhe rritjen e cilësisë artistike. </w:t>
      </w:r>
    </w:p>
    <w:p w:rsidR="006308E8" w:rsidRPr="00BB7F2F" w:rsidRDefault="006308E8" w:rsidP="00503465">
      <w:pPr>
        <w:numPr>
          <w:ilvl w:val="0"/>
          <w:numId w:val="14"/>
        </w:numPr>
        <w:spacing w:line="276" w:lineRule="auto"/>
        <w:ind w:left="450" w:hanging="270"/>
        <w:jc w:val="both"/>
        <w:rPr>
          <w:rFonts w:asciiTheme="minorHAnsi" w:eastAsia="MS Mincho" w:hAnsiTheme="minorHAnsi"/>
          <w:lang w:val="sq-AL"/>
        </w:rPr>
      </w:pPr>
      <w:r w:rsidRPr="00BB7F2F">
        <w:rPr>
          <w:rFonts w:asciiTheme="minorHAnsi" w:eastAsia="MS Mincho" w:hAnsiTheme="minorHAnsi"/>
          <w:lang w:val="sq-AL"/>
        </w:rPr>
        <w:t>“Investime të reja në skenat bashkëkohore”, përfshihen ndërtime e rikonstruksione në institucionet e artit dhe kulturës, ku përmendim “Rikonstruksionin e Teatrit të Operas dhe Baletit, që është në perfundim procesi.</w:t>
      </w:r>
    </w:p>
    <w:p w:rsidR="006308E8" w:rsidRPr="00BB7F2F" w:rsidRDefault="006308E8" w:rsidP="00503465">
      <w:pPr>
        <w:numPr>
          <w:ilvl w:val="0"/>
          <w:numId w:val="14"/>
        </w:numPr>
        <w:spacing w:line="276" w:lineRule="auto"/>
        <w:ind w:left="450" w:hanging="270"/>
        <w:jc w:val="both"/>
        <w:rPr>
          <w:rFonts w:asciiTheme="minorHAnsi" w:eastAsia="MS Mincho" w:hAnsiTheme="minorHAnsi"/>
          <w:lang w:val="sq-AL"/>
        </w:rPr>
      </w:pPr>
      <w:r w:rsidRPr="00BB7F2F">
        <w:rPr>
          <w:rFonts w:asciiTheme="minorHAnsi" w:eastAsia="MS Mincho" w:hAnsiTheme="minorHAnsi"/>
          <w:lang w:val="sq-AL"/>
        </w:rPr>
        <w:t xml:space="preserve">Veprimtari të realizuara në institucionet e art-kulturës nga të cilat përmendim: </w:t>
      </w:r>
    </w:p>
    <w:p w:rsidR="006308E8" w:rsidRPr="00BB7F2F" w:rsidRDefault="006308E8" w:rsidP="00503465">
      <w:pPr>
        <w:numPr>
          <w:ilvl w:val="1"/>
          <w:numId w:val="16"/>
        </w:numPr>
        <w:spacing w:line="276" w:lineRule="auto"/>
        <w:ind w:left="900"/>
        <w:jc w:val="both"/>
        <w:rPr>
          <w:rFonts w:asciiTheme="minorHAnsi" w:eastAsia="MS Mincho" w:hAnsiTheme="minorHAnsi"/>
          <w:lang w:val="sq-AL"/>
        </w:rPr>
      </w:pPr>
      <w:r w:rsidRPr="00BB7F2F">
        <w:rPr>
          <w:rFonts w:asciiTheme="minorHAnsi" w:eastAsia="MS Mincho" w:hAnsiTheme="minorHAnsi"/>
          <w:lang w:val="sq-AL"/>
        </w:rPr>
        <w:t xml:space="preserve">‘Premiera dhe shfaqje artistike të zhanrit skenik operistik, koreografik dhe folklorik kombëtar”, 10 shfaqje me nje kosto faktike 86.6 milion lekë, </w:t>
      </w:r>
    </w:p>
    <w:p w:rsidR="006308E8" w:rsidRPr="00BB7F2F" w:rsidRDefault="006308E8" w:rsidP="00503465">
      <w:pPr>
        <w:numPr>
          <w:ilvl w:val="1"/>
          <w:numId w:val="16"/>
        </w:numPr>
        <w:spacing w:line="276" w:lineRule="auto"/>
        <w:ind w:left="900"/>
        <w:jc w:val="both"/>
        <w:rPr>
          <w:rFonts w:asciiTheme="minorHAnsi" w:eastAsia="MS Mincho" w:hAnsiTheme="minorHAnsi"/>
          <w:lang w:val="sq-AL"/>
        </w:rPr>
      </w:pPr>
      <w:r w:rsidRPr="00BB7F2F">
        <w:rPr>
          <w:rFonts w:asciiTheme="minorHAnsi" w:eastAsia="MS Mincho" w:hAnsiTheme="minorHAnsi"/>
          <w:lang w:val="sq-AL"/>
        </w:rPr>
        <w:t>“Premiera dhe shfaqjie artistike  të zhanrit skenik teatror klasik dhe bashkekohor” , 10 shfaqje me nje kosto faktike 28.9 milion lekë.</w:t>
      </w:r>
    </w:p>
    <w:p w:rsidR="006308E8" w:rsidRPr="00BB7F2F" w:rsidRDefault="006308E8" w:rsidP="00503465">
      <w:pPr>
        <w:numPr>
          <w:ilvl w:val="1"/>
          <w:numId w:val="16"/>
        </w:numPr>
        <w:spacing w:line="276" w:lineRule="auto"/>
        <w:ind w:left="900"/>
        <w:jc w:val="both"/>
        <w:rPr>
          <w:rFonts w:asciiTheme="minorHAnsi" w:eastAsia="MS Mincho" w:hAnsiTheme="minorHAnsi"/>
          <w:lang w:val="sq-AL"/>
        </w:rPr>
      </w:pPr>
      <w:r w:rsidRPr="00BB7F2F">
        <w:rPr>
          <w:rFonts w:asciiTheme="minorHAnsi" w:eastAsia="MS Mincho" w:hAnsiTheme="minorHAnsi"/>
          <w:lang w:val="sq-AL"/>
        </w:rPr>
        <w:t>“Premiera dhe shfaqje artistike të zhanrit skenik teatror eksperimental klasik dhe bashkekohor “, 10 shfaqje me një kosto faktike 11.1 milion leke</w:t>
      </w:r>
    </w:p>
    <w:p w:rsidR="006308E8" w:rsidRPr="00BB7F2F" w:rsidRDefault="006308E8" w:rsidP="00503465">
      <w:pPr>
        <w:numPr>
          <w:ilvl w:val="1"/>
          <w:numId w:val="16"/>
        </w:numPr>
        <w:spacing w:line="276" w:lineRule="auto"/>
        <w:ind w:left="900"/>
        <w:jc w:val="both"/>
        <w:rPr>
          <w:rFonts w:asciiTheme="minorHAnsi" w:eastAsia="MS Mincho" w:hAnsiTheme="minorHAnsi"/>
          <w:lang w:val="sq-AL"/>
        </w:rPr>
      </w:pPr>
      <w:r w:rsidRPr="00BB7F2F">
        <w:rPr>
          <w:rFonts w:asciiTheme="minorHAnsi" w:eastAsia="MS Mincho" w:hAnsiTheme="minorHAnsi"/>
          <w:lang w:val="sq-AL"/>
        </w:rPr>
        <w:t xml:space="preserve">“Aktivitete me fokus promovimin e krijimtarisë letrare””, e cila përfshin 5 aktivitete me nje kosto faktike 1.2 milion lekë. </w:t>
      </w:r>
    </w:p>
    <w:p w:rsidR="00EA3EDD" w:rsidRPr="00BB7F2F" w:rsidRDefault="00EA3EDD" w:rsidP="007030D4">
      <w:pPr>
        <w:spacing w:line="276" w:lineRule="auto"/>
        <w:jc w:val="both"/>
        <w:rPr>
          <w:rFonts w:asciiTheme="minorHAnsi" w:eastAsia="MS Mincho" w:hAnsiTheme="minorHAnsi"/>
          <w:lang w:val="sq-AL"/>
        </w:rPr>
      </w:pPr>
    </w:p>
    <w:p w:rsidR="006308E8" w:rsidRPr="00BB7F2F" w:rsidRDefault="006308E8" w:rsidP="006308E8">
      <w:pPr>
        <w:spacing w:before="120" w:after="120" w:line="276" w:lineRule="auto"/>
        <w:jc w:val="both"/>
        <w:rPr>
          <w:rFonts w:asciiTheme="minorHAnsi" w:hAnsiTheme="minorHAnsi"/>
          <w:b/>
          <w:noProof/>
          <w:color w:val="0070C0"/>
          <w:lang w:val="sq-AL"/>
        </w:rPr>
      </w:pPr>
      <w:bookmarkStart w:id="191" w:name="_Toc10033300"/>
      <w:bookmarkStart w:id="192" w:name="_Toc10721436"/>
      <w:bookmarkStart w:id="193" w:name="_Toc11134236"/>
      <w:r w:rsidRPr="00BB7F2F">
        <w:rPr>
          <w:rFonts w:asciiTheme="minorHAnsi" w:hAnsiTheme="minorHAnsi"/>
          <w:b/>
          <w:noProof/>
          <w:color w:val="0070C0"/>
          <w:lang w:val="sq-AL"/>
        </w:rPr>
        <w:t>POLITIKA E JASHTME</w:t>
      </w:r>
      <w:bookmarkEnd w:id="191"/>
      <w:bookmarkEnd w:id="192"/>
      <w:bookmarkEnd w:id="193"/>
    </w:p>
    <w:p w:rsidR="006308E8" w:rsidRDefault="006308E8" w:rsidP="006308E8">
      <w:pPr>
        <w:spacing w:line="276" w:lineRule="auto"/>
        <w:jc w:val="both"/>
        <w:rPr>
          <w:rFonts w:asciiTheme="minorHAnsi" w:hAnsiTheme="minorHAnsi"/>
          <w:color w:val="000000"/>
          <w:lang w:val="sq-AL"/>
        </w:rPr>
      </w:pPr>
      <w:r w:rsidRPr="00BB7F2F">
        <w:rPr>
          <w:rFonts w:asciiTheme="minorHAnsi" w:eastAsia="MS Mincho" w:hAnsiTheme="minorHAnsi"/>
          <w:lang w:val="sq-AL"/>
        </w:rPr>
        <w:t xml:space="preserve">Ministria për Evropën dhe Punët e Jashtme është institucioni përgjegjës për hartimin dhe zbatimin e politikës së jashtme të Republikës së Shqipërisë, drejtimin teknik dhe bashkërendimin e procesit të integrimit të Republikës së Shqipërisë në Bashkimin Evropian, zhvillimit dhe fuqizimit të diplomacisë ekonomike si dhe bashkërendimin e ndihmave financiare nga Bashkimi Evropian. </w:t>
      </w:r>
      <w:r w:rsidRPr="00BB7F2F">
        <w:rPr>
          <w:rFonts w:asciiTheme="minorHAnsi" w:hAnsiTheme="minorHAnsi"/>
          <w:color w:val="000000"/>
          <w:lang w:val="sq-AL"/>
        </w:rPr>
        <w:t>Performanca e treguesve buxhetorë për katër programet në Ministrinë për Evropën dhe Punët e Jashtme paraqitet si më poshtë:</w:t>
      </w:r>
    </w:p>
    <w:p w:rsidR="00EA3EDD" w:rsidRDefault="00524EBF" w:rsidP="00524EBF">
      <w:pPr>
        <w:pStyle w:val="Caption"/>
        <w:spacing w:after="0"/>
        <w:rPr>
          <w:rFonts w:asciiTheme="minorHAnsi" w:hAnsiTheme="minorHAnsi"/>
          <w:i/>
          <w:color w:val="000000"/>
          <w:sz w:val="22"/>
          <w:lang w:val="sq-AL"/>
        </w:rPr>
      </w:pPr>
      <w:bookmarkStart w:id="194" w:name="_Toc44404440"/>
      <w:r w:rsidRPr="00524EBF">
        <w:rPr>
          <w:rFonts w:asciiTheme="minorHAnsi" w:hAnsiTheme="minorHAnsi"/>
          <w:b w:val="0"/>
          <w:bCs w:val="0"/>
          <w:i/>
          <w:noProof/>
          <w:color w:val="auto"/>
          <w:sz w:val="24"/>
          <w:szCs w:val="24"/>
        </w:rPr>
        <w:lastRenderedPageBreak/>
        <w:t xml:space="preserve">Tabela </w:t>
      </w:r>
      <w:r w:rsidRPr="00524EBF">
        <w:rPr>
          <w:rFonts w:asciiTheme="minorHAnsi" w:hAnsiTheme="minorHAnsi"/>
          <w:b w:val="0"/>
          <w:bCs w:val="0"/>
          <w:i/>
          <w:noProof/>
          <w:color w:val="auto"/>
          <w:sz w:val="24"/>
          <w:szCs w:val="24"/>
        </w:rPr>
        <w:fldChar w:fldCharType="begin"/>
      </w:r>
      <w:r w:rsidRPr="00524EBF">
        <w:rPr>
          <w:rFonts w:asciiTheme="minorHAnsi" w:hAnsiTheme="minorHAnsi"/>
          <w:b w:val="0"/>
          <w:bCs w:val="0"/>
          <w:i/>
          <w:noProof/>
          <w:color w:val="auto"/>
          <w:sz w:val="24"/>
          <w:szCs w:val="24"/>
        </w:rPr>
        <w:instrText xml:space="preserve"> SEQ Tabela \* ARABIC </w:instrText>
      </w:r>
      <w:r w:rsidRPr="00524EBF">
        <w:rPr>
          <w:rFonts w:asciiTheme="minorHAnsi" w:hAnsiTheme="minorHAnsi"/>
          <w:b w:val="0"/>
          <w:bCs w:val="0"/>
          <w:i/>
          <w:noProof/>
          <w:color w:val="auto"/>
          <w:sz w:val="24"/>
          <w:szCs w:val="24"/>
        </w:rPr>
        <w:fldChar w:fldCharType="separate"/>
      </w:r>
      <w:r w:rsidR="00C342E2">
        <w:rPr>
          <w:rFonts w:asciiTheme="minorHAnsi" w:hAnsiTheme="minorHAnsi"/>
          <w:b w:val="0"/>
          <w:bCs w:val="0"/>
          <w:i/>
          <w:noProof/>
          <w:color w:val="auto"/>
          <w:sz w:val="24"/>
          <w:szCs w:val="24"/>
        </w:rPr>
        <w:t>39</w:t>
      </w:r>
      <w:r w:rsidRPr="00524EBF">
        <w:rPr>
          <w:rFonts w:asciiTheme="minorHAnsi" w:hAnsiTheme="minorHAnsi"/>
          <w:b w:val="0"/>
          <w:bCs w:val="0"/>
          <w:i/>
          <w:noProof/>
          <w:color w:val="auto"/>
          <w:sz w:val="24"/>
          <w:szCs w:val="24"/>
        </w:rPr>
        <w:fldChar w:fldCharType="end"/>
      </w:r>
      <w:r w:rsidRPr="00524EBF">
        <w:rPr>
          <w:rFonts w:asciiTheme="minorHAnsi" w:hAnsiTheme="minorHAnsi"/>
          <w:b w:val="0"/>
          <w:bCs w:val="0"/>
          <w:i/>
          <w:noProof/>
          <w:color w:val="auto"/>
          <w:sz w:val="24"/>
          <w:szCs w:val="24"/>
        </w:rPr>
        <w:t>: Politika e Jashtme</w:t>
      </w:r>
      <w:bookmarkEnd w:id="194"/>
      <w:r w:rsidR="006308E8" w:rsidRPr="00D25385">
        <w:rPr>
          <w:rFonts w:asciiTheme="minorHAnsi" w:hAnsiTheme="minorHAnsi"/>
          <w:i/>
          <w:color w:val="000000"/>
          <w:sz w:val="22"/>
          <w:lang w:val="sq-AL"/>
        </w:rPr>
        <w:t xml:space="preserve">                                          </w:t>
      </w:r>
    </w:p>
    <w:p w:rsidR="006308E8" w:rsidRPr="00D25385" w:rsidRDefault="006308E8" w:rsidP="007030D4">
      <w:pPr>
        <w:spacing w:line="276" w:lineRule="auto"/>
        <w:ind w:left="2880" w:firstLine="720"/>
        <w:jc w:val="right"/>
        <w:rPr>
          <w:rFonts w:asciiTheme="minorHAnsi" w:hAnsiTheme="minorHAnsi"/>
          <w:i/>
          <w:color w:val="000000"/>
          <w:sz w:val="22"/>
          <w:lang w:val="sq-AL"/>
        </w:rPr>
      </w:pPr>
      <w:r w:rsidRPr="00D25385">
        <w:rPr>
          <w:rFonts w:asciiTheme="minorHAnsi" w:hAnsiTheme="minorHAnsi"/>
          <w:i/>
          <w:color w:val="000000"/>
          <w:sz w:val="22"/>
          <w:lang w:val="sq-AL"/>
        </w:rPr>
        <w:t>Në mijë lekë</w:t>
      </w:r>
    </w:p>
    <w:tbl>
      <w:tblPr>
        <w:tblStyle w:val="ListTable3-Accent523"/>
        <w:tblW w:w="0" w:type="auto"/>
        <w:jc w:val="center"/>
        <w:tblLook w:val="0000" w:firstRow="0" w:lastRow="0" w:firstColumn="0" w:lastColumn="0" w:noHBand="0" w:noVBand="0"/>
      </w:tblPr>
      <w:tblGrid>
        <w:gridCol w:w="436"/>
        <w:gridCol w:w="3829"/>
        <w:gridCol w:w="948"/>
        <w:gridCol w:w="952"/>
        <w:gridCol w:w="880"/>
        <w:gridCol w:w="952"/>
        <w:gridCol w:w="888"/>
        <w:gridCol w:w="961"/>
      </w:tblGrid>
      <w:tr w:rsidR="006308E8" w:rsidRPr="00D25385" w:rsidTr="00D25385">
        <w:trPr>
          <w:cnfStyle w:val="000000100000" w:firstRow="0" w:lastRow="0" w:firstColumn="0" w:lastColumn="0" w:oddVBand="0" w:evenVBand="0" w:oddHBand="1" w:evenHBand="0" w:firstRowFirstColumn="0" w:firstRowLastColumn="0" w:lastRowFirstColumn="0" w:lastRowLastColumn="0"/>
          <w:trHeight w:val="164"/>
          <w:jc w:val="center"/>
        </w:trPr>
        <w:tc>
          <w:tcPr>
            <w:cnfStyle w:val="000010000000" w:firstRow="0" w:lastRow="0" w:firstColumn="0" w:lastColumn="0" w:oddVBand="1" w:evenVBand="0" w:oddHBand="0" w:evenHBand="0" w:firstRowFirstColumn="0" w:firstRowLastColumn="0" w:lastRowFirstColumn="0" w:lastRowLastColumn="0"/>
            <w:tcW w:w="0" w:type="auto"/>
            <w:vMerge w:val="restart"/>
            <w:shd w:val="clear" w:color="auto" w:fill="B6DDE8" w:themeFill="accent5" w:themeFillTint="66"/>
          </w:tcPr>
          <w:p w:rsidR="006308E8" w:rsidRPr="00D25385" w:rsidRDefault="006308E8" w:rsidP="00121650">
            <w:pPr>
              <w:spacing w:line="276" w:lineRule="auto"/>
              <w:jc w:val="both"/>
              <w:rPr>
                <w:rFonts w:asciiTheme="minorHAnsi" w:hAnsiTheme="minorHAnsi"/>
                <w:b/>
                <w:bCs/>
                <w:sz w:val="18"/>
                <w:szCs w:val="16"/>
                <w:lang w:val="sq-AL"/>
              </w:rPr>
            </w:pPr>
          </w:p>
          <w:p w:rsidR="006308E8" w:rsidRPr="00D25385" w:rsidRDefault="006308E8" w:rsidP="00121650">
            <w:pPr>
              <w:spacing w:line="276" w:lineRule="auto"/>
              <w:jc w:val="both"/>
              <w:rPr>
                <w:rFonts w:asciiTheme="minorHAnsi" w:hAnsiTheme="minorHAnsi"/>
                <w:b/>
                <w:bCs/>
                <w:sz w:val="18"/>
                <w:szCs w:val="16"/>
                <w:lang w:val="sq-AL"/>
              </w:rPr>
            </w:pPr>
            <w:r w:rsidRPr="00D25385">
              <w:rPr>
                <w:rFonts w:asciiTheme="minorHAnsi" w:hAnsiTheme="minorHAnsi"/>
                <w:b/>
                <w:bCs/>
                <w:sz w:val="18"/>
                <w:szCs w:val="16"/>
                <w:lang w:val="sq-AL"/>
              </w:rPr>
              <w:t>NR</w:t>
            </w:r>
          </w:p>
        </w:tc>
        <w:tc>
          <w:tcPr>
            <w:tcW w:w="0" w:type="auto"/>
            <w:vMerge w:val="restart"/>
            <w:shd w:val="clear" w:color="auto" w:fill="B6DDE8" w:themeFill="accent5" w:themeFillTint="66"/>
          </w:tcPr>
          <w:p w:rsidR="006308E8" w:rsidRPr="00D25385" w:rsidRDefault="006308E8" w:rsidP="00121650">
            <w:pPr>
              <w:spacing w:line="276" w:lineRule="auto"/>
              <w:jc w:val="both"/>
              <w:cnfStyle w:val="000000100000" w:firstRow="0" w:lastRow="0" w:firstColumn="0" w:lastColumn="0" w:oddVBand="0" w:evenVBand="0" w:oddHBand="1" w:evenHBand="0" w:firstRowFirstColumn="0" w:firstRowLastColumn="0" w:lastRowFirstColumn="0" w:lastRowLastColumn="0"/>
              <w:rPr>
                <w:rFonts w:asciiTheme="minorHAnsi" w:hAnsiTheme="minorHAnsi"/>
                <w:b/>
                <w:bCs/>
                <w:sz w:val="18"/>
                <w:szCs w:val="16"/>
                <w:lang w:val="sq-AL"/>
              </w:rPr>
            </w:pPr>
          </w:p>
          <w:p w:rsidR="006308E8" w:rsidRPr="00D25385" w:rsidRDefault="006308E8" w:rsidP="00121650">
            <w:pPr>
              <w:spacing w:line="276"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b/>
                <w:bCs/>
                <w:sz w:val="18"/>
                <w:szCs w:val="16"/>
                <w:lang w:val="sq-AL"/>
              </w:rPr>
            </w:pPr>
            <w:r w:rsidRPr="00D25385">
              <w:rPr>
                <w:rFonts w:asciiTheme="minorHAnsi" w:hAnsiTheme="minorHAnsi"/>
                <w:b/>
                <w:bCs/>
                <w:sz w:val="18"/>
                <w:szCs w:val="16"/>
                <w:lang w:val="sq-AL"/>
              </w:rPr>
              <w:t>Emërtimi i Programit</w:t>
            </w:r>
          </w:p>
        </w:tc>
        <w:tc>
          <w:tcPr>
            <w:cnfStyle w:val="000010000000" w:firstRow="0" w:lastRow="0" w:firstColumn="0" w:lastColumn="0" w:oddVBand="1" w:evenVBand="0" w:oddHBand="0" w:evenHBand="0" w:firstRowFirstColumn="0" w:firstRowLastColumn="0" w:lastRowFirstColumn="0" w:lastRowLastColumn="0"/>
            <w:tcW w:w="0" w:type="auto"/>
            <w:gridSpan w:val="2"/>
            <w:shd w:val="clear" w:color="auto" w:fill="B6DDE8" w:themeFill="accent5" w:themeFillTint="66"/>
          </w:tcPr>
          <w:p w:rsidR="006308E8" w:rsidRPr="00D25385" w:rsidRDefault="006308E8" w:rsidP="00121650">
            <w:pPr>
              <w:spacing w:line="276" w:lineRule="auto"/>
              <w:jc w:val="center"/>
              <w:rPr>
                <w:rFonts w:asciiTheme="minorHAnsi" w:hAnsiTheme="minorHAnsi"/>
                <w:b/>
                <w:bCs/>
                <w:sz w:val="18"/>
                <w:szCs w:val="16"/>
                <w:lang w:val="sq-AL"/>
              </w:rPr>
            </w:pPr>
            <w:r w:rsidRPr="00D25385">
              <w:rPr>
                <w:rFonts w:asciiTheme="minorHAnsi" w:hAnsiTheme="minorHAnsi"/>
                <w:b/>
                <w:bCs/>
                <w:sz w:val="18"/>
                <w:szCs w:val="16"/>
                <w:lang w:val="sq-AL"/>
              </w:rPr>
              <w:t>Plani 2020</w:t>
            </w:r>
          </w:p>
        </w:tc>
        <w:tc>
          <w:tcPr>
            <w:tcW w:w="0" w:type="auto"/>
            <w:gridSpan w:val="2"/>
            <w:shd w:val="clear" w:color="auto" w:fill="B6DDE8" w:themeFill="accent5" w:themeFillTint="66"/>
          </w:tcPr>
          <w:p w:rsidR="006308E8" w:rsidRPr="00D25385" w:rsidRDefault="006308E8" w:rsidP="00121650">
            <w:pPr>
              <w:spacing w:line="276"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b/>
                <w:bCs/>
                <w:sz w:val="18"/>
                <w:szCs w:val="16"/>
                <w:lang w:val="sq-AL"/>
              </w:rPr>
            </w:pPr>
            <w:r w:rsidRPr="00D25385">
              <w:rPr>
                <w:rFonts w:asciiTheme="minorHAnsi" w:hAnsiTheme="minorHAnsi"/>
                <w:b/>
                <w:bCs/>
                <w:sz w:val="18"/>
                <w:szCs w:val="16"/>
                <w:lang w:val="sq-AL"/>
              </w:rPr>
              <w:t>Fakti 4 M 2020</w:t>
            </w:r>
          </w:p>
        </w:tc>
        <w:tc>
          <w:tcPr>
            <w:cnfStyle w:val="000010000000" w:firstRow="0" w:lastRow="0" w:firstColumn="0" w:lastColumn="0" w:oddVBand="1" w:evenVBand="0" w:oddHBand="0" w:evenHBand="0" w:firstRowFirstColumn="0" w:firstRowLastColumn="0" w:lastRowFirstColumn="0" w:lastRowLastColumn="0"/>
            <w:tcW w:w="0" w:type="auto"/>
            <w:gridSpan w:val="2"/>
            <w:shd w:val="clear" w:color="auto" w:fill="B6DDE8" w:themeFill="accent5" w:themeFillTint="66"/>
          </w:tcPr>
          <w:p w:rsidR="006308E8" w:rsidRPr="00D25385" w:rsidRDefault="006308E8" w:rsidP="00121650">
            <w:pPr>
              <w:spacing w:line="276" w:lineRule="auto"/>
              <w:jc w:val="center"/>
              <w:rPr>
                <w:rFonts w:asciiTheme="minorHAnsi" w:hAnsiTheme="minorHAnsi"/>
                <w:b/>
                <w:bCs/>
                <w:sz w:val="18"/>
                <w:szCs w:val="16"/>
                <w:lang w:val="sq-AL"/>
              </w:rPr>
            </w:pPr>
            <w:r w:rsidRPr="00D25385">
              <w:rPr>
                <w:rFonts w:asciiTheme="minorHAnsi" w:hAnsiTheme="minorHAnsi"/>
                <w:b/>
                <w:bCs/>
                <w:sz w:val="18"/>
                <w:szCs w:val="16"/>
                <w:lang w:val="sq-AL"/>
              </w:rPr>
              <w:t>Përqindja  e realizimit</w:t>
            </w:r>
          </w:p>
        </w:tc>
      </w:tr>
      <w:tr w:rsidR="006308E8" w:rsidRPr="00D25385" w:rsidTr="00D25385">
        <w:trPr>
          <w:trHeight w:val="153"/>
          <w:jc w:val="center"/>
        </w:trPr>
        <w:tc>
          <w:tcPr>
            <w:cnfStyle w:val="000010000000" w:firstRow="0" w:lastRow="0" w:firstColumn="0" w:lastColumn="0" w:oddVBand="1" w:evenVBand="0" w:oddHBand="0" w:evenHBand="0" w:firstRowFirstColumn="0" w:firstRowLastColumn="0" w:lastRowFirstColumn="0" w:lastRowLastColumn="0"/>
            <w:tcW w:w="0" w:type="auto"/>
            <w:vMerge/>
            <w:shd w:val="clear" w:color="auto" w:fill="B6DDE8" w:themeFill="accent5" w:themeFillTint="66"/>
          </w:tcPr>
          <w:p w:rsidR="006308E8" w:rsidRPr="00D25385" w:rsidRDefault="006308E8" w:rsidP="00121650">
            <w:pPr>
              <w:spacing w:line="276" w:lineRule="auto"/>
              <w:jc w:val="both"/>
              <w:rPr>
                <w:rFonts w:asciiTheme="minorHAnsi" w:hAnsiTheme="minorHAnsi"/>
                <w:color w:val="FF0000"/>
                <w:sz w:val="18"/>
                <w:szCs w:val="16"/>
                <w:lang w:val="sq-AL"/>
              </w:rPr>
            </w:pPr>
          </w:p>
        </w:tc>
        <w:tc>
          <w:tcPr>
            <w:tcW w:w="0" w:type="auto"/>
            <w:vMerge/>
            <w:shd w:val="clear" w:color="auto" w:fill="B6DDE8" w:themeFill="accent5" w:themeFillTint="66"/>
          </w:tcPr>
          <w:p w:rsidR="006308E8" w:rsidRPr="00D25385" w:rsidRDefault="006308E8" w:rsidP="00121650">
            <w:pPr>
              <w:spacing w:line="276" w:lineRule="auto"/>
              <w:jc w:val="both"/>
              <w:cnfStyle w:val="000000000000" w:firstRow="0" w:lastRow="0" w:firstColumn="0" w:lastColumn="0" w:oddVBand="0" w:evenVBand="0" w:oddHBand="0" w:evenHBand="0" w:firstRowFirstColumn="0" w:firstRowLastColumn="0" w:lastRowFirstColumn="0" w:lastRowLastColumn="0"/>
              <w:rPr>
                <w:rFonts w:asciiTheme="minorHAnsi" w:hAnsiTheme="minorHAnsi"/>
                <w:color w:val="FF0000"/>
                <w:sz w:val="18"/>
                <w:szCs w:val="16"/>
                <w:lang w:val="sq-AL"/>
              </w:rPr>
            </w:pPr>
          </w:p>
        </w:tc>
        <w:tc>
          <w:tcPr>
            <w:cnfStyle w:val="000010000000" w:firstRow="0" w:lastRow="0" w:firstColumn="0" w:lastColumn="0" w:oddVBand="1" w:evenVBand="0" w:oddHBand="0" w:evenHBand="0" w:firstRowFirstColumn="0" w:firstRowLastColumn="0" w:lastRowFirstColumn="0" w:lastRowLastColumn="0"/>
            <w:tcW w:w="0" w:type="auto"/>
            <w:shd w:val="clear" w:color="auto" w:fill="B6DDE8" w:themeFill="accent5" w:themeFillTint="66"/>
          </w:tcPr>
          <w:p w:rsidR="006308E8" w:rsidRPr="00D25385" w:rsidRDefault="006308E8" w:rsidP="00121650">
            <w:pPr>
              <w:spacing w:line="276" w:lineRule="auto"/>
              <w:jc w:val="center"/>
              <w:rPr>
                <w:rFonts w:asciiTheme="minorHAnsi" w:hAnsiTheme="minorHAnsi"/>
                <w:b/>
                <w:bCs/>
                <w:sz w:val="18"/>
                <w:szCs w:val="16"/>
                <w:lang w:val="sq-AL"/>
              </w:rPr>
            </w:pPr>
            <w:r w:rsidRPr="00D25385">
              <w:rPr>
                <w:rFonts w:asciiTheme="minorHAnsi" w:hAnsiTheme="minorHAnsi"/>
                <w:b/>
                <w:bCs/>
                <w:sz w:val="18"/>
                <w:szCs w:val="16"/>
                <w:lang w:val="sq-AL"/>
              </w:rPr>
              <w:t>Korrente</w:t>
            </w:r>
          </w:p>
        </w:tc>
        <w:tc>
          <w:tcPr>
            <w:tcW w:w="0" w:type="auto"/>
            <w:shd w:val="clear" w:color="auto" w:fill="B6DDE8" w:themeFill="accent5" w:themeFillTint="66"/>
          </w:tcPr>
          <w:p w:rsidR="006308E8" w:rsidRPr="00D25385" w:rsidRDefault="006308E8" w:rsidP="00121650">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b/>
                <w:bCs/>
                <w:sz w:val="18"/>
                <w:szCs w:val="16"/>
                <w:lang w:val="sq-AL"/>
              </w:rPr>
            </w:pPr>
            <w:r w:rsidRPr="00D25385">
              <w:rPr>
                <w:rFonts w:asciiTheme="minorHAnsi" w:hAnsiTheme="minorHAnsi"/>
                <w:b/>
                <w:bCs/>
                <w:sz w:val="18"/>
                <w:szCs w:val="16"/>
                <w:lang w:val="sq-AL"/>
              </w:rPr>
              <w:t>Investime</w:t>
            </w:r>
          </w:p>
        </w:tc>
        <w:tc>
          <w:tcPr>
            <w:cnfStyle w:val="000010000000" w:firstRow="0" w:lastRow="0" w:firstColumn="0" w:lastColumn="0" w:oddVBand="1" w:evenVBand="0" w:oddHBand="0" w:evenHBand="0" w:firstRowFirstColumn="0" w:firstRowLastColumn="0" w:lastRowFirstColumn="0" w:lastRowLastColumn="0"/>
            <w:tcW w:w="0" w:type="auto"/>
            <w:shd w:val="clear" w:color="auto" w:fill="B6DDE8" w:themeFill="accent5" w:themeFillTint="66"/>
          </w:tcPr>
          <w:p w:rsidR="006308E8" w:rsidRPr="00D25385" w:rsidRDefault="006308E8" w:rsidP="00121650">
            <w:pPr>
              <w:spacing w:line="276" w:lineRule="auto"/>
              <w:jc w:val="center"/>
              <w:rPr>
                <w:rFonts w:asciiTheme="minorHAnsi" w:hAnsiTheme="minorHAnsi"/>
                <w:b/>
                <w:bCs/>
                <w:sz w:val="18"/>
                <w:szCs w:val="16"/>
                <w:lang w:val="sq-AL"/>
              </w:rPr>
            </w:pPr>
            <w:r w:rsidRPr="00D25385">
              <w:rPr>
                <w:rFonts w:asciiTheme="minorHAnsi" w:hAnsiTheme="minorHAnsi"/>
                <w:b/>
                <w:bCs/>
                <w:sz w:val="18"/>
                <w:szCs w:val="16"/>
                <w:lang w:val="sq-AL"/>
              </w:rPr>
              <w:t>Korrente</w:t>
            </w:r>
          </w:p>
        </w:tc>
        <w:tc>
          <w:tcPr>
            <w:tcW w:w="0" w:type="auto"/>
            <w:shd w:val="clear" w:color="auto" w:fill="B6DDE8" w:themeFill="accent5" w:themeFillTint="66"/>
          </w:tcPr>
          <w:p w:rsidR="006308E8" w:rsidRPr="00D25385" w:rsidRDefault="006308E8" w:rsidP="00121650">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b/>
                <w:bCs/>
                <w:sz w:val="18"/>
                <w:szCs w:val="16"/>
                <w:lang w:val="sq-AL"/>
              </w:rPr>
            </w:pPr>
            <w:r w:rsidRPr="00D25385">
              <w:rPr>
                <w:rFonts w:asciiTheme="minorHAnsi" w:hAnsiTheme="minorHAnsi"/>
                <w:b/>
                <w:bCs/>
                <w:sz w:val="18"/>
                <w:szCs w:val="16"/>
                <w:lang w:val="sq-AL"/>
              </w:rPr>
              <w:t>Investime</w:t>
            </w:r>
          </w:p>
        </w:tc>
        <w:tc>
          <w:tcPr>
            <w:cnfStyle w:val="000010000000" w:firstRow="0" w:lastRow="0" w:firstColumn="0" w:lastColumn="0" w:oddVBand="1" w:evenVBand="0" w:oddHBand="0" w:evenHBand="0" w:firstRowFirstColumn="0" w:firstRowLastColumn="0" w:lastRowFirstColumn="0" w:lastRowLastColumn="0"/>
            <w:tcW w:w="0" w:type="auto"/>
            <w:shd w:val="clear" w:color="auto" w:fill="B6DDE8" w:themeFill="accent5" w:themeFillTint="66"/>
          </w:tcPr>
          <w:p w:rsidR="006308E8" w:rsidRPr="00D25385" w:rsidRDefault="006308E8" w:rsidP="00121650">
            <w:pPr>
              <w:spacing w:line="276" w:lineRule="auto"/>
              <w:jc w:val="center"/>
              <w:rPr>
                <w:rFonts w:asciiTheme="minorHAnsi" w:hAnsiTheme="minorHAnsi"/>
                <w:b/>
                <w:bCs/>
                <w:sz w:val="18"/>
                <w:szCs w:val="16"/>
                <w:lang w:val="sq-AL"/>
              </w:rPr>
            </w:pPr>
            <w:r w:rsidRPr="00D25385">
              <w:rPr>
                <w:rFonts w:asciiTheme="minorHAnsi" w:hAnsiTheme="minorHAnsi"/>
                <w:b/>
                <w:bCs/>
                <w:sz w:val="18"/>
                <w:szCs w:val="16"/>
                <w:lang w:val="sq-AL"/>
              </w:rPr>
              <w:t>Korrente</w:t>
            </w:r>
          </w:p>
        </w:tc>
        <w:tc>
          <w:tcPr>
            <w:tcW w:w="0" w:type="auto"/>
            <w:shd w:val="clear" w:color="auto" w:fill="B6DDE8" w:themeFill="accent5" w:themeFillTint="66"/>
          </w:tcPr>
          <w:p w:rsidR="006308E8" w:rsidRPr="00D25385" w:rsidRDefault="006308E8" w:rsidP="00121650">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b/>
                <w:bCs/>
                <w:sz w:val="18"/>
                <w:szCs w:val="16"/>
                <w:lang w:val="sq-AL"/>
              </w:rPr>
            </w:pPr>
            <w:r w:rsidRPr="00D25385">
              <w:rPr>
                <w:rFonts w:asciiTheme="minorHAnsi" w:hAnsiTheme="minorHAnsi"/>
                <w:b/>
                <w:bCs/>
                <w:sz w:val="18"/>
                <w:szCs w:val="16"/>
                <w:lang w:val="sq-AL"/>
              </w:rPr>
              <w:t>Investime</w:t>
            </w:r>
          </w:p>
        </w:tc>
      </w:tr>
      <w:tr w:rsidR="006308E8" w:rsidRPr="00D25385" w:rsidTr="00D25385">
        <w:trPr>
          <w:cnfStyle w:val="000000100000" w:firstRow="0" w:lastRow="0" w:firstColumn="0" w:lastColumn="0" w:oddVBand="0" w:evenVBand="0" w:oddHBand="1" w:evenHBand="0" w:firstRowFirstColumn="0" w:firstRowLastColumn="0" w:lastRowFirstColumn="0" w:lastRowLastColumn="0"/>
          <w:trHeight w:val="409"/>
          <w:jc w:val="center"/>
        </w:trPr>
        <w:tc>
          <w:tcPr>
            <w:cnfStyle w:val="000010000000" w:firstRow="0" w:lastRow="0" w:firstColumn="0" w:lastColumn="0" w:oddVBand="1" w:evenVBand="0" w:oddHBand="0" w:evenHBand="0" w:firstRowFirstColumn="0" w:firstRowLastColumn="0" w:lastRowFirstColumn="0" w:lastRowLastColumn="0"/>
            <w:tcW w:w="0" w:type="auto"/>
          </w:tcPr>
          <w:p w:rsidR="006308E8" w:rsidRPr="00D25385" w:rsidRDefault="006308E8" w:rsidP="00121650">
            <w:pPr>
              <w:spacing w:line="276" w:lineRule="auto"/>
              <w:jc w:val="both"/>
              <w:rPr>
                <w:rFonts w:asciiTheme="minorHAnsi" w:hAnsiTheme="minorHAnsi"/>
                <w:color w:val="FF0000"/>
                <w:sz w:val="18"/>
                <w:szCs w:val="16"/>
                <w:lang w:val="sq-AL"/>
              </w:rPr>
            </w:pPr>
            <w:r w:rsidRPr="00D25385">
              <w:rPr>
                <w:rFonts w:asciiTheme="minorHAnsi" w:hAnsiTheme="minorHAnsi"/>
                <w:sz w:val="18"/>
                <w:szCs w:val="16"/>
                <w:lang w:val="sq-AL"/>
              </w:rPr>
              <w:t>1.</w:t>
            </w:r>
          </w:p>
        </w:tc>
        <w:tc>
          <w:tcPr>
            <w:tcW w:w="0" w:type="auto"/>
          </w:tcPr>
          <w:p w:rsidR="006308E8" w:rsidRPr="00D25385" w:rsidRDefault="006308E8" w:rsidP="00121650">
            <w:pPr>
              <w:spacing w:line="276" w:lineRule="auto"/>
              <w:jc w:val="both"/>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16"/>
                <w:lang w:val="sq-AL"/>
              </w:rPr>
            </w:pPr>
            <w:r w:rsidRPr="00D25385">
              <w:rPr>
                <w:rFonts w:asciiTheme="minorHAnsi" w:hAnsiTheme="minorHAnsi"/>
                <w:sz w:val="18"/>
                <w:szCs w:val="16"/>
                <w:lang w:val="sq-AL"/>
              </w:rPr>
              <w:t>Planifikimi, Menaxhimi dhe Administrimi</w:t>
            </w:r>
          </w:p>
        </w:tc>
        <w:tc>
          <w:tcPr>
            <w:cnfStyle w:val="000010000000" w:firstRow="0" w:lastRow="0" w:firstColumn="0" w:lastColumn="0" w:oddVBand="1" w:evenVBand="0" w:oddHBand="0" w:evenHBand="0" w:firstRowFirstColumn="0" w:firstRowLastColumn="0" w:lastRowFirstColumn="0" w:lastRowLastColumn="0"/>
            <w:tcW w:w="0" w:type="auto"/>
          </w:tcPr>
          <w:p w:rsidR="006308E8" w:rsidRPr="00D25385" w:rsidRDefault="006308E8" w:rsidP="00121650">
            <w:pPr>
              <w:jc w:val="center"/>
              <w:rPr>
                <w:rFonts w:asciiTheme="minorHAnsi" w:hAnsiTheme="minorHAnsi"/>
                <w:sz w:val="18"/>
                <w:szCs w:val="16"/>
                <w:lang w:val="sq-AL"/>
              </w:rPr>
            </w:pPr>
            <w:r w:rsidRPr="00D25385">
              <w:rPr>
                <w:rFonts w:asciiTheme="minorHAnsi" w:hAnsiTheme="minorHAnsi"/>
                <w:sz w:val="18"/>
                <w:szCs w:val="16"/>
                <w:lang w:val="sq-AL"/>
              </w:rPr>
              <w:t>142,800</w:t>
            </w:r>
          </w:p>
        </w:tc>
        <w:tc>
          <w:tcPr>
            <w:tcW w:w="0" w:type="auto"/>
          </w:tcPr>
          <w:p w:rsidR="006308E8" w:rsidRPr="00D25385" w:rsidRDefault="006308E8" w:rsidP="00121650">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16"/>
                <w:lang w:val="sq-AL"/>
              </w:rPr>
            </w:pPr>
            <w:r w:rsidRPr="00D25385">
              <w:rPr>
                <w:rFonts w:asciiTheme="minorHAnsi" w:hAnsiTheme="minorHAnsi"/>
                <w:sz w:val="18"/>
                <w:szCs w:val="16"/>
                <w:lang w:val="sq-AL"/>
              </w:rPr>
              <w:t>2,000</w:t>
            </w:r>
          </w:p>
        </w:tc>
        <w:tc>
          <w:tcPr>
            <w:cnfStyle w:val="000010000000" w:firstRow="0" w:lastRow="0" w:firstColumn="0" w:lastColumn="0" w:oddVBand="1" w:evenVBand="0" w:oddHBand="0" w:evenHBand="0" w:firstRowFirstColumn="0" w:firstRowLastColumn="0" w:lastRowFirstColumn="0" w:lastRowLastColumn="0"/>
            <w:tcW w:w="0" w:type="auto"/>
          </w:tcPr>
          <w:p w:rsidR="006308E8" w:rsidRPr="00D25385" w:rsidRDefault="006308E8" w:rsidP="00121650">
            <w:pPr>
              <w:jc w:val="center"/>
              <w:rPr>
                <w:rFonts w:asciiTheme="minorHAnsi" w:hAnsiTheme="minorHAnsi"/>
                <w:sz w:val="18"/>
                <w:szCs w:val="16"/>
                <w:lang w:val="sq-AL"/>
              </w:rPr>
            </w:pPr>
            <w:r w:rsidRPr="00D25385">
              <w:rPr>
                <w:rFonts w:asciiTheme="minorHAnsi" w:hAnsiTheme="minorHAnsi"/>
                <w:sz w:val="18"/>
                <w:szCs w:val="16"/>
                <w:lang w:val="sq-AL"/>
              </w:rPr>
              <w:t>41,539</w:t>
            </w:r>
          </w:p>
        </w:tc>
        <w:tc>
          <w:tcPr>
            <w:tcW w:w="0" w:type="auto"/>
          </w:tcPr>
          <w:p w:rsidR="006308E8" w:rsidRPr="00D25385" w:rsidRDefault="006308E8" w:rsidP="00121650">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16"/>
                <w:lang w:val="sq-AL"/>
              </w:rPr>
            </w:pPr>
            <w:r w:rsidRPr="00D25385">
              <w:rPr>
                <w:rFonts w:asciiTheme="minorHAnsi" w:hAnsiTheme="minorHAnsi"/>
                <w:sz w:val="18"/>
                <w:szCs w:val="16"/>
                <w:lang w:val="sq-AL"/>
              </w:rPr>
              <w:t>2,626</w:t>
            </w:r>
          </w:p>
        </w:tc>
        <w:tc>
          <w:tcPr>
            <w:cnfStyle w:val="000010000000" w:firstRow="0" w:lastRow="0" w:firstColumn="0" w:lastColumn="0" w:oddVBand="1" w:evenVBand="0" w:oddHBand="0" w:evenHBand="0" w:firstRowFirstColumn="0" w:firstRowLastColumn="0" w:lastRowFirstColumn="0" w:lastRowLastColumn="0"/>
            <w:tcW w:w="0" w:type="auto"/>
          </w:tcPr>
          <w:p w:rsidR="006308E8" w:rsidRPr="00D25385" w:rsidRDefault="006308E8" w:rsidP="00121650">
            <w:pPr>
              <w:jc w:val="center"/>
              <w:rPr>
                <w:rFonts w:asciiTheme="minorHAnsi" w:hAnsiTheme="minorHAnsi"/>
                <w:sz w:val="18"/>
                <w:szCs w:val="16"/>
                <w:lang w:val="sq-AL"/>
              </w:rPr>
            </w:pPr>
            <w:r w:rsidRPr="00D25385">
              <w:rPr>
                <w:rFonts w:asciiTheme="minorHAnsi" w:hAnsiTheme="minorHAnsi"/>
                <w:sz w:val="18"/>
                <w:szCs w:val="16"/>
                <w:lang w:val="sq-AL"/>
              </w:rPr>
              <w:t>29.1</w:t>
            </w:r>
          </w:p>
        </w:tc>
        <w:tc>
          <w:tcPr>
            <w:tcW w:w="0" w:type="auto"/>
          </w:tcPr>
          <w:p w:rsidR="006308E8" w:rsidRPr="00D25385" w:rsidRDefault="006308E8" w:rsidP="00121650">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16"/>
                <w:lang w:val="sq-AL"/>
              </w:rPr>
            </w:pPr>
            <w:r w:rsidRPr="00D25385">
              <w:rPr>
                <w:rFonts w:asciiTheme="minorHAnsi" w:hAnsiTheme="minorHAnsi"/>
                <w:sz w:val="18"/>
                <w:szCs w:val="16"/>
                <w:lang w:val="sq-AL"/>
              </w:rPr>
              <w:t>131.3</w:t>
            </w:r>
          </w:p>
        </w:tc>
      </w:tr>
      <w:tr w:rsidR="006308E8" w:rsidRPr="00D25385" w:rsidTr="00D25385">
        <w:trPr>
          <w:trHeight w:val="289"/>
          <w:jc w:val="center"/>
        </w:trPr>
        <w:tc>
          <w:tcPr>
            <w:cnfStyle w:val="000010000000" w:firstRow="0" w:lastRow="0" w:firstColumn="0" w:lastColumn="0" w:oddVBand="1" w:evenVBand="0" w:oddHBand="0" w:evenHBand="0" w:firstRowFirstColumn="0" w:firstRowLastColumn="0" w:lastRowFirstColumn="0" w:lastRowLastColumn="0"/>
            <w:tcW w:w="0" w:type="auto"/>
          </w:tcPr>
          <w:p w:rsidR="006308E8" w:rsidRPr="00D25385" w:rsidRDefault="006308E8" w:rsidP="00121650">
            <w:pPr>
              <w:spacing w:line="276" w:lineRule="auto"/>
              <w:jc w:val="both"/>
              <w:rPr>
                <w:rFonts w:asciiTheme="minorHAnsi" w:hAnsiTheme="minorHAnsi"/>
                <w:color w:val="FF0000"/>
                <w:sz w:val="18"/>
                <w:szCs w:val="16"/>
                <w:lang w:val="sq-AL"/>
              </w:rPr>
            </w:pPr>
            <w:r w:rsidRPr="00D25385">
              <w:rPr>
                <w:rFonts w:asciiTheme="minorHAnsi" w:hAnsiTheme="minorHAnsi"/>
                <w:sz w:val="18"/>
                <w:szCs w:val="16"/>
                <w:lang w:val="sq-AL"/>
              </w:rPr>
              <w:t>2.</w:t>
            </w:r>
          </w:p>
        </w:tc>
        <w:tc>
          <w:tcPr>
            <w:tcW w:w="0" w:type="auto"/>
          </w:tcPr>
          <w:p w:rsidR="006308E8" w:rsidRPr="00D25385" w:rsidRDefault="006308E8" w:rsidP="00121650">
            <w:pPr>
              <w:spacing w:line="276" w:lineRule="auto"/>
              <w:jc w:val="both"/>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16"/>
                <w:lang w:val="sq-AL"/>
              </w:rPr>
            </w:pPr>
            <w:r w:rsidRPr="00D25385">
              <w:rPr>
                <w:rFonts w:asciiTheme="minorHAnsi" w:hAnsiTheme="minorHAnsi"/>
                <w:sz w:val="18"/>
                <w:szCs w:val="16"/>
                <w:lang w:val="sq-AL"/>
              </w:rPr>
              <w:t>Mbështetje diplomatike jashtë shtetit</w:t>
            </w:r>
          </w:p>
        </w:tc>
        <w:tc>
          <w:tcPr>
            <w:cnfStyle w:val="000010000000" w:firstRow="0" w:lastRow="0" w:firstColumn="0" w:lastColumn="0" w:oddVBand="1" w:evenVBand="0" w:oddHBand="0" w:evenHBand="0" w:firstRowFirstColumn="0" w:firstRowLastColumn="0" w:lastRowFirstColumn="0" w:lastRowLastColumn="0"/>
            <w:tcW w:w="0" w:type="auto"/>
          </w:tcPr>
          <w:p w:rsidR="006308E8" w:rsidRPr="00D25385" w:rsidRDefault="006308E8" w:rsidP="00121650">
            <w:pPr>
              <w:jc w:val="center"/>
              <w:rPr>
                <w:rFonts w:asciiTheme="minorHAnsi" w:hAnsiTheme="minorHAnsi"/>
                <w:sz w:val="18"/>
                <w:szCs w:val="16"/>
                <w:lang w:val="sq-AL"/>
              </w:rPr>
            </w:pPr>
            <w:r w:rsidRPr="00D25385">
              <w:rPr>
                <w:rFonts w:asciiTheme="minorHAnsi" w:hAnsiTheme="minorHAnsi"/>
                <w:sz w:val="18"/>
                <w:szCs w:val="16"/>
                <w:lang w:val="sq-AL"/>
              </w:rPr>
              <w:t>2,636,500</w:t>
            </w:r>
          </w:p>
        </w:tc>
        <w:tc>
          <w:tcPr>
            <w:tcW w:w="0" w:type="auto"/>
          </w:tcPr>
          <w:p w:rsidR="006308E8" w:rsidRPr="00D25385" w:rsidRDefault="006308E8" w:rsidP="00121650">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16"/>
                <w:lang w:val="sq-AL"/>
              </w:rPr>
            </w:pPr>
            <w:r w:rsidRPr="00D25385">
              <w:rPr>
                <w:rFonts w:asciiTheme="minorHAnsi" w:hAnsiTheme="minorHAnsi"/>
                <w:sz w:val="18"/>
                <w:szCs w:val="16"/>
                <w:lang w:val="sq-AL"/>
              </w:rPr>
              <w:t>7,000</w:t>
            </w:r>
          </w:p>
        </w:tc>
        <w:tc>
          <w:tcPr>
            <w:cnfStyle w:val="000010000000" w:firstRow="0" w:lastRow="0" w:firstColumn="0" w:lastColumn="0" w:oddVBand="1" w:evenVBand="0" w:oddHBand="0" w:evenHBand="0" w:firstRowFirstColumn="0" w:firstRowLastColumn="0" w:lastRowFirstColumn="0" w:lastRowLastColumn="0"/>
            <w:tcW w:w="0" w:type="auto"/>
          </w:tcPr>
          <w:p w:rsidR="006308E8" w:rsidRPr="00D25385" w:rsidRDefault="006308E8" w:rsidP="00121650">
            <w:pPr>
              <w:jc w:val="center"/>
              <w:rPr>
                <w:rFonts w:asciiTheme="minorHAnsi" w:hAnsiTheme="minorHAnsi"/>
                <w:sz w:val="18"/>
                <w:szCs w:val="16"/>
                <w:lang w:val="sq-AL"/>
              </w:rPr>
            </w:pPr>
            <w:r w:rsidRPr="00D25385">
              <w:rPr>
                <w:rFonts w:asciiTheme="minorHAnsi" w:hAnsiTheme="minorHAnsi"/>
                <w:sz w:val="18"/>
                <w:szCs w:val="16"/>
                <w:lang w:val="sq-AL"/>
              </w:rPr>
              <w:t>534,508</w:t>
            </w:r>
          </w:p>
        </w:tc>
        <w:tc>
          <w:tcPr>
            <w:tcW w:w="0" w:type="auto"/>
          </w:tcPr>
          <w:p w:rsidR="006308E8" w:rsidRPr="00D25385" w:rsidRDefault="006308E8" w:rsidP="00121650">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16"/>
                <w:lang w:val="sq-AL"/>
              </w:rPr>
            </w:pPr>
            <w:r w:rsidRPr="00D25385">
              <w:rPr>
                <w:rFonts w:asciiTheme="minorHAnsi" w:hAnsiTheme="minorHAnsi"/>
                <w:sz w:val="18"/>
                <w:szCs w:val="16"/>
                <w:lang w:val="sq-AL"/>
              </w:rPr>
              <w:t>0</w:t>
            </w:r>
          </w:p>
        </w:tc>
        <w:tc>
          <w:tcPr>
            <w:cnfStyle w:val="000010000000" w:firstRow="0" w:lastRow="0" w:firstColumn="0" w:lastColumn="0" w:oddVBand="1" w:evenVBand="0" w:oddHBand="0" w:evenHBand="0" w:firstRowFirstColumn="0" w:firstRowLastColumn="0" w:lastRowFirstColumn="0" w:lastRowLastColumn="0"/>
            <w:tcW w:w="0" w:type="auto"/>
          </w:tcPr>
          <w:p w:rsidR="006308E8" w:rsidRPr="00D25385" w:rsidRDefault="006308E8" w:rsidP="00121650">
            <w:pPr>
              <w:jc w:val="center"/>
              <w:rPr>
                <w:rFonts w:asciiTheme="minorHAnsi" w:hAnsiTheme="minorHAnsi"/>
                <w:sz w:val="18"/>
                <w:szCs w:val="16"/>
                <w:lang w:val="sq-AL"/>
              </w:rPr>
            </w:pPr>
            <w:r w:rsidRPr="00D25385">
              <w:rPr>
                <w:rFonts w:asciiTheme="minorHAnsi" w:hAnsiTheme="minorHAnsi"/>
                <w:sz w:val="18"/>
                <w:szCs w:val="16"/>
                <w:lang w:val="sq-AL"/>
              </w:rPr>
              <w:t>20.3</w:t>
            </w:r>
          </w:p>
        </w:tc>
        <w:tc>
          <w:tcPr>
            <w:tcW w:w="0" w:type="auto"/>
          </w:tcPr>
          <w:p w:rsidR="006308E8" w:rsidRPr="00D25385" w:rsidRDefault="006308E8" w:rsidP="00121650">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16"/>
                <w:lang w:val="sq-AL"/>
              </w:rPr>
            </w:pPr>
            <w:r w:rsidRPr="00D25385">
              <w:rPr>
                <w:rFonts w:asciiTheme="minorHAnsi" w:hAnsiTheme="minorHAnsi"/>
                <w:sz w:val="18"/>
                <w:szCs w:val="16"/>
                <w:lang w:val="sq-AL"/>
              </w:rPr>
              <w:t>0.0</w:t>
            </w:r>
          </w:p>
        </w:tc>
      </w:tr>
      <w:tr w:rsidR="006308E8" w:rsidRPr="00D25385" w:rsidTr="00D25385">
        <w:trPr>
          <w:cnfStyle w:val="000000100000" w:firstRow="0" w:lastRow="0" w:firstColumn="0" w:lastColumn="0" w:oddVBand="0" w:evenVBand="0" w:oddHBand="1" w:evenHBand="0" w:firstRowFirstColumn="0" w:firstRowLastColumn="0" w:lastRowFirstColumn="0" w:lastRowLastColumn="0"/>
          <w:trHeight w:val="289"/>
          <w:jc w:val="center"/>
        </w:trPr>
        <w:tc>
          <w:tcPr>
            <w:cnfStyle w:val="000010000000" w:firstRow="0" w:lastRow="0" w:firstColumn="0" w:lastColumn="0" w:oddVBand="1" w:evenVBand="0" w:oddHBand="0" w:evenHBand="0" w:firstRowFirstColumn="0" w:firstRowLastColumn="0" w:lastRowFirstColumn="0" w:lastRowLastColumn="0"/>
            <w:tcW w:w="0" w:type="auto"/>
          </w:tcPr>
          <w:p w:rsidR="006308E8" w:rsidRPr="00D25385" w:rsidRDefault="006308E8" w:rsidP="00121650">
            <w:pPr>
              <w:spacing w:line="276" w:lineRule="auto"/>
              <w:jc w:val="both"/>
              <w:rPr>
                <w:rFonts w:asciiTheme="minorHAnsi" w:hAnsiTheme="minorHAnsi"/>
                <w:color w:val="FF0000"/>
                <w:sz w:val="18"/>
                <w:szCs w:val="16"/>
                <w:lang w:val="sq-AL"/>
              </w:rPr>
            </w:pPr>
            <w:r w:rsidRPr="00D25385">
              <w:rPr>
                <w:rFonts w:asciiTheme="minorHAnsi" w:hAnsiTheme="minorHAnsi"/>
                <w:sz w:val="18"/>
                <w:szCs w:val="16"/>
                <w:lang w:val="sq-AL"/>
              </w:rPr>
              <w:t>3.</w:t>
            </w:r>
          </w:p>
        </w:tc>
        <w:tc>
          <w:tcPr>
            <w:tcW w:w="0" w:type="auto"/>
          </w:tcPr>
          <w:p w:rsidR="006308E8" w:rsidRPr="00D25385" w:rsidRDefault="006308E8" w:rsidP="00121650">
            <w:pPr>
              <w:spacing w:line="276" w:lineRule="auto"/>
              <w:jc w:val="both"/>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16"/>
                <w:lang w:val="sq-AL"/>
              </w:rPr>
            </w:pPr>
            <w:r w:rsidRPr="00D25385">
              <w:rPr>
                <w:rFonts w:asciiTheme="minorHAnsi" w:hAnsiTheme="minorHAnsi"/>
                <w:sz w:val="18"/>
                <w:szCs w:val="16"/>
                <w:lang w:val="sq-AL"/>
              </w:rPr>
              <w:t>Aktiviteti diplomatik dhe konsullor i MPJ</w:t>
            </w:r>
          </w:p>
        </w:tc>
        <w:tc>
          <w:tcPr>
            <w:cnfStyle w:val="000010000000" w:firstRow="0" w:lastRow="0" w:firstColumn="0" w:lastColumn="0" w:oddVBand="1" w:evenVBand="0" w:oddHBand="0" w:evenHBand="0" w:firstRowFirstColumn="0" w:firstRowLastColumn="0" w:lastRowFirstColumn="0" w:lastRowLastColumn="0"/>
            <w:tcW w:w="0" w:type="auto"/>
          </w:tcPr>
          <w:p w:rsidR="006308E8" w:rsidRPr="00D25385" w:rsidRDefault="006308E8" w:rsidP="00121650">
            <w:pPr>
              <w:jc w:val="center"/>
              <w:rPr>
                <w:rFonts w:asciiTheme="minorHAnsi" w:hAnsiTheme="minorHAnsi"/>
                <w:sz w:val="18"/>
                <w:szCs w:val="16"/>
                <w:lang w:val="sq-AL"/>
              </w:rPr>
            </w:pPr>
            <w:r w:rsidRPr="00D25385">
              <w:rPr>
                <w:rFonts w:asciiTheme="minorHAnsi" w:hAnsiTheme="minorHAnsi"/>
                <w:sz w:val="18"/>
                <w:szCs w:val="16"/>
                <w:lang w:val="sq-AL"/>
              </w:rPr>
              <w:t>252,500</w:t>
            </w:r>
          </w:p>
        </w:tc>
        <w:tc>
          <w:tcPr>
            <w:tcW w:w="0" w:type="auto"/>
          </w:tcPr>
          <w:p w:rsidR="006308E8" w:rsidRPr="00D25385" w:rsidRDefault="006308E8" w:rsidP="00121650">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16"/>
                <w:lang w:val="sq-AL"/>
              </w:rPr>
            </w:pPr>
            <w:r w:rsidRPr="00D25385">
              <w:rPr>
                <w:rFonts w:asciiTheme="minorHAnsi" w:hAnsiTheme="minorHAnsi"/>
                <w:sz w:val="18"/>
                <w:szCs w:val="16"/>
                <w:lang w:val="sq-AL"/>
              </w:rPr>
              <w:t>-</w:t>
            </w:r>
          </w:p>
        </w:tc>
        <w:tc>
          <w:tcPr>
            <w:cnfStyle w:val="000010000000" w:firstRow="0" w:lastRow="0" w:firstColumn="0" w:lastColumn="0" w:oddVBand="1" w:evenVBand="0" w:oddHBand="0" w:evenHBand="0" w:firstRowFirstColumn="0" w:firstRowLastColumn="0" w:lastRowFirstColumn="0" w:lastRowLastColumn="0"/>
            <w:tcW w:w="0" w:type="auto"/>
          </w:tcPr>
          <w:p w:rsidR="006308E8" w:rsidRPr="00D25385" w:rsidRDefault="006308E8" w:rsidP="00121650">
            <w:pPr>
              <w:jc w:val="center"/>
              <w:rPr>
                <w:rFonts w:asciiTheme="minorHAnsi" w:hAnsiTheme="minorHAnsi"/>
                <w:sz w:val="18"/>
                <w:szCs w:val="16"/>
                <w:lang w:val="sq-AL"/>
              </w:rPr>
            </w:pPr>
            <w:r w:rsidRPr="00D25385">
              <w:rPr>
                <w:rFonts w:asciiTheme="minorHAnsi" w:hAnsiTheme="minorHAnsi"/>
                <w:sz w:val="18"/>
                <w:szCs w:val="16"/>
                <w:lang w:val="sq-AL"/>
              </w:rPr>
              <w:t>50,202</w:t>
            </w:r>
          </w:p>
        </w:tc>
        <w:tc>
          <w:tcPr>
            <w:tcW w:w="0" w:type="auto"/>
          </w:tcPr>
          <w:p w:rsidR="006308E8" w:rsidRPr="00D25385" w:rsidRDefault="006308E8" w:rsidP="00121650">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16"/>
                <w:lang w:val="sq-AL"/>
              </w:rPr>
            </w:pPr>
            <w:r w:rsidRPr="00D25385">
              <w:rPr>
                <w:rFonts w:asciiTheme="minorHAnsi" w:hAnsiTheme="minorHAnsi"/>
                <w:sz w:val="18"/>
                <w:szCs w:val="16"/>
                <w:lang w:val="sq-AL"/>
              </w:rPr>
              <w:t>-</w:t>
            </w:r>
          </w:p>
        </w:tc>
        <w:tc>
          <w:tcPr>
            <w:cnfStyle w:val="000010000000" w:firstRow="0" w:lastRow="0" w:firstColumn="0" w:lastColumn="0" w:oddVBand="1" w:evenVBand="0" w:oddHBand="0" w:evenHBand="0" w:firstRowFirstColumn="0" w:firstRowLastColumn="0" w:lastRowFirstColumn="0" w:lastRowLastColumn="0"/>
            <w:tcW w:w="0" w:type="auto"/>
          </w:tcPr>
          <w:p w:rsidR="006308E8" w:rsidRPr="00D25385" w:rsidRDefault="006308E8" w:rsidP="00121650">
            <w:pPr>
              <w:jc w:val="center"/>
              <w:rPr>
                <w:rFonts w:asciiTheme="minorHAnsi" w:hAnsiTheme="minorHAnsi"/>
                <w:sz w:val="18"/>
                <w:szCs w:val="16"/>
                <w:lang w:val="sq-AL"/>
              </w:rPr>
            </w:pPr>
            <w:r w:rsidRPr="00D25385">
              <w:rPr>
                <w:rFonts w:asciiTheme="minorHAnsi" w:hAnsiTheme="minorHAnsi"/>
                <w:sz w:val="18"/>
                <w:szCs w:val="16"/>
                <w:lang w:val="sq-AL"/>
              </w:rPr>
              <w:t>19.9</w:t>
            </w:r>
          </w:p>
        </w:tc>
        <w:tc>
          <w:tcPr>
            <w:tcW w:w="0" w:type="auto"/>
          </w:tcPr>
          <w:p w:rsidR="006308E8" w:rsidRPr="00D25385" w:rsidRDefault="006308E8" w:rsidP="00121650">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16"/>
                <w:lang w:val="sq-AL"/>
              </w:rPr>
            </w:pPr>
            <w:r w:rsidRPr="00D25385">
              <w:rPr>
                <w:rFonts w:asciiTheme="minorHAnsi" w:hAnsiTheme="minorHAnsi"/>
                <w:sz w:val="18"/>
                <w:szCs w:val="16"/>
                <w:lang w:val="sq-AL"/>
              </w:rPr>
              <w:t>-</w:t>
            </w:r>
          </w:p>
        </w:tc>
      </w:tr>
      <w:tr w:rsidR="006308E8" w:rsidRPr="00D25385" w:rsidTr="00D25385">
        <w:trPr>
          <w:trHeight w:val="289"/>
          <w:jc w:val="center"/>
        </w:trPr>
        <w:tc>
          <w:tcPr>
            <w:cnfStyle w:val="000010000000" w:firstRow="0" w:lastRow="0" w:firstColumn="0" w:lastColumn="0" w:oddVBand="1" w:evenVBand="0" w:oddHBand="0" w:evenHBand="0" w:firstRowFirstColumn="0" w:firstRowLastColumn="0" w:lastRowFirstColumn="0" w:lastRowLastColumn="0"/>
            <w:tcW w:w="0" w:type="auto"/>
          </w:tcPr>
          <w:p w:rsidR="006308E8" w:rsidRPr="00D25385" w:rsidRDefault="006308E8" w:rsidP="00121650">
            <w:pPr>
              <w:spacing w:line="276" w:lineRule="auto"/>
              <w:jc w:val="both"/>
              <w:rPr>
                <w:rFonts w:asciiTheme="minorHAnsi" w:hAnsiTheme="minorHAnsi"/>
                <w:color w:val="FF0000"/>
                <w:sz w:val="18"/>
                <w:szCs w:val="16"/>
                <w:lang w:val="sq-AL"/>
              </w:rPr>
            </w:pPr>
            <w:r w:rsidRPr="00D25385">
              <w:rPr>
                <w:rFonts w:asciiTheme="minorHAnsi" w:hAnsiTheme="minorHAnsi"/>
                <w:sz w:val="18"/>
                <w:szCs w:val="16"/>
                <w:lang w:val="sq-AL"/>
              </w:rPr>
              <w:t>4.</w:t>
            </w:r>
          </w:p>
        </w:tc>
        <w:tc>
          <w:tcPr>
            <w:tcW w:w="0" w:type="auto"/>
          </w:tcPr>
          <w:p w:rsidR="006308E8" w:rsidRPr="00D25385" w:rsidRDefault="006308E8" w:rsidP="00121650">
            <w:pPr>
              <w:spacing w:line="276" w:lineRule="auto"/>
              <w:jc w:val="both"/>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16"/>
                <w:lang w:val="sq-AL"/>
              </w:rPr>
            </w:pPr>
            <w:r w:rsidRPr="00D25385">
              <w:rPr>
                <w:rFonts w:asciiTheme="minorHAnsi" w:hAnsiTheme="minorHAnsi"/>
                <w:sz w:val="18"/>
                <w:szCs w:val="16"/>
                <w:lang w:val="sq-AL"/>
              </w:rPr>
              <w:t>Mbështetje institucionale për procesin e Integrimit</w:t>
            </w:r>
          </w:p>
        </w:tc>
        <w:tc>
          <w:tcPr>
            <w:cnfStyle w:val="000010000000" w:firstRow="0" w:lastRow="0" w:firstColumn="0" w:lastColumn="0" w:oddVBand="1" w:evenVBand="0" w:oddHBand="0" w:evenHBand="0" w:firstRowFirstColumn="0" w:firstRowLastColumn="0" w:lastRowFirstColumn="0" w:lastRowLastColumn="0"/>
            <w:tcW w:w="0" w:type="auto"/>
          </w:tcPr>
          <w:p w:rsidR="006308E8" w:rsidRPr="00D25385" w:rsidRDefault="006308E8" w:rsidP="00121650">
            <w:pPr>
              <w:jc w:val="center"/>
              <w:rPr>
                <w:rFonts w:asciiTheme="minorHAnsi" w:hAnsiTheme="minorHAnsi"/>
                <w:sz w:val="18"/>
                <w:szCs w:val="16"/>
                <w:lang w:val="sq-AL"/>
              </w:rPr>
            </w:pPr>
            <w:r w:rsidRPr="00D25385">
              <w:rPr>
                <w:rFonts w:asciiTheme="minorHAnsi" w:hAnsiTheme="minorHAnsi"/>
                <w:sz w:val="18"/>
                <w:szCs w:val="16"/>
                <w:lang w:val="sq-AL"/>
              </w:rPr>
              <w:t>96,300</w:t>
            </w:r>
          </w:p>
        </w:tc>
        <w:tc>
          <w:tcPr>
            <w:tcW w:w="0" w:type="auto"/>
          </w:tcPr>
          <w:p w:rsidR="006308E8" w:rsidRPr="00D25385" w:rsidRDefault="006308E8" w:rsidP="00121650">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16"/>
                <w:lang w:val="sq-AL"/>
              </w:rPr>
            </w:pPr>
            <w:r w:rsidRPr="00D25385">
              <w:rPr>
                <w:rFonts w:asciiTheme="minorHAnsi" w:hAnsiTheme="minorHAnsi"/>
                <w:sz w:val="18"/>
                <w:szCs w:val="16"/>
                <w:lang w:val="sq-AL"/>
              </w:rPr>
              <w:t>155,280</w:t>
            </w:r>
          </w:p>
        </w:tc>
        <w:tc>
          <w:tcPr>
            <w:cnfStyle w:val="000010000000" w:firstRow="0" w:lastRow="0" w:firstColumn="0" w:lastColumn="0" w:oddVBand="1" w:evenVBand="0" w:oddHBand="0" w:evenHBand="0" w:firstRowFirstColumn="0" w:firstRowLastColumn="0" w:lastRowFirstColumn="0" w:lastRowLastColumn="0"/>
            <w:tcW w:w="0" w:type="auto"/>
          </w:tcPr>
          <w:p w:rsidR="006308E8" w:rsidRPr="00D25385" w:rsidRDefault="006308E8" w:rsidP="00121650">
            <w:pPr>
              <w:jc w:val="center"/>
              <w:rPr>
                <w:rFonts w:asciiTheme="minorHAnsi" w:hAnsiTheme="minorHAnsi"/>
                <w:sz w:val="18"/>
                <w:szCs w:val="16"/>
                <w:lang w:val="sq-AL"/>
              </w:rPr>
            </w:pPr>
            <w:r w:rsidRPr="00D25385">
              <w:rPr>
                <w:rFonts w:asciiTheme="minorHAnsi" w:hAnsiTheme="minorHAnsi"/>
                <w:sz w:val="18"/>
                <w:szCs w:val="16"/>
                <w:lang w:val="sq-AL"/>
              </w:rPr>
              <w:t>37,432</w:t>
            </w:r>
          </w:p>
        </w:tc>
        <w:tc>
          <w:tcPr>
            <w:tcW w:w="0" w:type="auto"/>
          </w:tcPr>
          <w:p w:rsidR="006308E8" w:rsidRPr="00D25385" w:rsidRDefault="006308E8" w:rsidP="00121650">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16"/>
                <w:lang w:val="sq-AL"/>
              </w:rPr>
            </w:pPr>
            <w:r w:rsidRPr="00D25385">
              <w:rPr>
                <w:rFonts w:asciiTheme="minorHAnsi" w:hAnsiTheme="minorHAnsi"/>
                <w:sz w:val="18"/>
                <w:szCs w:val="16"/>
                <w:lang w:val="sq-AL"/>
              </w:rPr>
              <w:t>15,187</w:t>
            </w:r>
          </w:p>
        </w:tc>
        <w:tc>
          <w:tcPr>
            <w:cnfStyle w:val="000010000000" w:firstRow="0" w:lastRow="0" w:firstColumn="0" w:lastColumn="0" w:oddVBand="1" w:evenVBand="0" w:oddHBand="0" w:evenHBand="0" w:firstRowFirstColumn="0" w:firstRowLastColumn="0" w:lastRowFirstColumn="0" w:lastRowLastColumn="0"/>
            <w:tcW w:w="0" w:type="auto"/>
          </w:tcPr>
          <w:p w:rsidR="006308E8" w:rsidRPr="00D25385" w:rsidRDefault="006308E8" w:rsidP="00121650">
            <w:pPr>
              <w:jc w:val="center"/>
              <w:rPr>
                <w:rFonts w:asciiTheme="minorHAnsi" w:hAnsiTheme="minorHAnsi"/>
                <w:sz w:val="18"/>
                <w:szCs w:val="16"/>
                <w:lang w:val="sq-AL"/>
              </w:rPr>
            </w:pPr>
            <w:r w:rsidRPr="00D25385">
              <w:rPr>
                <w:rFonts w:asciiTheme="minorHAnsi" w:hAnsiTheme="minorHAnsi"/>
                <w:sz w:val="18"/>
                <w:szCs w:val="16"/>
                <w:lang w:val="sq-AL"/>
              </w:rPr>
              <w:t>38.9</w:t>
            </w:r>
          </w:p>
        </w:tc>
        <w:tc>
          <w:tcPr>
            <w:tcW w:w="0" w:type="auto"/>
          </w:tcPr>
          <w:p w:rsidR="006308E8" w:rsidRPr="00D25385" w:rsidRDefault="006308E8" w:rsidP="00121650">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16"/>
                <w:lang w:val="sq-AL"/>
              </w:rPr>
            </w:pPr>
            <w:r w:rsidRPr="00D25385">
              <w:rPr>
                <w:rFonts w:asciiTheme="minorHAnsi" w:hAnsiTheme="minorHAnsi"/>
                <w:sz w:val="18"/>
                <w:szCs w:val="16"/>
                <w:lang w:val="sq-AL"/>
              </w:rPr>
              <w:t>9.8</w:t>
            </w:r>
          </w:p>
        </w:tc>
      </w:tr>
      <w:tr w:rsidR="006308E8" w:rsidRPr="00D25385" w:rsidTr="00D25385">
        <w:trPr>
          <w:cnfStyle w:val="000000100000" w:firstRow="0" w:lastRow="0" w:firstColumn="0" w:lastColumn="0" w:oddVBand="0" w:evenVBand="0" w:oddHBand="1" w:evenHBand="0" w:firstRowFirstColumn="0" w:firstRowLastColumn="0" w:lastRowFirstColumn="0" w:lastRowLastColumn="0"/>
          <w:trHeight w:val="289"/>
          <w:jc w:val="center"/>
        </w:trPr>
        <w:tc>
          <w:tcPr>
            <w:cnfStyle w:val="000010000000" w:firstRow="0" w:lastRow="0" w:firstColumn="0" w:lastColumn="0" w:oddVBand="1" w:evenVBand="0" w:oddHBand="0" w:evenHBand="0" w:firstRowFirstColumn="0" w:firstRowLastColumn="0" w:lastRowFirstColumn="0" w:lastRowLastColumn="0"/>
            <w:tcW w:w="0" w:type="auto"/>
          </w:tcPr>
          <w:p w:rsidR="006308E8" w:rsidRPr="00D25385" w:rsidRDefault="006308E8" w:rsidP="00121650">
            <w:pPr>
              <w:spacing w:line="276" w:lineRule="auto"/>
              <w:jc w:val="both"/>
              <w:rPr>
                <w:rFonts w:asciiTheme="minorHAnsi" w:hAnsiTheme="minorHAnsi"/>
                <w:b/>
                <w:color w:val="FF0000"/>
                <w:sz w:val="18"/>
                <w:szCs w:val="16"/>
                <w:lang w:val="sq-AL"/>
              </w:rPr>
            </w:pPr>
          </w:p>
        </w:tc>
        <w:tc>
          <w:tcPr>
            <w:tcW w:w="0" w:type="auto"/>
          </w:tcPr>
          <w:p w:rsidR="006308E8" w:rsidRPr="00D25385" w:rsidRDefault="006308E8" w:rsidP="00121650">
            <w:pPr>
              <w:spacing w:line="276"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b/>
                <w:sz w:val="18"/>
                <w:szCs w:val="16"/>
                <w:lang w:val="sq-AL"/>
              </w:rPr>
            </w:pPr>
            <w:r w:rsidRPr="00D25385">
              <w:rPr>
                <w:rFonts w:asciiTheme="minorHAnsi" w:hAnsiTheme="minorHAnsi"/>
                <w:b/>
                <w:sz w:val="18"/>
                <w:szCs w:val="16"/>
                <w:lang w:val="sq-AL"/>
              </w:rPr>
              <w:t>TOTAL</w:t>
            </w:r>
          </w:p>
        </w:tc>
        <w:tc>
          <w:tcPr>
            <w:cnfStyle w:val="000010000000" w:firstRow="0" w:lastRow="0" w:firstColumn="0" w:lastColumn="0" w:oddVBand="1" w:evenVBand="0" w:oddHBand="0" w:evenHBand="0" w:firstRowFirstColumn="0" w:firstRowLastColumn="0" w:lastRowFirstColumn="0" w:lastRowLastColumn="0"/>
            <w:tcW w:w="0" w:type="auto"/>
          </w:tcPr>
          <w:p w:rsidR="006308E8" w:rsidRPr="00D25385" w:rsidRDefault="006308E8" w:rsidP="00121650">
            <w:pPr>
              <w:jc w:val="center"/>
              <w:rPr>
                <w:rFonts w:asciiTheme="minorHAnsi" w:hAnsiTheme="minorHAnsi"/>
                <w:b/>
                <w:sz w:val="18"/>
                <w:szCs w:val="16"/>
                <w:lang w:val="sq-AL"/>
              </w:rPr>
            </w:pPr>
            <w:r w:rsidRPr="00D25385">
              <w:rPr>
                <w:rFonts w:asciiTheme="minorHAnsi" w:hAnsiTheme="minorHAnsi"/>
                <w:b/>
                <w:sz w:val="18"/>
                <w:szCs w:val="16"/>
                <w:lang w:val="sq-AL"/>
              </w:rPr>
              <w:t>3,128,100</w:t>
            </w:r>
          </w:p>
        </w:tc>
        <w:tc>
          <w:tcPr>
            <w:tcW w:w="0" w:type="auto"/>
          </w:tcPr>
          <w:p w:rsidR="006308E8" w:rsidRPr="00D25385" w:rsidRDefault="006308E8" w:rsidP="00121650">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b/>
                <w:sz w:val="18"/>
                <w:szCs w:val="16"/>
                <w:lang w:val="sq-AL"/>
              </w:rPr>
            </w:pPr>
            <w:r w:rsidRPr="00D25385">
              <w:rPr>
                <w:rFonts w:asciiTheme="minorHAnsi" w:hAnsiTheme="minorHAnsi"/>
                <w:b/>
                <w:sz w:val="18"/>
                <w:szCs w:val="16"/>
                <w:lang w:val="sq-AL"/>
              </w:rPr>
              <w:t>164,280</w:t>
            </w:r>
          </w:p>
        </w:tc>
        <w:tc>
          <w:tcPr>
            <w:cnfStyle w:val="000010000000" w:firstRow="0" w:lastRow="0" w:firstColumn="0" w:lastColumn="0" w:oddVBand="1" w:evenVBand="0" w:oddHBand="0" w:evenHBand="0" w:firstRowFirstColumn="0" w:firstRowLastColumn="0" w:lastRowFirstColumn="0" w:lastRowLastColumn="0"/>
            <w:tcW w:w="0" w:type="auto"/>
          </w:tcPr>
          <w:p w:rsidR="006308E8" w:rsidRPr="00D25385" w:rsidRDefault="006308E8" w:rsidP="00121650">
            <w:pPr>
              <w:jc w:val="center"/>
              <w:rPr>
                <w:rFonts w:asciiTheme="minorHAnsi" w:hAnsiTheme="minorHAnsi"/>
                <w:b/>
                <w:sz w:val="18"/>
                <w:szCs w:val="16"/>
                <w:lang w:val="sq-AL"/>
              </w:rPr>
            </w:pPr>
            <w:r w:rsidRPr="00D25385">
              <w:rPr>
                <w:rFonts w:asciiTheme="minorHAnsi" w:hAnsiTheme="minorHAnsi"/>
                <w:b/>
                <w:sz w:val="18"/>
                <w:szCs w:val="16"/>
                <w:lang w:val="sq-AL"/>
              </w:rPr>
              <w:t>663,681</w:t>
            </w:r>
          </w:p>
        </w:tc>
        <w:tc>
          <w:tcPr>
            <w:tcW w:w="0" w:type="auto"/>
          </w:tcPr>
          <w:p w:rsidR="006308E8" w:rsidRPr="00D25385" w:rsidRDefault="006308E8" w:rsidP="00121650">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b/>
                <w:sz w:val="18"/>
                <w:szCs w:val="16"/>
                <w:lang w:val="sq-AL"/>
              </w:rPr>
            </w:pPr>
            <w:r w:rsidRPr="00D25385">
              <w:rPr>
                <w:rFonts w:asciiTheme="minorHAnsi" w:hAnsiTheme="minorHAnsi"/>
                <w:b/>
                <w:sz w:val="18"/>
                <w:szCs w:val="16"/>
                <w:lang w:val="sq-AL"/>
              </w:rPr>
              <w:t>17,813</w:t>
            </w:r>
          </w:p>
        </w:tc>
        <w:tc>
          <w:tcPr>
            <w:cnfStyle w:val="000010000000" w:firstRow="0" w:lastRow="0" w:firstColumn="0" w:lastColumn="0" w:oddVBand="1" w:evenVBand="0" w:oddHBand="0" w:evenHBand="0" w:firstRowFirstColumn="0" w:firstRowLastColumn="0" w:lastRowFirstColumn="0" w:lastRowLastColumn="0"/>
            <w:tcW w:w="0" w:type="auto"/>
          </w:tcPr>
          <w:p w:rsidR="006308E8" w:rsidRPr="00D25385" w:rsidRDefault="006308E8" w:rsidP="00121650">
            <w:pPr>
              <w:jc w:val="center"/>
              <w:rPr>
                <w:rFonts w:asciiTheme="minorHAnsi" w:hAnsiTheme="minorHAnsi"/>
                <w:b/>
                <w:sz w:val="18"/>
                <w:szCs w:val="16"/>
                <w:lang w:val="sq-AL"/>
              </w:rPr>
            </w:pPr>
            <w:r w:rsidRPr="00D25385">
              <w:rPr>
                <w:rFonts w:asciiTheme="minorHAnsi" w:hAnsiTheme="minorHAnsi"/>
                <w:b/>
                <w:sz w:val="18"/>
                <w:szCs w:val="16"/>
                <w:lang w:val="sq-AL"/>
              </w:rPr>
              <w:t>21.2</w:t>
            </w:r>
          </w:p>
        </w:tc>
        <w:tc>
          <w:tcPr>
            <w:tcW w:w="0" w:type="auto"/>
          </w:tcPr>
          <w:p w:rsidR="006308E8" w:rsidRPr="00D25385" w:rsidRDefault="006308E8" w:rsidP="00121650">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b/>
                <w:sz w:val="18"/>
                <w:szCs w:val="16"/>
                <w:lang w:val="sq-AL"/>
              </w:rPr>
            </w:pPr>
            <w:r w:rsidRPr="00D25385">
              <w:rPr>
                <w:rFonts w:asciiTheme="minorHAnsi" w:hAnsiTheme="minorHAnsi"/>
                <w:b/>
                <w:sz w:val="18"/>
                <w:szCs w:val="16"/>
                <w:lang w:val="sq-AL"/>
              </w:rPr>
              <w:t>10.8</w:t>
            </w:r>
          </w:p>
        </w:tc>
      </w:tr>
    </w:tbl>
    <w:p w:rsidR="00EA3EDD" w:rsidRPr="00EA3EDD" w:rsidRDefault="00EA3EDD" w:rsidP="00EA3EDD">
      <w:pPr>
        <w:spacing w:line="276" w:lineRule="auto"/>
        <w:jc w:val="both"/>
        <w:rPr>
          <w:rFonts w:asciiTheme="minorHAnsi" w:hAnsiTheme="minorHAnsi"/>
          <w:noProof/>
          <w:sz w:val="8"/>
          <w:szCs w:val="8"/>
          <w:lang w:val="sq-AL"/>
        </w:rPr>
      </w:pPr>
    </w:p>
    <w:p w:rsidR="006308E8" w:rsidRPr="00BB7F2F" w:rsidRDefault="006308E8" w:rsidP="00EA3EDD">
      <w:pPr>
        <w:spacing w:line="276" w:lineRule="auto"/>
        <w:jc w:val="both"/>
        <w:rPr>
          <w:rFonts w:asciiTheme="minorHAnsi" w:hAnsiTheme="minorHAnsi"/>
          <w:noProof/>
          <w:lang w:val="sq-AL"/>
        </w:rPr>
      </w:pPr>
      <w:r w:rsidRPr="00BB7F2F">
        <w:rPr>
          <w:rFonts w:asciiTheme="minorHAnsi" w:hAnsiTheme="minorHAnsi"/>
          <w:noProof/>
          <w:lang w:val="sq-AL"/>
        </w:rPr>
        <w:t>Programi “</w:t>
      </w:r>
      <w:r w:rsidRPr="00BB7F2F">
        <w:rPr>
          <w:rFonts w:asciiTheme="minorHAnsi" w:hAnsiTheme="minorHAnsi"/>
          <w:b/>
          <w:noProof/>
          <w:lang w:val="sq-AL"/>
        </w:rPr>
        <w:t>Mbështetje diplomatike jashtë vendit</w:t>
      </w:r>
      <w:r w:rsidRPr="00BB7F2F">
        <w:rPr>
          <w:rFonts w:asciiTheme="minorHAnsi" w:hAnsiTheme="minorHAnsi"/>
          <w:noProof/>
          <w:lang w:val="sq-AL"/>
        </w:rPr>
        <w:t xml:space="preserve">”, synon: </w:t>
      </w:r>
    </w:p>
    <w:p w:rsidR="006308E8" w:rsidRPr="00BB7F2F" w:rsidRDefault="006308E8" w:rsidP="00503465">
      <w:pPr>
        <w:numPr>
          <w:ilvl w:val="0"/>
          <w:numId w:val="13"/>
        </w:numPr>
        <w:spacing w:after="120" w:line="276" w:lineRule="auto"/>
        <w:contextualSpacing/>
        <w:jc w:val="both"/>
        <w:rPr>
          <w:rFonts w:asciiTheme="minorHAnsi" w:hAnsiTheme="minorHAnsi"/>
          <w:lang w:val="sq-AL"/>
        </w:rPr>
      </w:pPr>
      <w:r w:rsidRPr="00BB7F2F">
        <w:rPr>
          <w:rFonts w:asciiTheme="minorHAnsi" w:hAnsiTheme="minorHAnsi"/>
          <w:lang w:val="sq-AL"/>
        </w:rPr>
        <w:t xml:space="preserve">Nxitjen dhe zhvillimin e marrëdhënieve të bashkëpunimit të gjithanshëm; </w:t>
      </w:r>
    </w:p>
    <w:p w:rsidR="006308E8" w:rsidRPr="00BB7F2F" w:rsidRDefault="006308E8" w:rsidP="00503465">
      <w:pPr>
        <w:numPr>
          <w:ilvl w:val="0"/>
          <w:numId w:val="13"/>
        </w:numPr>
        <w:spacing w:line="276" w:lineRule="auto"/>
        <w:contextualSpacing/>
        <w:jc w:val="both"/>
        <w:rPr>
          <w:rFonts w:asciiTheme="minorHAnsi" w:hAnsiTheme="minorHAnsi"/>
          <w:lang w:val="sq-AL"/>
        </w:rPr>
      </w:pPr>
      <w:r w:rsidRPr="00BB7F2F">
        <w:rPr>
          <w:rFonts w:asciiTheme="minorHAnsi" w:hAnsiTheme="minorHAnsi"/>
          <w:lang w:val="sq-AL"/>
        </w:rPr>
        <w:t xml:space="preserve">Mbrojtjen dhe avancimin e interesave kombëtare e shtetërore dhe përkujdesin për interesat e qytetarëve shqiptarë në shtetet dhe organizatat ndërkombëtare ku ato janë akredituar. </w:t>
      </w:r>
    </w:p>
    <w:p w:rsidR="006308E8" w:rsidRPr="00BB7F2F" w:rsidRDefault="006308E8" w:rsidP="006308E8">
      <w:pPr>
        <w:spacing w:line="276" w:lineRule="auto"/>
        <w:jc w:val="both"/>
        <w:rPr>
          <w:rFonts w:asciiTheme="minorHAnsi" w:hAnsiTheme="minorHAnsi"/>
          <w:lang w:val="sq-AL"/>
        </w:rPr>
      </w:pPr>
      <w:r w:rsidRPr="00BB7F2F">
        <w:rPr>
          <w:rFonts w:asciiTheme="minorHAnsi" w:hAnsiTheme="minorHAnsi"/>
          <w:lang w:val="sq-AL"/>
        </w:rPr>
        <w:t xml:space="preserve">Në këtë program janë realizuar disa produkte me kosto faktike 534,508 mijë lekë. Në këtë program ndër produktet kryesore përmendim: </w:t>
      </w:r>
    </w:p>
    <w:p w:rsidR="006308E8" w:rsidRPr="00BB7F2F" w:rsidRDefault="006308E8" w:rsidP="00503465">
      <w:pPr>
        <w:numPr>
          <w:ilvl w:val="0"/>
          <w:numId w:val="16"/>
        </w:numPr>
        <w:spacing w:line="276" w:lineRule="auto"/>
        <w:jc w:val="both"/>
        <w:rPr>
          <w:rFonts w:asciiTheme="minorHAnsi" w:hAnsiTheme="minorHAnsi"/>
          <w:lang w:val="sq-AL"/>
        </w:rPr>
      </w:pPr>
      <w:r w:rsidRPr="00BB7F2F">
        <w:rPr>
          <w:rFonts w:asciiTheme="minorHAnsi" w:hAnsiTheme="minorHAnsi"/>
          <w:lang w:val="sq-AL"/>
        </w:rPr>
        <w:t>“Mbështetja e përfaqësive diplomatike dhe konsullore me personel dhe kushte të përshtatshme pune dhe jetese”, për 72 nga 356 punonjës të planifikuar.</w:t>
      </w:r>
    </w:p>
    <w:p w:rsidR="006308E8" w:rsidRPr="00BB7F2F" w:rsidRDefault="006308E8" w:rsidP="00503465">
      <w:pPr>
        <w:numPr>
          <w:ilvl w:val="0"/>
          <w:numId w:val="16"/>
        </w:numPr>
        <w:spacing w:line="276" w:lineRule="auto"/>
        <w:jc w:val="both"/>
        <w:rPr>
          <w:rFonts w:asciiTheme="minorHAnsi" w:hAnsiTheme="minorHAnsi"/>
          <w:lang w:val="sq-AL"/>
        </w:rPr>
      </w:pPr>
      <w:r w:rsidRPr="00BB7F2F">
        <w:rPr>
          <w:rFonts w:asciiTheme="minorHAnsi" w:hAnsiTheme="minorHAnsi"/>
          <w:lang w:val="sq-AL"/>
        </w:rPr>
        <w:t>“Kuota ndërkombëtare” është kryer pagesa për 22 kuota nga 53 të planifikuara.</w:t>
      </w:r>
    </w:p>
    <w:p w:rsidR="006308E8" w:rsidRPr="00BB7F2F" w:rsidRDefault="006308E8" w:rsidP="00503465">
      <w:pPr>
        <w:numPr>
          <w:ilvl w:val="0"/>
          <w:numId w:val="16"/>
        </w:numPr>
        <w:spacing w:line="276" w:lineRule="auto"/>
        <w:jc w:val="both"/>
        <w:rPr>
          <w:rFonts w:asciiTheme="minorHAnsi" w:hAnsiTheme="minorHAnsi"/>
          <w:lang w:val="sq-AL"/>
        </w:rPr>
      </w:pPr>
      <w:r w:rsidRPr="00BB7F2F">
        <w:rPr>
          <w:rFonts w:asciiTheme="minorHAnsi" w:hAnsiTheme="minorHAnsi"/>
          <w:lang w:val="sq-AL"/>
        </w:rPr>
        <w:t>“Familjarë të diplomatëve të trajtuar sipas ligjit”, për 27 nga 220 familjar personeli.</w:t>
      </w:r>
    </w:p>
    <w:p w:rsidR="00EA3EDD" w:rsidRPr="00EA3EDD" w:rsidRDefault="00EA3EDD" w:rsidP="00EA3EDD">
      <w:pPr>
        <w:spacing w:line="276" w:lineRule="auto"/>
        <w:jc w:val="both"/>
        <w:rPr>
          <w:rFonts w:asciiTheme="minorHAnsi" w:hAnsiTheme="minorHAnsi"/>
          <w:noProof/>
          <w:sz w:val="8"/>
          <w:szCs w:val="8"/>
          <w:lang w:val="sq-AL"/>
        </w:rPr>
      </w:pPr>
      <w:bookmarkStart w:id="195" w:name="_Toc515271231"/>
      <w:bookmarkEnd w:id="195"/>
    </w:p>
    <w:p w:rsidR="006308E8" w:rsidRPr="00BB7F2F" w:rsidRDefault="006308E8" w:rsidP="00EA3EDD">
      <w:pPr>
        <w:spacing w:line="276" w:lineRule="auto"/>
        <w:jc w:val="both"/>
        <w:rPr>
          <w:rFonts w:asciiTheme="minorHAnsi" w:hAnsiTheme="minorHAnsi"/>
          <w:noProof/>
          <w:lang w:val="sq-AL"/>
        </w:rPr>
      </w:pPr>
      <w:r w:rsidRPr="00BB7F2F">
        <w:rPr>
          <w:rFonts w:asciiTheme="minorHAnsi" w:hAnsiTheme="minorHAnsi"/>
          <w:noProof/>
          <w:lang w:val="sq-AL"/>
        </w:rPr>
        <w:t>Programi “</w:t>
      </w:r>
      <w:r w:rsidRPr="00BB7F2F">
        <w:rPr>
          <w:rFonts w:asciiTheme="minorHAnsi" w:hAnsiTheme="minorHAnsi"/>
          <w:b/>
          <w:noProof/>
          <w:lang w:val="sq-AL"/>
        </w:rPr>
        <w:t>Aktiviteti diplomatik dhe konsullor</w:t>
      </w:r>
      <w:r w:rsidRPr="00BB7F2F">
        <w:rPr>
          <w:rFonts w:asciiTheme="minorHAnsi" w:hAnsiTheme="minorHAnsi"/>
          <w:noProof/>
          <w:lang w:val="sq-AL"/>
        </w:rPr>
        <w:t xml:space="preserve">” ka për qëllim: </w:t>
      </w:r>
    </w:p>
    <w:p w:rsidR="006308E8" w:rsidRPr="00BB7F2F" w:rsidRDefault="006308E8" w:rsidP="006308E8">
      <w:pPr>
        <w:spacing w:line="276" w:lineRule="auto"/>
        <w:jc w:val="both"/>
        <w:rPr>
          <w:rFonts w:asciiTheme="minorHAnsi" w:hAnsiTheme="minorHAnsi"/>
          <w:lang w:val="sq-AL"/>
        </w:rPr>
      </w:pPr>
      <w:r w:rsidRPr="00BB7F2F">
        <w:rPr>
          <w:rFonts w:asciiTheme="minorHAnsi" w:hAnsiTheme="minorHAnsi"/>
          <w:lang w:val="sq-AL"/>
        </w:rPr>
        <w:t>zgjerimi, intensifikimi, diversifikimi dhe pasurimi i marrëdhënieve dypalëshe me vendet fqinje, partnerët strategjik, vendet e Rajonit dhe Evropës dhe vende e tjera të botës, për të mbështetur mirëkuptimit dhe të respektit të ndërsjellët midis kombeve, respektimit të lirive dhe të drejtave themelore të njeriut, fqinjësisë së mirë, bashkëpunimit rajonal, dhe solidaritetit ndërkombëtar.</w:t>
      </w:r>
    </w:p>
    <w:p w:rsidR="006308E8" w:rsidRPr="00BB7F2F" w:rsidRDefault="006308E8" w:rsidP="006308E8">
      <w:pPr>
        <w:spacing w:line="276" w:lineRule="auto"/>
        <w:jc w:val="both"/>
        <w:rPr>
          <w:rFonts w:asciiTheme="minorHAnsi" w:hAnsiTheme="minorHAnsi"/>
          <w:lang w:val="sq-AL"/>
        </w:rPr>
      </w:pPr>
      <w:r w:rsidRPr="00BB7F2F">
        <w:rPr>
          <w:rFonts w:asciiTheme="minorHAnsi" w:hAnsiTheme="minorHAnsi"/>
          <w:lang w:val="sq-AL"/>
        </w:rPr>
        <w:t xml:space="preserve">Në këtë program janë realizuar disa produkte me kosto faktike 50,202 mijë lekë, ku përmendim: </w:t>
      </w:r>
    </w:p>
    <w:p w:rsidR="006308E8" w:rsidRPr="00BB7F2F" w:rsidRDefault="006308E8" w:rsidP="00503465">
      <w:pPr>
        <w:numPr>
          <w:ilvl w:val="0"/>
          <w:numId w:val="16"/>
        </w:numPr>
        <w:spacing w:line="276" w:lineRule="auto"/>
        <w:jc w:val="both"/>
        <w:rPr>
          <w:rFonts w:asciiTheme="minorHAnsi" w:hAnsiTheme="minorHAnsi"/>
          <w:lang w:val="sq-AL"/>
        </w:rPr>
      </w:pPr>
      <w:r w:rsidRPr="00BB7F2F">
        <w:rPr>
          <w:rFonts w:asciiTheme="minorHAnsi" w:hAnsiTheme="minorHAnsi"/>
          <w:lang w:val="sq-AL"/>
        </w:rPr>
        <w:t>Janë hartuar 7 nga 24 akte ligjore dhe nënligjore të planifikuara.</w:t>
      </w:r>
    </w:p>
    <w:p w:rsidR="006308E8" w:rsidRPr="00BB7F2F" w:rsidRDefault="006308E8" w:rsidP="00503465">
      <w:pPr>
        <w:numPr>
          <w:ilvl w:val="0"/>
          <w:numId w:val="16"/>
        </w:numPr>
        <w:spacing w:after="200" w:line="276" w:lineRule="auto"/>
        <w:contextualSpacing/>
        <w:jc w:val="both"/>
        <w:rPr>
          <w:rFonts w:asciiTheme="minorHAnsi" w:hAnsiTheme="minorHAnsi"/>
          <w:lang w:val="sq-AL"/>
        </w:rPr>
      </w:pPr>
      <w:r w:rsidRPr="00BB7F2F">
        <w:rPr>
          <w:rFonts w:asciiTheme="minorHAnsi" w:hAnsiTheme="minorHAnsi"/>
          <w:lang w:val="sq-AL"/>
        </w:rPr>
        <w:t>Janë kryer 2 nga 15 vizita dhe takime lobimi  për hapjen e negociatave;</w:t>
      </w:r>
    </w:p>
    <w:p w:rsidR="006308E8" w:rsidRPr="00BB7F2F" w:rsidRDefault="006308E8" w:rsidP="00503465">
      <w:pPr>
        <w:numPr>
          <w:ilvl w:val="0"/>
          <w:numId w:val="16"/>
        </w:numPr>
        <w:spacing w:after="200" w:line="276" w:lineRule="auto"/>
        <w:contextualSpacing/>
        <w:jc w:val="both"/>
        <w:rPr>
          <w:rFonts w:asciiTheme="minorHAnsi" w:hAnsiTheme="minorHAnsi"/>
          <w:lang w:val="sq-AL"/>
        </w:rPr>
      </w:pPr>
      <w:r w:rsidRPr="00BB7F2F">
        <w:rPr>
          <w:rFonts w:asciiTheme="minorHAnsi" w:hAnsiTheme="minorHAnsi"/>
          <w:lang w:val="sq-AL"/>
        </w:rPr>
        <w:t>Janë zhvilluar 31 nga 305 vizita, takime dhe konsultime dypalëshe dhe shumëpalëshe;</w:t>
      </w:r>
    </w:p>
    <w:p w:rsidR="006308E8" w:rsidRPr="00BB7F2F" w:rsidRDefault="006308E8" w:rsidP="00503465">
      <w:pPr>
        <w:numPr>
          <w:ilvl w:val="0"/>
          <w:numId w:val="16"/>
        </w:numPr>
        <w:spacing w:after="200" w:line="276" w:lineRule="auto"/>
        <w:contextualSpacing/>
        <w:jc w:val="both"/>
        <w:rPr>
          <w:rFonts w:asciiTheme="minorHAnsi" w:hAnsiTheme="minorHAnsi"/>
          <w:lang w:val="sq-AL"/>
        </w:rPr>
      </w:pPr>
      <w:r w:rsidRPr="00BB7F2F">
        <w:rPr>
          <w:rFonts w:asciiTheme="minorHAnsi" w:hAnsiTheme="minorHAnsi"/>
          <w:lang w:val="sq-AL"/>
        </w:rPr>
        <w:t xml:space="preserve">Janë ofruar 2 nga 17 shërbimet konsullore. </w:t>
      </w:r>
    </w:p>
    <w:p w:rsidR="00EA3EDD" w:rsidRPr="00EA3EDD" w:rsidRDefault="00EA3EDD" w:rsidP="00EA3EDD">
      <w:pPr>
        <w:spacing w:line="276" w:lineRule="auto"/>
        <w:jc w:val="both"/>
        <w:rPr>
          <w:rFonts w:asciiTheme="minorHAnsi" w:hAnsiTheme="minorHAnsi"/>
          <w:sz w:val="8"/>
          <w:szCs w:val="8"/>
          <w:lang w:val="sq-AL"/>
        </w:rPr>
      </w:pPr>
    </w:p>
    <w:p w:rsidR="006308E8" w:rsidRPr="00BB7F2F" w:rsidRDefault="006308E8" w:rsidP="00EA3EDD">
      <w:pPr>
        <w:spacing w:line="276" w:lineRule="auto"/>
        <w:jc w:val="both"/>
        <w:rPr>
          <w:rFonts w:asciiTheme="minorHAnsi" w:hAnsiTheme="minorHAnsi"/>
          <w:lang w:val="sq-AL"/>
        </w:rPr>
      </w:pPr>
      <w:r w:rsidRPr="00BB7F2F">
        <w:rPr>
          <w:rFonts w:asciiTheme="minorHAnsi" w:hAnsiTheme="minorHAnsi"/>
          <w:lang w:val="sq-AL"/>
        </w:rPr>
        <w:t>Programi “</w:t>
      </w:r>
      <w:r w:rsidRPr="00BB7F2F">
        <w:rPr>
          <w:rFonts w:asciiTheme="minorHAnsi" w:hAnsiTheme="minorHAnsi"/>
          <w:b/>
          <w:noProof/>
          <w:lang w:val="sq-AL"/>
        </w:rPr>
        <w:t xml:space="preserve">Mbështetje institucionale për procesin e Integrimit” </w:t>
      </w:r>
      <w:r w:rsidRPr="00BB7F2F">
        <w:rPr>
          <w:rFonts w:asciiTheme="minorHAnsi" w:hAnsiTheme="minorHAnsi"/>
          <w:lang w:val="sq-AL"/>
        </w:rPr>
        <w:t>synon mbështetjen e procesit të anëtarësimit të Shqipërisë në Bashkimin Evropian, nëpërmjet bashkërendimit, monitorimit dhe raportimit të zbatimit të Marrëveshjes së Stabilizim-Asociimit, përafrimit të legjislacionit vendas me atë të BE-së, menaxhimit të fondeve të BE-së, zhvillimit të negociatave të anëtarësimit të RSH në BE. Në përmbushje të synimit janë kryer disa aktivitete, me një kosto faktike  52,619 mijë lekë, ndër to përmendim:</w:t>
      </w:r>
    </w:p>
    <w:p w:rsidR="006308E8" w:rsidRPr="00BB7F2F" w:rsidRDefault="006308E8" w:rsidP="00342E35">
      <w:pPr>
        <w:numPr>
          <w:ilvl w:val="0"/>
          <w:numId w:val="16"/>
        </w:numPr>
        <w:jc w:val="both"/>
        <w:rPr>
          <w:rFonts w:asciiTheme="minorHAnsi" w:hAnsiTheme="minorHAnsi"/>
          <w:lang w:val="sq-AL"/>
        </w:rPr>
      </w:pPr>
      <w:r w:rsidRPr="00BB7F2F">
        <w:rPr>
          <w:rFonts w:asciiTheme="minorHAnsi" w:hAnsiTheme="minorHAnsi"/>
          <w:lang w:val="sq-AL"/>
        </w:rPr>
        <w:t xml:space="preserve">2 takime të institucioneve të përbashkëta Shqipëri – Bashkimi Evropian ngritur në kuadër të Marrëveshjes së Stabilizim-Asociimit </w:t>
      </w:r>
    </w:p>
    <w:p w:rsidR="006308E8" w:rsidRPr="00BB7F2F" w:rsidRDefault="00EA3EDD" w:rsidP="00342E35">
      <w:pPr>
        <w:numPr>
          <w:ilvl w:val="0"/>
          <w:numId w:val="16"/>
        </w:numPr>
        <w:jc w:val="both"/>
        <w:rPr>
          <w:rFonts w:asciiTheme="minorHAnsi" w:hAnsiTheme="minorHAnsi"/>
          <w:lang w:val="sq-AL"/>
        </w:rPr>
      </w:pPr>
      <w:r>
        <w:rPr>
          <w:rFonts w:asciiTheme="minorHAnsi" w:hAnsiTheme="minorHAnsi"/>
          <w:bCs/>
          <w:iCs/>
          <w:color w:val="00000A"/>
          <w:lang w:val="sq-AL"/>
        </w:rPr>
        <w:t>U hartua dhe miratua VKM Nr.</w:t>
      </w:r>
      <w:r w:rsidR="006308E8" w:rsidRPr="00BB7F2F">
        <w:rPr>
          <w:rFonts w:asciiTheme="minorHAnsi" w:hAnsiTheme="minorHAnsi"/>
          <w:bCs/>
          <w:iCs/>
          <w:color w:val="00000A"/>
          <w:lang w:val="sq-AL"/>
        </w:rPr>
        <w:t>151 datë 19.</w:t>
      </w:r>
      <w:r>
        <w:rPr>
          <w:rFonts w:asciiTheme="minorHAnsi" w:hAnsiTheme="minorHAnsi"/>
          <w:bCs/>
          <w:iCs/>
          <w:color w:val="00000A"/>
          <w:lang w:val="sq-AL"/>
        </w:rPr>
        <w:t>0</w:t>
      </w:r>
      <w:r w:rsidR="006308E8" w:rsidRPr="00BB7F2F">
        <w:rPr>
          <w:rFonts w:asciiTheme="minorHAnsi" w:hAnsiTheme="minorHAnsi"/>
          <w:bCs/>
          <w:iCs/>
          <w:color w:val="00000A"/>
          <w:lang w:val="sq-AL"/>
        </w:rPr>
        <w:t>2.2020 “Për miratimin e Planit Kombëtar për Integrimin Evropian 2020 – 2022”.</w:t>
      </w:r>
    </w:p>
    <w:p w:rsidR="006308E8" w:rsidRPr="00BB7F2F" w:rsidRDefault="006308E8" w:rsidP="00342E35">
      <w:pPr>
        <w:numPr>
          <w:ilvl w:val="0"/>
          <w:numId w:val="16"/>
        </w:numPr>
        <w:jc w:val="both"/>
        <w:rPr>
          <w:rFonts w:asciiTheme="minorHAnsi" w:hAnsiTheme="minorHAnsi"/>
          <w:lang w:val="sq-AL"/>
        </w:rPr>
      </w:pPr>
      <w:r w:rsidRPr="00BB7F2F">
        <w:rPr>
          <w:rFonts w:asciiTheme="minorHAnsi" w:hAnsiTheme="minorHAnsi"/>
          <w:bCs/>
          <w:iCs/>
          <w:color w:val="00000A"/>
          <w:lang w:val="sq-AL"/>
        </w:rPr>
        <w:t>Miratim i 3 paketave amenduese të Marrëveshjeve financiare ekzistuese IPA;</w:t>
      </w:r>
    </w:p>
    <w:p w:rsidR="006308E8" w:rsidRPr="00BB7F2F" w:rsidRDefault="006308E8" w:rsidP="00342E35">
      <w:pPr>
        <w:numPr>
          <w:ilvl w:val="0"/>
          <w:numId w:val="16"/>
        </w:numPr>
        <w:jc w:val="both"/>
        <w:rPr>
          <w:rFonts w:asciiTheme="minorHAnsi" w:hAnsiTheme="minorHAnsi"/>
          <w:lang w:val="sq-AL"/>
        </w:rPr>
      </w:pPr>
      <w:r w:rsidRPr="00BB7F2F">
        <w:rPr>
          <w:rFonts w:asciiTheme="minorHAnsi" w:hAnsiTheme="minorHAnsi"/>
          <w:bCs/>
          <w:iCs/>
          <w:color w:val="00000A"/>
          <w:lang w:val="sq-AL"/>
        </w:rPr>
        <w:t>Pjesëmarrje në një thirrje të hapur në kuadër të Instrumentit të Investimeve për Ballkanin Perëndimor (</w:t>
      </w:r>
      <w:r w:rsidR="00342E35">
        <w:rPr>
          <w:rFonts w:asciiTheme="minorHAnsi" w:hAnsiTheme="minorHAnsi"/>
          <w:bCs/>
          <w:iCs/>
          <w:color w:val="00000A"/>
          <w:lang w:val="sq-AL"/>
        </w:rPr>
        <w:t>W</w:t>
      </w:r>
      <w:r w:rsidRPr="00BB7F2F">
        <w:rPr>
          <w:rFonts w:asciiTheme="minorHAnsi" w:hAnsiTheme="minorHAnsi"/>
          <w:bCs/>
          <w:iCs/>
          <w:color w:val="00000A"/>
          <w:lang w:val="sq-AL"/>
        </w:rPr>
        <w:t>BIF).</w:t>
      </w:r>
    </w:p>
    <w:p w:rsidR="00150012" w:rsidRPr="0065598A" w:rsidRDefault="00150012" w:rsidP="002334F6">
      <w:pPr>
        <w:pStyle w:val="Heading2"/>
      </w:pPr>
      <w:bookmarkStart w:id="196" w:name="_Toc44403626"/>
      <w:r w:rsidRPr="00AF578C">
        <w:lastRenderedPageBreak/>
        <w:t>VI.</w:t>
      </w:r>
      <w:r w:rsidR="00E05051" w:rsidRPr="00AF578C">
        <w:t>3</w:t>
      </w:r>
      <w:r w:rsidRPr="00AF578C">
        <w:tab/>
        <w:t>Ecuria e detajuar e projekteve t</w:t>
      </w:r>
      <w:r w:rsidR="000E73FC" w:rsidRPr="00AF578C">
        <w:t>ë</w:t>
      </w:r>
      <w:r w:rsidRPr="00AF578C">
        <w:t xml:space="preserve"> </w:t>
      </w:r>
      <w:r w:rsidR="00176D77" w:rsidRPr="00AF578C">
        <w:t>investimeve publike, gjatë J</w:t>
      </w:r>
      <w:r w:rsidRPr="00AF578C">
        <w:t>anar-</w:t>
      </w:r>
      <w:r w:rsidR="00176D77" w:rsidRPr="00AF578C">
        <w:t>M</w:t>
      </w:r>
      <w:r w:rsidRPr="00AF578C">
        <w:t>aj 20</w:t>
      </w:r>
      <w:r w:rsidR="000909B0" w:rsidRPr="00AF578C">
        <w:t>20</w:t>
      </w:r>
      <w:bookmarkEnd w:id="196"/>
    </w:p>
    <w:p w:rsidR="00AF578C" w:rsidRPr="00AF578C" w:rsidRDefault="00AF578C" w:rsidP="00342E35">
      <w:pPr>
        <w:spacing w:line="276" w:lineRule="auto"/>
        <w:jc w:val="both"/>
        <w:rPr>
          <w:rFonts w:asciiTheme="minorHAnsi" w:hAnsiTheme="minorHAnsi"/>
          <w:bCs/>
          <w:lang w:val="sq-AL"/>
        </w:rPr>
      </w:pPr>
      <w:r w:rsidRPr="00AF578C">
        <w:rPr>
          <w:rFonts w:asciiTheme="minorHAnsi" w:hAnsiTheme="minorHAnsi"/>
          <w:bCs/>
          <w:lang w:val="sq-AL"/>
        </w:rPr>
        <w:t xml:space="preserve">Për shkak të situatës së krijuar nga </w:t>
      </w:r>
      <w:r>
        <w:rPr>
          <w:rFonts w:asciiTheme="minorHAnsi" w:hAnsiTheme="minorHAnsi"/>
          <w:bCs/>
          <w:lang w:val="sq-AL"/>
        </w:rPr>
        <w:t>Pandemia</w:t>
      </w:r>
      <w:r w:rsidRPr="00AF578C">
        <w:rPr>
          <w:rFonts w:asciiTheme="minorHAnsi" w:hAnsiTheme="minorHAnsi"/>
          <w:bCs/>
          <w:lang w:val="sq-AL"/>
        </w:rPr>
        <w:t xml:space="preserve"> Covid-19, për një pjesë të madhe të kontratave të investimeve janë pezulluar punimet. Pritet që me normalizimin e situatës punimet të rifillojnë, dhe kontratat të realizohen kundrejt planit vjetor në gjysmën e dytë të vitit 2020. Pavarësisht kësaj, disa kontrata investimesh në disa ministri linje kanë përfunduar deri në gjysmën e parë të 2020, ku numri më ilartë i takon kontratave të MASR për arsimin bazë, arsimin e mesëm, laboratorë dhe zhvillimin e sportit.</w:t>
      </w:r>
    </w:p>
    <w:p w:rsidR="00AF578C" w:rsidRPr="00AF578C" w:rsidRDefault="00AF578C" w:rsidP="00AF578C">
      <w:pPr>
        <w:spacing w:before="240" w:line="276" w:lineRule="auto"/>
        <w:jc w:val="both"/>
        <w:rPr>
          <w:rFonts w:asciiTheme="minorHAnsi" w:hAnsiTheme="minorHAnsi"/>
          <w:b/>
          <w:lang w:val="sq-AL"/>
        </w:rPr>
      </w:pPr>
      <w:r w:rsidRPr="00AF578C">
        <w:rPr>
          <w:rFonts w:asciiTheme="minorHAnsi" w:hAnsiTheme="minorHAnsi"/>
          <w:b/>
          <w:lang w:val="sq-AL"/>
        </w:rPr>
        <w:t>Ministria e Transportit dhe Infrastrukturës</w:t>
      </w:r>
    </w:p>
    <w:p w:rsidR="00AF578C" w:rsidRPr="00AF578C" w:rsidRDefault="00AF578C" w:rsidP="00AF578C">
      <w:pPr>
        <w:spacing w:line="276" w:lineRule="auto"/>
        <w:jc w:val="both"/>
        <w:rPr>
          <w:rFonts w:asciiTheme="minorHAnsi" w:hAnsiTheme="minorHAnsi"/>
          <w:lang w:val="sq-AL"/>
        </w:rPr>
      </w:pPr>
      <w:r w:rsidRPr="00AF578C">
        <w:rPr>
          <w:rFonts w:asciiTheme="minorHAnsi" w:hAnsiTheme="minorHAnsi"/>
          <w:lang w:val="sq-AL"/>
        </w:rPr>
        <w:t>Me fondet e alokuara për investime për vitin 2020, kanë përfunduar kontratat e mëposhtme:</w:t>
      </w:r>
    </w:p>
    <w:p w:rsidR="00D25385" w:rsidRPr="00D25385" w:rsidRDefault="00D25385" w:rsidP="00AF578C">
      <w:pPr>
        <w:spacing w:line="276" w:lineRule="auto"/>
        <w:jc w:val="both"/>
        <w:rPr>
          <w:rFonts w:asciiTheme="minorHAnsi" w:hAnsiTheme="minorHAnsi"/>
          <w:sz w:val="8"/>
          <w:szCs w:val="8"/>
          <w:u w:val="single"/>
          <w:lang w:val="sq-AL"/>
        </w:rPr>
      </w:pPr>
    </w:p>
    <w:p w:rsidR="00AF578C" w:rsidRPr="00AF578C" w:rsidRDefault="00AF578C" w:rsidP="00AF578C">
      <w:pPr>
        <w:spacing w:line="276" w:lineRule="auto"/>
        <w:jc w:val="both"/>
        <w:rPr>
          <w:rFonts w:asciiTheme="minorHAnsi" w:hAnsiTheme="minorHAnsi"/>
          <w:u w:val="single"/>
          <w:lang w:val="sq-AL"/>
        </w:rPr>
      </w:pPr>
      <w:r w:rsidRPr="00AF578C">
        <w:rPr>
          <w:rFonts w:asciiTheme="minorHAnsi" w:hAnsiTheme="minorHAnsi"/>
          <w:u w:val="single"/>
          <w:lang w:val="sq-AL"/>
        </w:rPr>
        <w:t>Në programin “Transporti Rrugor”:</w:t>
      </w:r>
    </w:p>
    <w:p w:rsidR="00AF578C" w:rsidRPr="00AF578C" w:rsidRDefault="00AF578C" w:rsidP="00342E35">
      <w:pPr>
        <w:numPr>
          <w:ilvl w:val="0"/>
          <w:numId w:val="13"/>
        </w:numPr>
        <w:contextualSpacing/>
        <w:jc w:val="both"/>
        <w:rPr>
          <w:rFonts w:ascii="Calibri" w:hAnsi="Calibri"/>
          <w:lang w:val="sq-AL"/>
        </w:rPr>
      </w:pPr>
      <w:r w:rsidRPr="00AF578C">
        <w:rPr>
          <w:rFonts w:ascii="Calibri" w:hAnsi="Calibri"/>
          <w:lang w:val="sq-AL"/>
        </w:rPr>
        <w:t xml:space="preserve">Përmirësimi/rifreskimi i sinjalistikës vertikale/horizontale në akset kombëtare dhe përmirësim i sigurisë rrugore në akset e Rajonit Verior Loti 1 (vazhdimi), 168 </w:t>
      </w:r>
      <w:r w:rsidR="00AD3B61">
        <w:rPr>
          <w:rFonts w:ascii="Calibri" w:hAnsi="Calibri"/>
          <w:lang w:val="sq-AL"/>
        </w:rPr>
        <w:t xml:space="preserve">mln </w:t>
      </w:r>
      <w:r w:rsidRPr="00AF578C">
        <w:rPr>
          <w:rFonts w:ascii="Calibri" w:hAnsi="Calibri"/>
          <w:lang w:val="sq-AL"/>
        </w:rPr>
        <w:t>lekë.</w:t>
      </w:r>
    </w:p>
    <w:p w:rsidR="00AF578C" w:rsidRPr="00AF578C" w:rsidRDefault="00AF578C" w:rsidP="00342E35">
      <w:pPr>
        <w:numPr>
          <w:ilvl w:val="0"/>
          <w:numId w:val="13"/>
        </w:numPr>
        <w:contextualSpacing/>
        <w:jc w:val="both"/>
        <w:rPr>
          <w:rFonts w:ascii="Calibri" w:hAnsi="Calibri"/>
          <w:lang w:val="sq-AL"/>
        </w:rPr>
      </w:pPr>
      <w:r w:rsidRPr="00AF578C">
        <w:rPr>
          <w:rFonts w:ascii="Calibri" w:hAnsi="Calibri"/>
          <w:lang w:val="sq-AL"/>
        </w:rPr>
        <w:t>Studim Projektim mbikalimi TEG, me vlerë 10.4 milionë lekë.</w:t>
      </w:r>
    </w:p>
    <w:p w:rsidR="00AF578C" w:rsidRPr="0006646C" w:rsidRDefault="00AF578C" w:rsidP="00AF578C">
      <w:pPr>
        <w:spacing w:line="276" w:lineRule="auto"/>
        <w:jc w:val="both"/>
        <w:rPr>
          <w:rFonts w:asciiTheme="minorHAnsi" w:hAnsiTheme="minorHAnsi"/>
          <w:sz w:val="8"/>
          <w:szCs w:val="8"/>
          <w:lang w:val="sq-AL"/>
        </w:rPr>
      </w:pPr>
    </w:p>
    <w:p w:rsidR="00AF578C" w:rsidRPr="00AF578C" w:rsidRDefault="00AF578C" w:rsidP="00AF578C">
      <w:pPr>
        <w:spacing w:line="276" w:lineRule="auto"/>
        <w:jc w:val="both"/>
        <w:rPr>
          <w:rFonts w:asciiTheme="minorHAnsi" w:hAnsiTheme="minorHAnsi"/>
          <w:u w:val="single"/>
          <w:lang w:val="sq-AL"/>
        </w:rPr>
      </w:pPr>
      <w:r w:rsidRPr="00AF578C">
        <w:rPr>
          <w:rFonts w:asciiTheme="minorHAnsi" w:hAnsiTheme="minorHAnsi"/>
          <w:u w:val="single"/>
          <w:lang w:val="sq-AL"/>
        </w:rPr>
        <w:t>Në programin “Uj</w:t>
      </w:r>
      <w:r>
        <w:rPr>
          <w:rFonts w:asciiTheme="minorHAnsi" w:hAnsiTheme="minorHAnsi"/>
          <w:u w:val="single"/>
          <w:lang w:val="sq-AL"/>
        </w:rPr>
        <w:t>ë</w:t>
      </w:r>
      <w:r w:rsidRPr="00AF578C">
        <w:rPr>
          <w:rFonts w:asciiTheme="minorHAnsi" w:hAnsiTheme="minorHAnsi"/>
          <w:u w:val="single"/>
          <w:lang w:val="sq-AL"/>
        </w:rPr>
        <w:t>sjell</w:t>
      </w:r>
      <w:r>
        <w:rPr>
          <w:rFonts w:asciiTheme="minorHAnsi" w:hAnsiTheme="minorHAnsi"/>
          <w:u w:val="single"/>
          <w:lang w:val="sq-AL"/>
        </w:rPr>
        <w:t>ë</w:t>
      </w:r>
      <w:r w:rsidRPr="00AF578C">
        <w:rPr>
          <w:rFonts w:asciiTheme="minorHAnsi" w:hAnsiTheme="minorHAnsi"/>
          <w:u w:val="single"/>
          <w:lang w:val="sq-AL"/>
        </w:rPr>
        <w:t>s</w:t>
      </w:r>
      <w:r>
        <w:rPr>
          <w:rFonts w:asciiTheme="minorHAnsi" w:hAnsiTheme="minorHAnsi"/>
          <w:u w:val="single"/>
          <w:lang w:val="sq-AL"/>
        </w:rPr>
        <w:t>-</w:t>
      </w:r>
      <w:r w:rsidRPr="00AF578C">
        <w:rPr>
          <w:rFonts w:asciiTheme="minorHAnsi" w:hAnsiTheme="minorHAnsi"/>
          <w:u w:val="single"/>
          <w:lang w:val="sq-AL"/>
        </w:rPr>
        <w:t>Kanalizime”:</w:t>
      </w:r>
    </w:p>
    <w:p w:rsidR="00AF578C" w:rsidRPr="00342E35" w:rsidRDefault="00AF578C" w:rsidP="00342E35">
      <w:pPr>
        <w:numPr>
          <w:ilvl w:val="0"/>
          <w:numId w:val="13"/>
        </w:numPr>
        <w:contextualSpacing/>
        <w:jc w:val="both"/>
        <w:rPr>
          <w:rFonts w:ascii="Calibri" w:hAnsi="Calibri"/>
          <w:i/>
          <w:lang w:val="sq-AL"/>
        </w:rPr>
      </w:pPr>
      <w:r w:rsidRPr="00342E35">
        <w:rPr>
          <w:rFonts w:ascii="Calibri" w:hAnsi="Calibri"/>
          <w:i/>
          <w:lang w:val="sq-AL"/>
        </w:rPr>
        <w:t>Ndërtimi i rrjetit të jashtëm të kanalizimeve të ujrave të zeza  dhe  stacioni i pompimit  Lagja Potam, me vlerë 40.9 milionë lekë.</w:t>
      </w:r>
    </w:p>
    <w:p w:rsidR="00AF578C" w:rsidRPr="00342E35" w:rsidRDefault="00AF578C" w:rsidP="00342E35">
      <w:pPr>
        <w:numPr>
          <w:ilvl w:val="0"/>
          <w:numId w:val="13"/>
        </w:numPr>
        <w:contextualSpacing/>
        <w:jc w:val="both"/>
        <w:rPr>
          <w:rFonts w:ascii="Calibri" w:hAnsi="Calibri"/>
          <w:i/>
          <w:lang w:val="sq-AL"/>
        </w:rPr>
      </w:pPr>
      <w:r w:rsidRPr="00342E35">
        <w:rPr>
          <w:rFonts w:ascii="Calibri" w:hAnsi="Calibri"/>
          <w:i/>
          <w:lang w:val="sq-AL"/>
        </w:rPr>
        <w:t xml:space="preserve">Transformimi i stacionit të pompave Peqin, me vlerë 23.7 milionë lekë. </w:t>
      </w:r>
    </w:p>
    <w:p w:rsidR="00AF578C" w:rsidRPr="00342E35" w:rsidRDefault="00AF578C" w:rsidP="00342E35">
      <w:pPr>
        <w:numPr>
          <w:ilvl w:val="0"/>
          <w:numId w:val="13"/>
        </w:numPr>
        <w:contextualSpacing/>
        <w:jc w:val="both"/>
        <w:rPr>
          <w:rFonts w:ascii="Calibri" w:hAnsi="Calibri"/>
          <w:i/>
          <w:lang w:val="sq-AL"/>
        </w:rPr>
      </w:pPr>
      <w:r w:rsidRPr="00342E35">
        <w:rPr>
          <w:rFonts w:ascii="Calibri" w:hAnsi="Calibri"/>
          <w:i/>
          <w:lang w:val="sq-AL"/>
        </w:rPr>
        <w:t>Impi</w:t>
      </w:r>
      <w:r w:rsidR="00AD3B61">
        <w:rPr>
          <w:rFonts w:ascii="Calibri" w:hAnsi="Calibri"/>
          <w:i/>
          <w:lang w:val="sq-AL"/>
        </w:rPr>
        <w:t>a</w:t>
      </w:r>
      <w:r w:rsidRPr="00342E35">
        <w:rPr>
          <w:rFonts w:ascii="Calibri" w:hAnsi="Calibri"/>
          <w:i/>
          <w:lang w:val="sq-AL"/>
        </w:rPr>
        <w:t>nti i Trajtimit të Ujrave të Ndotura në zonën Dhrale</w:t>
      </w:r>
      <w:r w:rsidR="00AD3B61">
        <w:rPr>
          <w:rFonts w:ascii="Calibri" w:hAnsi="Calibri"/>
          <w:i/>
          <w:lang w:val="sq-AL"/>
        </w:rPr>
        <w:t>-</w:t>
      </w:r>
      <w:r w:rsidRPr="00342E35">
        <w:rPr>
          <w:rFonts w:ascii="Calibri" w:hAnsi="Calibri"/>
          <w:i/>
          <w:lang w:val="sq-AL"/>
        </w:rPr>
        <w:t xml:space="preserve">Palasë, Loti I, 138.3 </w:t>
      </w:r>
      <w:r w:rsidR="00AD3B61">
        <w:rPr>
          <w:rFonts w:ascii="Calibri" w:hAnsi="Calibri"/>
          <w:i/>
          <w:lang w:val="sq-AL"/>
        </w:rPr>
        <w:t>mln l</w:t>
      </w:r>
      <w:r w:rsidRPr="00342E35">
        <w:rPr>
          <w:rFonts w:ascii="Calibri" w:hAnsi="Calibri"/>
          <w:i/>
          <w:lang w:val="sq-AL"/>
        </w:rPr>
        <w:t>ekë.</w:t>
      </w:r>
    </w:p>
    <w:p w:rsidR="00AF578C" w:rsidRPr="00342E35" w:rsidRDefault="00AF578C" w:rsidP="00342E35">
      <w:pPr>
        <w:numPr>
          <w:ilvl w:val="0"/>
          <w:numId w:val="13"/>
        </w:numPr>
        <w:contextualSpacing/>
        <w:jc w:val="both"/>
        <w:rPr>
          <w:rFonts w:ascii="Calibri" w:hAnsi="Calibri"/>
          <w:i/>
          <w:lang w:val="sq-AL"/>
        </w:rPr>
      </w:pPr>
      <w:r w:rsidRPr="00342E35">
        <w:rPr>
          <w:rFonts w:ascii="Calibri" w:hAnsi="Calibri"/>
          <w:i/>
          <w:lang w:val="sq-AL"/>
        </w:rPr>
        <w:t xml:space="preserve">Ujësjellësi i jashtëm Ersekë nga burimet Mavro dhe Glladishtë dhe rrjeti i brendshëm i ujësjellësit Ersekë, me vlerë 428.3 milionë lekë.  </w:t>
      </w:r>
    </w:p>
    <w:p w:rsidR="00AF578C" w:rsidRPr="00342E35" w:rsidRDefault="00AF578C" w:rsidP="00342E35">
      <w:pPr>
        <w:numPr>
          <w:ilvl w:val="0"/>
          <w:numId w:val="13"/>
        </w:numPr>
        <w:contextualSpacing/>
        <w:jc w:val="both"/>
        <w:rPr>
          <w:rFonts w:ascii="Calibri" w:hAnsi="Calibri"/>
          <w:i/>
          <w:lang w:val="sq-AL"/>
        </w:rPr>
      </w:pPr>
      <w:r w:rsidRPr="00342E35">
        <w:rPr>
          <w:rFonts w:ascii="Calibri" w:hAnsi="Calibri"/>
          <w:i/>
          <w:lang w:val="sq-AL"/>
        </w:rPr>
        <w:t>Sistemimi i furnizimit me ujë të zonës turistike Hamallaj, faza e I, Sukth.</w:t>
      </w:r>
    </w:p>
    <w:p w:rsidR="00AF578C" w:rsidRPr="00342E35" w:rsidRDefault="00AF578C" w:rsidP="00342E35">
      <w:pPr>
        <w:numPr>
          <w:ilvl w:val="0"/>
          <w:numId w:val="13"/>
        </w:numPr>
        <w:contextualSpacing/>
        <w:jc w:val="both"/>
        <w:rPr>
          <w:rFonts w:ascii="Calibri" w:hAnsi="Calibri"/>
          <w:i/>
          <w:lang w:val="sq-AL"/>
        </w:rPr>
      </w:pPr>
      <w:r w:rsidRPr="00342E35">
        <w:rPr>
          <w:rFonts w:ascii="Calibri" w:hAnsi="Calibri"/>
          <w:i/>
          <w:lang w:val="sq-AL"/>
        </w:rPr>
        <w:t>Ndërtim i ujësjellësit të fshatrave Lalëz, Bizë ,Daç dhe Shetë, Bashkia Durrës.</w:t>
      </w:r>
    </w:p>
    <w:p w:rsidR="00AF578C" w:rsidRPr="00AF578C" w:rsidRDefault="00AF578C" w:rsidP="00AF578C">
      <w:pPr>
        <w:pStyle w:val="NormalWeb"/>
        <w:spacing w:after="0" w:afterAutospacing="0" w:line="276" w:lineRule="auto"/>
        <w:jc w:val="both"/>
        <w:rPr>
          <w:rFonts w:asciiTheme="minorHAnsi" w:hAnsiTheme="minorHAnsi"/>
          <w:b/>
          <w:color w:val="000000"/>
          <w:lang w:val="sq-AL"/>
        </w:rPr>
      </w:pPr>
      <w:r w:rsidRPr="00AF578C">
        <w:rPr>
          <w:rFonts w:asciiTheme="minorHAnsi" w:hAnsiTheme="minorHAnsi"/>
          <w:b/>
          <w:color w:val="000000"/>
          <w:lang w:val="sq-AL"/>
        </w:rPr>
        <w:t>Ministria e Arsimit dhe Sporteve</w:t>
      </w:r>
    </w:p>
    <w:p w:rsidR="00AF578C" w:rsidRPr="00AF578C" w:rsidRDefault="00AF578C" w:rsidP="00E12EB4">
      <w:pPr>
        <w:spacing w:line="276" w:lineRule="auto"/>
        <w:jc w:val="both"/>
        <w:rPr>
          <w:rFonts w:asciiTheme="minorHAnsi" w:hAnsiTheme="minorHAnsi"/>
          <w:bCs/>
          <w:lang w:val="sq-AL"/>
        </w:rPr>
      </w:pPr>
      <w:r w:rsidRPr="00AF578C">
        <w:rPr>
          <w:rFonts w:asciiTheme="minorHAnsi" w:hAnsiTheme="minorHAnsi"/>
          <w:color w:val="000000"/>
          <w:lang w:val="sq-AL"/>
        </w:rPr>
        <w:t xml:space="preserve">Për MASR deri në fund të muajit maj 2020 </w:t>
      </w:r>
      <w:r w:rsidRPr="00AF578C">
        <w:rPr>
          <w:rFonts w:asciiTheme="minorHAnsi" w:hAnsiTheme="minorHAnsi"/>
          <w:b/>
          <w:color w:val="000000"/>
          <w:lang w:val="sq-AL"/>
        </w:rPr>
        <w:t>janë realizuar 12 kontrata investimesh</w:t>
      </w:r>
      <w:r w:rsidRPr="00AF578C">
        <w:rPr>
          <w:rFonts w:asciiTheme="minorHAnsi" w:hAnsiTheme="minorHAnsi"/>
          <w:color w:val="000000"/>
          <w:lang w:val="sq-AL"/>
        </w:rPr>
        <w:t xml:space="preserve">, </w:t>
      </w:r>
      <w:r w:rsidRPr="00AF578C">
        <w:rPr>
          <w:rFonts w:asciiTheme="minorHAnsi" w:hAnsiTheme="minorHAnsi"/>
          <w:bCs/>
          <w:lang w:val="sq-AL"/>
        </w:rPr>
        <w:t>për arsimin bazë, arsimin e mesëm, laboratorë dhe zhvillimin e sportit.</w:t>
      </w:r>
    </w:p>
    <w:p w:rsidR="00AF578C" w:rsidRPr="00AD3B61" w:rsidRDefault="00AF578C" w:rsidP="00342E35">
      <w:pPr>
        <w:numPr>
          <w:ilvl w:val="0"/>
          <w:numId w:val="13"/>
        </w:numPr>
        <w:contextualSpacing/>
        <w:jc w:val="both"/>
        <w:rPr>
          <w:rFonts w:ascii="Calibri" w:hAnsi="Calibri"/>
          <w:lang w:val="sq-AL"/>
        </w:rPr>
      </w:pPr>
      <w:r w:rsidRPr="00AD3B61">
        <w:rPr>
          <w:rFonts w:ascii="Calibri" w:hAnsi="Calibri"/>
          <w:lang w:val="sq-AL"/>
        </w:rPr>
        <w:t>Rikonstuksion i plotë i pallatit të sportit "Arjan Arapi" Rrëshen, me vlerë 2.8 milionë lekë.</w:t>
      </w:r>
    </w:p>
    <w:p w:rsidR="00AF578C" w:rsidRPr="00AD3B61" w:rsidRDefault="00AF578C" w:rsidP="00342E35">
      <w:pPr>
        <w:numPr>
          <w:ilvl w:val="0"/>
          <w:numId w:val="13"/>
        </w:numPr>
        <w:contextualSpacing/>
        <w:jc w:val="both"/>
        <w:rPr>
          <w:rFonts w:ascii="Calibri" w:hAnsi="Calibri"/>
          <w:lang w:val="sq-AL"/>
        </w:rPr>
      </w:pPr>
      <w:r w:rsidRPr="00AD3B61">
        <w:rPr>
          <w:rFonts w:ascii="Calibri" w:hAnsi="Calibri"/>
          <w:lang w:val="sq-AL"/>
        </w:rPr>
        <w:t>Projekti "Jeto me sportin" "Rikualifikim i terreneve sportive në shkollat  "Oso Kuka" B. Shkodër, "Ana e Malit", Oblikë dhe "At Gjon Kama" Gur i Zi", me vlerë 3.2 milionë lekë.</w:t>
      </w:r>
    </w:p>
    <w:p w:rsidR="00AF578C" w:rsidRPr="00AD3B61" w:rsidRDefault="00AF578C" w:rsidP="00342E35">
      <w:pPr>
        <w:numPr>
          <w:ilvl w:val="0"/>
          <w:numId w:val="13"/>
        </w:numPr>
        <w:contextualSpacing/>
        <w:jc w:val="both"/>
        <w:rPr>
          <w:rFonts w:ascii="Calibri" w:hAnsi="Calibri"/>
          <w:lang w:val="sq-AL"/>
        </w:rPr>
      </w:pPr>
      <w:r w:rsidRPr="00AD3B61">
        <w:rPr>
          <w:rFonts w:ascii="Calibri" w:hAnsi="Calibri"/>
          <w:lang w:val="sq-AL"/>
        </w:rPr>
        <w:t>Ambjente sportive + Rikonstruksion i shkollës  "Astrit Hyka'' , fshati Kutalli, me vlerë 7 milionë lekë.</w:t>
      </w:r>
    </w:p>
    <w:p w:rsidR="00AF578C" w:rsidRPr="00AD3B61" w:rsidRDefault="00AF578C" w:rsidP="00342E35">
      <w:pPr>
        <w:numPr>
          <w:ilvl w:val="0"/>
          <w:numId w:val="13"/>
        </w:numPr>
        <w:contextualSpacing/>
        <w:jc w:val="both"/>
        <w:rPr>
          <w:rFonts w:ascii="Calibri" w:hAnsi="Calibri"/>
          <w:lang w:val="sq-AL"/>
        </w:rPr>
      </w:pPr>
      <w:r w:rsidRPr="00AD3B61">
        <w:rPr>
          <w:rFonts w:ascii="Calibri" w:hAnsi="Calibri"/>
          <w:lang w:val="sq-AL"/>
        </w:rPr>
        <w:t>Rikonstruksion i shkollës 9-vjeçare Velmisht, me vlerë 31.6 milionë lekë.</w:t>
      </w:r>
    </w:p>
    <w:p w:rsidR="00AF578C" w:rsidRPr="00AD3B61" w:rsidRDefault="00AF578C" w:rsidP="00342E35">
      <w:pPr>
        <w:numPr>
          <w:ilvl w:val="0"/>
          <w:numId w:val="13"/>
        </w:numPr>
        <w:contextualSpacing/>
        <w:jc w:val="both"/>
        <w:rPr>
          <w:rFonts w:ascii="Calibri" w:hAnsi="Calibri"/>
          <w:lang w:val="sq-AL"/>
        </w:rPr>
      </w:pPr>
      <w:r w:rsidRPr="00AD3B61">
        <w:rPr>
          <w:rFonts w:ascii="Calibri" w:hAnsi="Calibri"/>
          <w:lang w:val="sq-AL"/>
        </w:rPr>
        <w:t>Rikonstruksion i shkollës 9-vjeçare "Ajet Toska", Suk 2, me vlerë 1.2 milionë lekë.</w:t>
      </w:r>
    </w:p>
    <w:p w:rsidR="00AF578C" w:rsidRPr="00AD3B61" w:rsidRDefault="00AF578C" w:rsidP="00342E35">
      <w:pPr>
        <w:numPr>
          <w:ilvl w:val="0"/>
          <w:numId w:val="13"/>
        </w:numPr>
        <w:contextualSpacing/>
        <w:jc w:val="both"/>
        <w:rPr>
          <w:rFonts w:ascii="Calibri" w:hAnsi="Calibri"/>
          <w:lang w:val="sq-AL"/>
        </w:rPr>
      </w:pPr>
      <w:r w:rsidRPr="00AD3B61">
        <w:rPr>
          <w:rFonts w:ascii="Calibri" w:hAnsi="Calibri"/>
          <w:lang w:val="sq-AL"/>
        </w:rPr>
        <w:t>EKO Kampus Saranda, me vlerë 11.7 milionë lekë.</w:t>
      </w:r>
    </w:p>
    <w:p w:rsidR="00AF578C" w:rsidRPr="00AD3B61" w:rsidRDefault="00AF578C" w:rsidP="00342E35">
      <w:pPr>
        <w:numPr>
          <w:ilvl w:val="0"/>
          <w:numId w:val="13"/>
        </w:numPr>
        <w:contextualSpacing/>
        <w:jc w:val="both"/>
        <w:rPr>
          <w:rFonts w:ascii="Calibri" w:hAnsi="Calibri"/>
          <w:lang w:val="sq-AL"/>
        </w:rPr>
      </w:pPr>
      <w:r w:rsidRPr="00AD3B61">
        <w:rPr>
          <w:rFonts w:ascii="Calibri" w:hAnsi="Calibri"/>
          <w:lang w:val="sq-AL"/>
        </w:rPr>
        <w:t>Rikonstruksion godine dhe ndertim palestre gjimnazi "Adem Vrapi", me vlerë 57.1 milionë lekë.</w:t>
      </w:r>
    </w:p>
    <w:p w:rsidR="00AF578C" w:rsidRPr="00AD3B61" w:rsidRDefault="00AF578C" w:rsidP="00342E35">
      <w:pPr>
        <w:numPr>
          <w:ilvl w:val="0"/>
          <w:numId w:val="13"/>
        </w:numPr>
        <w:contextualSpacing/>
        <w:jc w:val="both"/>
        <w:rPr>
          <w:rFonts w:ascii="Calibri" w:hAnsi="Calibri"/>
          <w:lang w:val="sq-AL"/>
        </w:rPr>
      </w:pPr>
      <w:r w:rsidRPr="00AD3B61">
        <w:rPr>
          <w:rFonts w:ascii="Calibri" w:hAnsi="Calibri"/>
          <w:lang w:val="sq-AL"/>
        </w:rPr>
        <w:t>Rikonstruksion shtesë anësore e shkollës së mesme Haxhi Qehaj, Rrogozhinë, me vlerë 7.3 milionë lekë.</w:t>
      </w:r>
    </w:p>
    <w:p w:rsidR="00AF578C" w:rsidRPr="00AD3B61" w:rsidRDefault="00AF578C" w:rsidP="00342E35">
      <w:pPr>
        <w:numPr>
          <w:ilvl w:val="0"/>
          <w:numId w:val="13"/>
        </w:numPr>
        <w:contextualSpacing/>
        <w:jc w:val="both"/>
        <w:rPr>
          <w:rFonts w:ascii="Calibri" w:hAnsi="Calibri"/>
          <w:lang w:val="sq-AL"/>
        </w:rPr>
      </w:pPr>
      <w:r w:rsidRPr="00AD3B61">
        <w:rPr>
          <w:rFonts w:ascii="Calibri" w:hAnsi="Calibri"/>
          <w:lang w:val="sq-AL"/>
        </w:rPr>
        <w:t>Rikonstruksion i shkollës "18 Tetori" Kucovë, me vlerë 29.9 milionë lekë.</w:t>
      </w:r>
    </w:p>
    <w:p w:rsidR="00AF578C" w:rsidRPr="00AD3B61" w:rsidRDefault="00AF578C" w:rsidP="00342E35">
      <w:pPr>
        <w:numPr>
          <w:ilvl w:val="0"/>
          <w:numId w:val="13"/>
        </w:numPr>
        <w:contextualSpacing/>
        <w:jc w:val="both"/>
        <w:rPr>
          <w:rFonts w:ascii="Calibri" w:hAnsi="Calibri"/>
          <w:lang w:val="sq-AL"/>
        </w:rPr>
      </w:pPr>
      <w:r w:rsidRPr="00AD3B61">
        <w:rPr>
          <w:rFonts w:ascii="Calibri" w:hAnsi="Calibri"/>
          <w:lang w:val="sq-AL"/>
        </w:rPr>
        <w:t>Rikonstruksion+ndërtim palestër shkolla e mesme "Mustafa Kemal Ataturk" Pajove, me vlerë 14 milionë lekë.</w:t>
      </w:r>
    </w:p>
    <w:p w:rsidR="00AF578C" w:rsidRPr="00AD3B61" w:rsidRDefault="00AF578C" w:rsidP="00342E35">
      <w:pPr>
        <w:numPr>
          <w:ilvl w:val="0"/>
          <w:numId w:val="13"/>
        </w:numPr>
        <w:contextualSpacing/>
        <w:jc w:val="both"/>
        <w:rPr>
          <w:rFonts w:ascii="Calibri" w:hAnsi="Calibri"/>
          <w:lang w:val="sq-AL"/>
        </w:rPr>
      </w:pPr>
      <w:r w:rsidRPr="00AD3B61">
        <w:rPr>
          <w:rFonts w:ascii="Calibri" w:hAnsi="Calibri"/>
          <w:lang w:val="sq-AL"/>
        </w:rPr>
        <w:t>Rikonstruksion i shkollës së mesme të përgjithshme, Këlcyrë, me vlerë 20.1 milionë lekë.</w:t>
      </w:r>
    </w:p>
    <w:p w:rsidR="00AF578C" w:rsidRPr="00AD3B61" w:rsidRDefault="00AF578C" w:rsidP="00342E35">
      <w:pPr>
        <w:numPr>
          <w:ilvl w:val="0"/>
          <w:numId w:val="13"/>
        </w:numPr>
        <w:contextualSpacing/>
        <w:jc w:val="both"/>
        <w:rPr>
          <w:rFonts w:ascii="Calibri" w:hAnsi="Calibri"/>
          <w:lang w:val="sq-AL"/>
        </w:rPr>
      </w:pPr>
      <w:r w:rsidRPr="00AD3B61">
        <w:rPr>
          <w:rFonts w:ascii="Calibri" w:hAnsi="Calibri"/>
          <w:lang w:val="sq-AL"/>
        </w:rPr>
        <w:t>Ngritja e një laboratori të integruar në Fakultetin e Mjeksisë veterinare/UBT, në funksion të rritjes së sigurisë së produkteve ushqimore dhe përmirësimit të shëndetit të kafshëve, 17.9</w:t>
      </w:r>
      <w:r w:rsidR="00AD3B61">
        <w:rPr>
          <w:rFonts w:ascii="Calibri" w:hAnsi="Calibri"/>
          <w:lang w:val="sq-AL"/>
        </w:rPr>
        <w:t xml:space="preserve">mln </w:t>
      </w:r>
      <w:r w:rsidRPr="00AD3B61">
        <w:rPr>
          <w:rFonts w:ascii="Calibri" w:hAnsi="Calibri"/>
          <w:lang w:val="sq-AL"/>
        </w:rPr>
        <w:t>lekë.</w:t>
      </w:r>
    </w:p>
    <w:p w:rsidR="00AF578C" w:rsidRPr="00AF578C" w:rsidRDefault="00AF578C" w:rsidP="00AF578C">
      <w:pPr>
        <w:spacing w:line="276" w:lineRule="auto"/>
        <w:jc w:val="both"/>
        <w:rPr>
          <w:rFonts w:asciiTheme="minorHAnsi" w:hAnsiTheme="minorHAnsi"/>
          <w:b/>
          <w:lang w:val="sq-AL"/>
        </w:rPr>
      </w:pPr>
      <w:r w:rsidRPr="00AF578C">
        <w:rPr>
          <w:rFonts w:asciiTheme="minorHAnsi" w:hAnsiTheme="minorHAnsi"/>
          <w:b/>
          <w:lang w:val="sq-AL"/>
        </w:rPr>
        <w:lastRenderedPageBreak/>
        <w:t>Ministria e Shëndetësisë dhe Mbrojtjes Sociale</w:t>
      </w:r>
    </w:p>
    <w:p w:rsidR="00AF578C" w:rsidRPr="00AF578C" w:rsidRDefault="00AF578C" w:rsidP="00AF578C">
      <w:pPr>
        <w:spacing w:line="276" w:lineRule="auto"/>
        <w:jc w:val="both"/>
        <w:rPr>
          <w:rFonts w:asciiTheme="minorHAnsi" w:hAnsiTheme="minorHAnsi"/>
          <w:bCs/>
          <w:lang w:val="sq-AL"/>
        </w:rPr>
      </w:pPr>
      <w:r w:rsidRPr="00AF578C">
        <w:rPr>
          <w:rFonts w:asciiTheme="minorHAnsi" w:hAnsiTheme="minorHAnsi"/>
          <w:lang w:val="sq-AL"/>
        </w:rPr>
        <w:t>Me fondet e alokuara për investime për vitin 2020</w:t>
      </w:r>
      <w:r w:rsidRPr="00AF578C">
        <w:rPr>
          <w:rFonts w:asciiTheme="minorHAnsi" w:hAnsiTheme="minorHAnsi"/>
          <w:color w:val="000000"/>
          <w:lang w:val="sq-AL"/>
        </w:rPr>
        <w:t>, kanë</w:t>
      </w:r>
      <w:r w:rsidRPr="00AF578C">
        <w:rPr>
          <w:rFonts w:asciiTheme="minorHAnsi" w:hAnsiTheme="minorHAnsi"/>
          <w:bCs/>
          <w:color w:val="000000"/>
          <w:lang w:val="sq-AL"/>
        </w:rPr>
        <w:t xml:space="preserve"> përfunduar objektet më poshtë</w:t>
      </w:r>
      <w:r w:rsidRPr="00AF578C">
        <w:rPr>
          <w:rFonts w:asciiTheme="minorHAnsi" w:hAnsiTheme="minorHAnsi"/>
          <w:bCs/>
          <w:lang w:val="sq-AL"/>
        </w:rPr>
        <w:t>:</w:t>
      </w:r>
    </w:p>
    <w:p w:rsidR="00AF578C" w:rsidRPr="00AF578C" w:rsidRDefault="00AF578C" w:rsidP="00342E35">
      <w:pPr>
        <w:numPr>
          <w:ilvl w:val="0"/>
          <w:numId w:val="13"/>
        </w:numPr>
        <w:contextualSpacing/>
        <w:jc w:val="both"/>
        <w:rPr>
          <w:rFonts w:ascii="Calibri" w:hAnsi="Calibri"/>
          <w:lang w:val="sq-AL"/>
        </w:rPr>
      </w:pPr>
      <w:r w:rsidRPr="00AF578C">
        <w:rPr>
          <w:rFonts w:ascii="Calibri" w:hAnsi="Calibri"/>
          <w:lang w:val="sq-AL"/>
        </w:rPr>
        <w:t>Furnizim vendosje pajisje kompiuterike, elektronike si dhe licencat për përdorimin e programeve të sistemit të integruar për Shërbimin e ri Kombëtar të Urgjencës, 1.9</w:t>
      </w:r>
      <w:r w:rsidR="00342E35">
        <w:rPr>
          <w:rFonts w:ascii="Calibri" w:hAnsi="Calibri"/>
          <w:lang w:val="sq-AL"/>
        </w:rPr>
        <w:t xml:space="preserve">mln </w:t>
      </w:r>
      <w:r w:rsidRPr="00AF578C">
        <w:rPr>
          <w:rFonts w:ascii="Calibri" w:hAnsi="Calibri"/>
          <w:lang w:val="sq-AL"/>
        </w:rPr>
        <w:t>lekë.</w:t>
      </w:r>
    </w:p>
    <w:p w:rsidR="00AF578C" w:rsidRDefault="00AF578C" w:rsidP="00342E35">
      <w:pPr>
        <w:numPr>
          <w:ilvl w:val="0"/>
          <w:numId w:val="13"/>
        </w:numPr>
        <w:contextualSpacing/>
        <w:jc w:val="both"/>
        <w:rPr>
          <w:rFonts w:ascii="Calibri" w:hAnsi="Calibri"/>
          <w:lang w:val="sq-AL"/>
        </w:rPr>
      </w:pPr>
      <w:r w:rsidRPr="00AF578C">
        <w:rPr>
          <w:rFonts w:ascii="Calibri" w:hAnsi="Calibri"/>
          <w:lang w:val="sq-AL"/>
        </w:rPr>
        <w:t>Ndërtim i qendrës së të moshuarve në Palasë, me vlerë 1.4 milionë lekë.</w:t>
      </w:r>
    </w:p>
    <w:p w:rsidR="00E12EB4" w:rsidRPr="0006646C" w:rsidRDefault="00E12EB4" w:rsidP="00E12EB4">
      <w:pPr>
        <w:spacing w:line="276" w:lineRule="auto"/>
        <w:ind w:left="720"/>
        <w:contextualSpacing/>
        <w:jc w:val="both"/>
        <w:rPr>
          <w:rFonts w:ascii="Calibri" w:hAnsi="Calibri"/>
          <w:sz w:val="8"/>
          <w:szCs w:val="8"/>
          <w:lang w:val="sq-AL"/>
        </w:rPr>
      </w:pPr>
    </w:p>
    <w:p w:rsidR="0006646C" w:rsidRPr="0006646C" w:rsidRDefault="0006646C" w:rsidP="0006646C">
      <w:pPr>
        <w:spacing w:line="276" w:lineRule="auto"/>
        <w:jc w:val="both"/>
        <w:rPr>
          <w:rFonts w:asciiTheme="minorHAnsi" w:hAnsiTheme="minorHAnsi"/>
          <w:b/>
          <w:sz w:val="8"/>
          <w:szCs w:val="8"/>
          <w:lang w:val="sq-AL"/>
        </w:rPr>
      </w:pPr>
    </w:p>
    <w:p w:rsidR="00AF578C" w:rsidRPr="00AF578C" w:rsidRDefault="00AF578C" w:rsidP="0006646C">
      <w:pPr>
        <w:spacing w:line="276" w:lineRule="auto"/>
        <w:jc w:val="both"/>
        <w:rPr>
          <w:rFonts w:asciiTheme="minorHAnsi" w:hAnsiTheme="minorHAnsi"/>
          <w:b/>
          <w:lang w:val="sq-AL"/>
        </w:rPr>
      </w:pPr>
      <w:r w:rsidRPr="00AF578C">
        <w:rPr>
          <w:rFonts w:asciiTheme="minorHAnsi" w:hAnsiTheme="minorHAnsi"/>
          <w:b/>
          <w:lang w:val="sq-AL"/>
        </w:rPr>
        <w:t>Ministria e Financave dhe Ekonomisë</w:t>
      </w:r>
    </w:p>
    <w:p w:rsidR="00AF578C" w:rsidRPr="00AF578C" w:rsidRDefault="00AF578C" w:rsidP="00AF578C">
      <w:pPr>
        <w:spacing w:line="276" w:lineRule="auto"/>
        <w:jc w:val="both"/>
        <w:rPr>
          <w:rFonts w:asciiTheme="minorHAnsi" w:hAnsiTheme="minorHAnsi"/>
          <w:lang w:val="sq-AL"/>
        </w:rPr>
      </w:pPr>
      <w:r w:rsidRPr="00AF578C">
        <w:rPr>
          <w:rFonts w:asciiTheme="minorHAnsi" w:hAnsiTheme="minorHAnsi"/>
          <w:lang w:val="sq-AL"/>
        </w:rPr>
        <w:t>Me fondet e alokuara për investime për vitin 2020, në Ministrinë e Financave dhe Ekonomisë janë mbyllur 3 kontrata që i përkasin Arsimit të Mesëm Profesional:</w:t>
      </w:r>
    </w:p>
    <w:p w:rsidR="00AF578C" w:rsidRPr="00AF578C" w:rsidRDefault="00AF578C" w:rsidP="00342E35">
      <w:pPr>
        <w:numPr>
          <w:ilvl w:val="0"/>
          <w:numId w:val="13"/>
        </w:numPr>
        <w:contextualSpacing/>
        <w:jc w:val="both"/>
        <w:rPr>
          <w:rFonts w:ascii="Calibri" w:hAnsi="Calibri"/>
          <w:lang w:val="sq-AL"/>
        </w:rPr>
      </w:pPr>
      <w:r w:rsidRPr="00AF578C">
        <w:rPr>
          <w:rFonts w:ascii="Calibri" w:hAnsi="Calibri"/>
          <w:lang w:val="sq-AL"/>
        </w:rPr>
        <w:t>Shkolla Karl Gega, me vlerë 128.3 milionë lekë.</w:t>
      </w:r>
    </w:p>
    <w:p w:rsidR="00AF578C" w:rsidRPr="00AF578C" w:rsidRDefault="00AF578C" w:rsidP="00342E35">
      <w:pPr>
        <w:numPr>
          <w:ilvl w:val="0"/>
          <w:numId w:val="13"/>
        </w:numPr>
        <w:contextualSpacing/>
        <w:jc w:val="both"/>
        <w:rPr>
          <w:rFonts w:ascii="Calibri" w:hAnsi="Calibri"/>
          <w:lang w:val="sq-AL"/>
        </w:rPr>
      </w:pPr>
      <w:r w:rsidRPr="00AF578C">
        <w:rPr>
          <w:rFonts w:ascii="Calibri" w:hAnsi="Calibri"/>
          <w:lang w:val="sq-AL"/>
        </w:rPr>
        <w:t>Rikonstruksion i Godinës së MFE dhe rrejtit LAN, me vlerë 146.9 milionë lekë.</w:t>
      </w:r>
    </w:p>
    <w:p w:rsidR="00AF578C" w:rsidRPr="00AF578C" w:rsidRDefault="00AF578C" w:rsidP="00342E35">
      <w:pPr>
        <w:numPr>
          <w:ilvl w:val="0"/>
          <w:numId w:val="13"/>
        </w:numPr>
        <w:contextualSpacing/>
        <w:jc w:val="both"/>
        <w:rPr>
          <w:rFonts w:ascii="Calibri" w:hAnsi="Calibri"/>
          <w:lang w:val="sq-AL"/>
        </w:rPr>
      </w:pPr>
      <w:r w:rsidRPr="00AF578C">
        <w:rPr>
          <w:rFonts w:ascii="Calibri" w:hAnsi="Calibri"/>
          <w:lang w:val="sq-AL"/>
        </w:rPr>
        <w:t>Rikostruksion i Shkollës Hoteleri</w:t>
      </w:r>
      <w:r w:rsidR="00342E35">
        <w:rPr>
          <w:rFonts w:ascii="Calibri" w:hAnsi="Calibri"/>
          <w:lang w:val="sq-AL"/>
        </w:rPr>
        <w:t>-</w:t>
      </w:r>
      <w:r w:rsidRPr="00AF578C">
        <w:rPr>
          <w:rFonts w:ascii="Calibri" w:hAnsi="Calibri"/>
          <w:lang w:val="sq-AL"/>
        </w:rPr>
        <w:t>Turizëm, 96.5</w:t>
      </w:r>
      <w:r w:rsidR="00342E35">
        <w:rPr>
          <w:rFonts w:ascii="Calibri" w:hAnsi="Calibri"/>
          <w:lang w:val="sq-AL"/>
        </w:rPr>
        <w:t>mln</w:t>
      </w:r>
      <w:r w:rsidRPr="00AF578C">
        <w:rPr>
          <w:rFonts w:ascii="Calibri" w:hAnsi="Calibri"/>
          <w:lang w:val="sq-AL"/>
        </w:rPr>
        <w:t xml:space="preserve"> lekë dhe shtesë kontrate 18.9</w:t>
      </w:r>
      <w:r w:rsidR="00342E35">
        <w:rPr>
          <w:rFonts w:ascii="Calibri" w:hAnsi="Calibri"/>
          <w:lang w:val="sq-AL"/>
        </w:rPr>
        <w:t>mln</w:t>
      </w:r>
      <w:r w:rsidRPr="00AF578C">
        <w:rPr>
          <w:rFonts w:ascii="Calibri" w:hAnsi="Calibri"/>
          <w:lang w:val="sq-AL"/>
        </w:rPr>
        <w:t xml:space="preserve"> lekë.</w:t>
      </w:r>
    </w:p>
    <w:p w:rsidR="00AF578C" w:rsidRPr="0006646C" w:rsidRDefault="00AF578C" w:rsidP="00AF578C">
      <w:pPr>
        <w:shd w:val="clear" w:color="auto" w:fill="FFFFFF"/>
        <w:rPr>
          <w:rFonts w:ascii="Segoe UI" w:hAnsi="Segoe UI" w:cs="Segoe UI"/>
          <w:color w:val="212121"/>
          <w:sz w:val="8"/>
          <w:szCs w:val="8"/>
          <w:lang w:eastAsia="sq-AL"/>
        </w:rPr>
      </w:pPr>
      <w:r w:rsidRPr="0006646C">
        <w:rPr>
          <w:rFonts w:ascii="Calibri" w:hAnsi="Calibri" w:cs="Calibri"/>
          <w:color w:val="212121"/>
          <w:sz w:val="8"/>
          <w:szCs w:val="8"/>
          <w:lang w:eastAsia="sq-AL"/>
        </w:rPr>
        <w:t> </w:t>
      </w:r>
    </w:p>
    <w:p w:rsidR="00AF578C" w:rsidRPr="00AF578C" w:rsidRDefault="00AF578C" w:rsidP="00AF578C">
      <w:pPr>
        <w:spacing w:line="276" w:lineRule="auto"/>
        <w:jc w:val="both"/>
        <w:rPr>
          <w:rFonts w:asciiTheme="minorHAnsi" w:hAnsiTheme="minorHAnsi"/>
          <w:b/>
          <w:lang w:val="sq-AL"/>
        </w:rPr>
      </w:pPr>
      <w:r w:rsidRPr="00AF578C">
        <w:rPr>
          <w:rFonts w:asciiTheme="minorHAnsi" w:hAnsiTheme="minorHAnsi"/>
          <w:b/>
          <w:lang w:val="sq-AL"/>
        </w:rPr>
        <w:t>Ministria e Brendshme</w:t>
      </w:r>
    </w:p>
    <w:p w:rsidR="00AF578C" w:rsidRPr="00AF578C" w:rsidRDefault="00AF578C" w:rsidP="00AF578C">
      <w:pPr>
        <w:spacing w:line="276" w:lineRule="auto"/>
        <w:jc w:val="both"/>
        <w:rPr>
          <w:rFonts w:asciiTheme="minorHAnsi" w:hAnsiTheme="minorHAnsi"/>
          <w:b/>
          <w:lang w:val="sq-AL"/>
        </w:rPr>
      </w:pPr>
      <w:r w:rsidRPr="00AF578C">
        <w:rPr>
          <w:rFonts w:asciiTheme="minorHAnsi" w:hAnsiTheme="minorHAnsi"/>
          <w:lang w:val="sq-AL"/>
        </w:rPr>
        <w:t>Me fondet e alokuara për investime për vitin 2020, janë mbyllur 6 kontrata për kolaudim, supervizim, oponencë teknike dhe mjete transporti. Nga këto ve</w:t>
      </w:r>
      <w:r w:rsidRPr="00AF578C">
        <w:rPr>
          <w:rFonts w:asciiTheme="minorHAnsi" w:hAnsiTheme="minorHAnsi" w:cstheme="minorHAnsi"/>
          <w:lang w:val="sq-AL"/>
        </w:rPr>
        <w:t>ç</w:t>
      </w:r>
      <w:r w:rsidRPr="00AF578C">
        <w:rPr>
          <w:rFonts w:asciiTheme="minorHAnsi" w:hAnsiTheme="minorHAnsi"/>
          <w:lang w:val="sq-AL"/>
        </w:rPr>
        <w:t>ojmë:</w:t>
      </w:r>
    </w:p>
    <w:p w:rsidR="00AF578C" w:rsidRPr="00AF578C" w:rsidRDefault="00AF578C" w:rsidP="00342E35">
      <w:pPr>
        <w:numPr>
          <w:ilvl w:val="0"/>
          <w:numId w:val="13"/>
        </w:numPr>
        <w:contextualSpacing/>
        <w:jc w:val="both"/>
        <w:rPr>
          <w:rFonts w:ascii="Calibri" w:hAnsi="Calibri"/>
          <w:lang w:val="sq-AL"/>
        </w:rPr>
      </w:pPr>
      <w:r w:rsidRPr="00AF578C">
        <w:rPr>
          <w:rFonts w:ascii="Calibri" w:hAnsi="Calibri"/>
          <w:lang w:val="sq-AL"/>
        </w:rPr>
        <w:t>Blerje mjete transporti, me vlerë 253.9 milionë lekë.</w:t>
      </w:r>
    </w:p>
    <w:p w:rsidR="00AF578C" w:rsidRPr="00AF578C" w:rsidRDefault="00AF578C" w:rsidP="00342E35">
      <w:pPr>
        <w:numPr>
          <w:ilvl w:val="0"/>
          <w:numId w:val="13"/>
        </w:numPr>
        <w:contextualSpacing/>
        <w:jc w:val="both"/>
        <w:rPr>
          <w:rFonts w:ascii="Calibri" w:hAnsi="Calibri"/>
          <w:lang w:val="sq-AL"/>
        </w:rPr>
      </w:pPr>
      <w:r w:rsidRPr="00AF578C">
        <w:rPr>
          <w:rFonts w:ascii="Calibri" w:hAnsi="Calibri"/>
          <w:lang w:val="sq-AL"/>
        </w:rPr>
        <w:t>Pagesë oponence teknike për projektin Ndërtim i Korpusit të Policisë (selia e re e DPP&amp;Akademia e Sigurisë), me vlerë 2.7 milionë lekë.</w:t>
      </w:r>
    </w:p>
    <w:p w:rsidR="00342E35" w:rsidRPr="00342E35" w:rsidRDefault="00342E35" w:rsidP="00AF578C">
      <w:pPr>
        <w:spacing w:line="276" w:lineRule="auto"/>
        <w:jc w:val="both"/>
        <w:rPr>
          <w:rFonts w:asciiTheme="minorHAnsi" w:hAnsiTheme="minorHAnsi"/>
          <w:b/>
          <w:sz w:val="8"/>
          <w:lang w:val="sq-AL"/>
        </w:rPr>
      </w:pPr>
    </w:p>
    <w:p w:rsidR="00AF578C" w:rsidRPr="00AF578C" w:rsidRDefault="00AF578C" w:rsidP="00AF578C">
      <w:pPr>
        <w:spacing w:line="276" w:lineRule="auto"/>
        <w:jc w:val="both"/>
        <w:rPr>
          <w:rFonts w:asciiTheme="minorHAnsi" w:hAnsiTheme="minorHAnsi"/>
          <w:b/>
          <w:lang w:val="sq-AL"/>
        </w:rPr>
      </w:pPr>
      <w:r w:rsidRPr="00AF578C">
        <w:rPr>
          <w:rFonts w:asciiTheme="minorHAnsi" w:hAnsiTheme="minorHAnsi"/>
          <w:b/>
          <w:lang w:val="sq-AL"/>
        </w:rPr>
        <w:t>Ministria e Drejtësisë</w:t>
      </w:r>
    </w:p>
    <w:p w:rsidR="00AF578C" w:rsidRPr="00AF578C" w:rsidRDefault="00AF578C" w:rsidP="00503465">
      <w:pPr>
        <w:numPr>
          <w:ilvl w:val="0"/>
          <w:numId w:val="13"/>
        </w:numPr>
        <w:spacing w:line="276" w:lineRule="auto"/>
        <w:contextualSpacing/>
        <w:jc w:val="both"/>
        <w:rPr>
          <w:rFonts w:ascii="Calibri" w:hAnsi="Calibri"/>
          <w:lang w:val="sq-AL"/>
        </w:rPr>
      </w:pPr>
      <w:r w:rsidRPr="00AF578C">
        <w:rPr>
          <w:rFonts w:ascii="Calibri" w:hAnsi="Calibri"/>
          <w:lang w:val="sq-AL"/>
        </w:rPr>
        <w:t>Pajisje të ndryshme për sistemin e burgjeve, me vlerë 409 milionë lekë</w:t>
      </w:r>
    </w:p>
    <w:p w:rsidR="00AF578C" w:rsidRPr="00AF578C" w:rsidRDefault="00AF578C" w:rsidP="00503465">
      <w:pPr>
        <w:numPr>
          <w:ilvl w:val="0"/>
          <w:numId w:val="13"/>
        </w:numPr>
        <w:spacing w:line="276" w:lineRule="auto"/>
        <w:contextualSpacing/>
        <w:jc w:val="both"/>
        <w:rPr>
          <w:rFonts w:ascii="Calibri" w:hAnsi="Calibri"/>
          <w:lang w:val="sq-AL"/>
        </w:rPr>
      </w:pPr>
      <w:r w:rsidRPr="00AF578C">
        <w:rPr>
          <w:rFonts w:ascii="Calibri" w:hAnsi="Calibri"/>
          <w:lang w:val="sq-AL"/>
        </w:rPr>
        <w:t>Krijimi i sistemit Upgrade, me vlerë 80,400,000 lekë</w:t>
      </w:r>
    </w:p>
    <w:p w:rsidR="00AF578C" w:rsidRPr="0006646C" w:rsidRDefault="00AF578C" w:rsidP="00AF578C">
      <w:pPr>
        <w:spacing w:line="276" w:lineRule="auto"/>
        <w:jc w:val="both"/>
        <w:rPr>
          <w:rFonts w:asciiTheme="minorHAnsi" w:hAnsiTheme="minorHAnsi"/>
          <w:color w:val="000000"/>
          <w:sz w:val="12"/>
          <w:szCs w:val="8"/>
          <w:lang w:val="sq-AL"/>
        </w:rPr>
      </w:pPr>
    </w:p>
    <w:p w:rsidR="00AF578C" w:rsidRPr="00AF578C" w:rsidRDefault="00AF578C" w:rsidP="00AF578C">
      <w:pPr>
        <w:spacing w:line="276" w:lineRule="auto"/>
        <w:jc w:val="both"/>
        <w:rPr>
          <w:rFonts w:asciiTheme="minorHAnsi" w:hAnsiTheme="minorHAnsi"/>
          <w:b/>
          <w:lang w:val="sq-AL"/>
        </w:rPr>
      </w:pPr>
      <w:r w:rsidRPr="00AF578C">
        <w:rPr>
          <w:rFonts w:asciiTheme="minorHAnsi" w:hAnsiTheme="minorHAnsi"/>
          <w:b/>
          <w:lang w:val="sq-AL"/>
        </w:rPr>
        <w:t>Ministria e Mbrojtjes</w:t>
      </w:r>
    </w:p>
    <w:p w:rsidR="00AF578C" w:rsidRPr="00AF578C" w:rsidRDefault="00AF578C" w:rsidP="00342E35">
      <w:pPr>
        <w:numPr>
          <w:ilvl w:val="0"/>
          <w:numId w:val="13"/>
        </w:numPr>
        <w:contextualSpacing/>
        <w:jc w:val="both"/>
        <w:rPr>
          <w:rFonts w:ascii="Calibri" w:hAnsi="Calibri"/>
          <w:lang w:val="sq-AL"/>
        </w:rPr>
      </w:pPr>
      <w:r w:rsidRPr="00AF578C">
        <w:rPr>
          <w:rFonts w:ascii="Calibri" w:hAnsi="Calibri"/>
          <w:lang w:val="sq-AL"/>
        </w:rPr>
        <w:t>Sistemi i automatizimit të Burimeve të Mbrojtjes (j-6), me vlerë 18.2 milionë lekë.</w:t>
      </w:r>
    </w:p>
    <w:p w:rsidR="00AF578C" w:rsidRPr="00AF578C" w:rsidRDefault="00AF578C" w:rsidP="00342E35">
      <w:pPr>
        <w:numPr>
          <w:ilvl w:val="0"/>
          <w:numId w:val="13"/>
        </w:numPr>
        <w:contextualSpacing/>
        <w:jc w:val="both"/>
        <w:rPr>
          <w:rFonts w:ascii="Calibri" w:hAnsi="Calibri"/>
          <w:lang w:val="sq-AL"/>
        </w:rPr>
      </w:pPr>
      <w:r w:rsidRPr="00AF578C">
        <w:rPr>
          <w:rFonts w:ascii="Calibri" w:hAnsi="Calibri"/>
          <w:lang w:val="sq-AL"/>
        </w:rPr>
        <w:t xml:space="preserve">Blerje e pajisjes së pastrimit kimik për uniformat e ceremonialit të FA, </w:t>
      </w:r>
      <w:r w:rsidR="00342E35">
        <w:rPr>
          <w:rFonts w:ascii="Calibri" w:hAnsi="Calibri"/>
          <w:lang w:val="sq-AL"/>
        </w:rPr>
        <w:t>p</w:t>
      </w:r>
      <w:r w:rsidRPr="00AF578C">
        <w:rPr>
          <w:rFonts w:ascii="Calibri" w:hAnsi="Calibri"/>
          <w:lang w:val="sq-AL"/>
        </w:rPr>
        <w:t>ë</w:t>
      </w:r>
      <w:r w:rsidR="00342E35">
        <w:rPr>
          <w:rFonts w:ascii="Calibri" w:hAnsi="Calibri"/>
          <w:lang w:val="sq-AL"/>
        </w:rPr>
        <w:t>r</w:t>
      </w:r>
      <w:r w:rsidRPr="00AF578C">
        <w:rPr>
          <w:rFonts w:ascii="Calibri" w:hAnsi="Calibri"/>
          <w:lang w:val="sq-AL"/>
        </w:rPr>
        <w:t xml:space="preserve"> 6.2 milionë lekë.</w:t>
      </w:r>
    </w:p>
    <w:p w:rsidR="000D1394" w:rsidRPr="0006646C" w:rsidRDefault="000D1394" w:rsidP="00A067C6">
      <w:pPr>
        <w:spacing w:line="276" w:lineRule="auto"/>
        <w:jc w:val="both"/>
        <w:rPr>
          <w:rFonts w:asciiTheme="minorHAnsi" w:hAnsiTheme="minorHAnsi"/>
          <w:color w:val="000000"/>
          <w:sz w:val="12"/>
          <w:szCs w:val="8"/>
          <w:lang w:val="sq-AL"/>
        </w:rPr>
      </w:pPr>
    </w:p>
    <w:p w:rsidR="00443CB3" w:rsidRPr="00443CB3" w:rsidRDefault="00443CB3" w:rsidP="00443CB3">
      <w:pPr>
        <w:spacing w:line="276" w:lineRule="auto"/>
        <w:jc w:val="both"/>
        <w:rPr>
          <w:rFonts w:asciiTheme="minorHAnsi" w:hAnsiTheme="minorHAnsi"/>
          <w:b/>
          <w:lang w:val="sq-AL"/>
        </w:rPr>
      </w:pPr>
      <w:r>
        <w:rPr>
          <w:rFonts w:asciiTheme="minorHAnsi" w:hAnsiTheme="minorHAnsi"/>
          <w:b/>
          <w:lang w:val="sq-AL"/>
        </w:rPr>
        <w:t>N</w:t>
      </w:r>
      <w:r w:rsidRPr="00443CB3">
        <w:rPr>
          <w:rFonts w:asciiTheme="minorHAnsi" w:hAnsiTheme="minorHAnsi"/>
          <w:b/>
          <w:lang w:val="sq-AL"/>
        </w:rPr>
        <w:t xml:space="preserve">e mbeshtetje te </w:t>
      </w:r>
      <w:r>
        <w:rPr>
          <w:rFonts w:asciiTheme="minorHAnsi" w:hAnsiTheme="minorHAnsi"/>
          <w:b/>
          <w:lang w:val="sq-AL"/>
        </w:rPr>
        <w:t>R</w:t>
      </w:r>
      <w:r w:rsidRPr="00443CB3">
        <w:rPr>
          <w:rFonts w:asciiTheme="minorHAnsi" w:hAnsiTheme="minorHAnsi"/>
          <w:b/>
          <w:lang w:val="sq-AL"/>
        </w:rPr>
        <w:t xml:space="preserve">eformes ne </w:t>
      </w:r>
      <w:r>
        <w:rPr>
          <w:rFonts w:asciiTheme="minorHAnsi" w:hAnsiTheme="minorHAnsi"/>
          <w:b/>
          <w:lang w:val="sq-AL"/>
        </w:rPr>
        <w:t>D</w:t>
      </w:r>
      <w:r w:rsidRPr="00443CB3">
        <w:rPr>
          <w:rFonts w:asciiTheme="minorHAnsi" w:hAnsiTheme="minorHAnsi"/>
          <w:b/>
          <w:lang w:val="sq-AL"/>
        </w:rPr>
        <w:t>rejtesi:</w:t>
      </w:r>
    </w:p>
    <w:p w:rsidR="00443CB3" w:rsidRPr="00443CB3" w:rsidRDefault="00443CB3" w:rsidP="00342E35">
      <w:pPr>
        <w:numPr>
          <w:ilvl w:val="0"/>
          <w:numId w:val="13"/>
        </w:numPr>
        <w:contextualSpacing/>
        <w:jc w:val="both"/>
        <w:rPr>
          <w:rFonts w:ascii="Calibri" w:hAnsi="Calibri"/>
          <w:lang w:val="sq-AL"/>
        </w:rPr>
      </w:pPr>
      <w:r w:rsidRPr="00443CB3">
        <w:rPr>
          <w:rFonts w:ascii="Calibri" w:hAnsi="Calibri"/>
          <w:lang w:val="sq-AL"/>
        </w:rPr>
        <w:t xml:space="preserve">Për vitin 2020 janë planifikuar </w:t>
      </w:r>
      <w:r>
        <w:rPr>
          <w:rFonts w:ascii="Calibri" w:hAnsi="Calibri"/>
          <w:lang w:val="sq-AL"/>
        </w:rPr>
        <w:t>170 milionë lekë investime për p</w:t>
      </w:r>
      <w:r w:rsidRPr="00443CB3">
        <w:rPr>
          <w:rFonts w:ascii="Calibri" w:hAnsi="Calibri"/>
          <w:lang w:val="sq-AL"/>
        </w:rPr>
        <w:t>ërsht</w:t>
      </w:r>
      <w:r>
        <w:rPr>
          <w:rFonts w:ascii="Calibri" w:hAnsi="Calibri"/>
          <w:lang w:val="sq-AL"/>
        </w:rPr>
        <w:t>atjen e mjediseve të punës për SPAK e BKH,</w:t>
      </w:r>
      <w:r w:rsidRPr="00443CB3">
        <w:rPr>
          <w:rFonts w:ascii="Calibri" w:hAnsi="Calibri"/>
          <w:lang w:val="sq-AL"/>
        </w:rPr>
        <w:t xml:space="preserve"> dhe sigurimi i mjeteve dhe pajisjeve të nevojshme për funksionimin e tyre (në buxhetin e Ministrisë së Brendshme).</w:t>
      </w:r>
    </w:p>
    <w:p w:rsidR="00443CB3" w:rsidRPr="00443CB3" w:rsidRDefault="00443CB3" w:rsidP="00342E35">
      <w:pPr>
        <w:numPr>
          <w:ilvl w:val="0"/>
          <w:numId w:val="13"/>
        </w:numPr>
        <w:contextualSpacing/>
        <w:jc w:val="both"/>
        <w:rPr>
          <w:rFonts w:ascii="Calibri" w:hAnsi="Calibri"/>
          <w:lang w:val="sq-AL"/>
        </w:rPr>
      </w:pPr>
      <w:r w:rsidRPr="00443CB3">
        <w:rPr>
          <w:rFonts w:ascii="Calibri" w:hAnsi="Calibri"/>
          <w:lang w:val="sq-AL"/>
        </w:rPr>
        <w:t>Për vitin 2020 janë planifikuar 17 milionë lekë investime për Këshillin e Lartë i Gjyqësor, për pajisje informatike, automjete dhe blerje sistem audio, video dhe përkthim simultan për nevoja të Këshillit të Lartë të Prokurorisë.</w:t>
      </w:r>
    </w:p>
    <w:p w:rsidR="00443CB3" w:rsidRPr="00443CB3" w:rsidRDefault="00443CB3" w:rsidP="00342E35">
      <w:pPr>
        <w:numPr>
          <w:ilvl w:val="0"/>
          <w:numId w:val="13"/>
        </w:numPr>
        <w:contextualSpacing/>
        <w:jc w:val="both"/>
        <w:rPr>
          <w:rFonts w:ascii="Calibri" w:hAnsi="Calibri"/>
          <w:lang w:val="sq-AL"/>
        </w:rPr>
      </w:pPr>
      <w:r w:rsidRPr="00443CB3">
        <w:rPr>
          <w:rFonts w:ascii="Calibri" w:hAnsi="Calibri"/>
          <w:lang w:val="sq-AL"/>
        </w:rPr>
        <w:t>Janë planifikuar 14 milionë lekë investime për Veprimtarinë e Mbikqyrjes dhe Rivlerësimit në Sistemin e Drejtesisë, për blerje pajisje për ILD, KPK,KPA dhe Komisionerin Publik.</w:t>
      </w:r>
    </w:p>
    <w:p w:rsidR="005A1363" w:rsidRPr="0065598A" w:rsidRDefault="005A1363" w:rsidP="00A067C6">
      <w:pPr>
        <w:spacing w:line="276" w:lineRule="auto"/>
        <w:jc w:val="both"/>
        <w:rPr>
          <w:rFonts w:asciiTheme="minorHAnsi" w:hAnsiTheme="minorHAnsi"/>
          <w:color w:val="000000"/>
          <w:lang w:val="sq-AL"/>
        </w:rPr>
      </w:pPr>
    </w:p>
    <w:p w:rsidR="00C74FE0" w:rsidRDefault="00C74FE0" w:rsidP="00A067C6">
      <w:pPr>
        <w:spacing w:line="276" w:lineRule="auto"/>
        <w:jc w:val="both"/>
        <w:rPr>
          <w:rFonts w:asciiTheme="minorHAnsi" w:hAnsiTheme="minorHAnsi"/>
          <w:color w:val="000000"/>
          <w:lang w:val="sq-AL"/>
        </w:rPr>
      </w:pPr>
    </w:p>
    <w:p w:rsidR="00593E6C" w:rsidRPr="0065598A" w:rsidRDefault="00593E6C" w:rsidP="000A1A4D">
      <w:pPr>
        <w:spacing w:line="276" w:lineRule="auto"/>
        <w:jc w:val="both"/>
        <w:rPr>
          <w:rFonts w:asciiTheme="minorHAnsi" w:hAnsiTheme="minorHAnsi"/>
          <w:sz w:val="8"/>
          <w:lang w:val="sq-AL"/>
        </w:rPr>
      </w:pPr>
    </w:p>
    <w:p w:rsidR="00673BAA" w:rsidRPr="0065598A" w:rsidRDefault="00932C1C" w:rsidP="00932C1C">
      <w:pPr>
        <w:spacing w:line="276" w:lineRule="auto"/>
        <w:ind w:left="3060"/>
        <w:jc w:val="both"/>
        <w:rPr>
          <w:rFonts w:asciiTheme="minorHAnsi" w:hAnsiTheme="minorHAnsi"/>
          <w:b/>
          <w:bCs/>
          <w:sz w:val="32"/>
          <w:lang w:val="sq-AL"/>
        </w:rPr>
      </w:pPr>
      <w:r w:rsidRPr="0065598A">
        <w:rPr>
          <w:rFonts w:asciiTheme="minorHAnsi" w:hAnsiTheme="minorHAnsi"/>
          <w:b/>
          <w:lang w:val="sq-AL"/>
        </w:rPr>
        <w:tab/>
      </w:r>
      <w:r w:rsidR="004335A3" w:rsidRPr="0065598A">
        <w:rPr>
          <w:rFonts w:asciiTheme="minorHAnsi" w:hAnsiTheme="minorHAnsi"/>
          <w:b/>
          <w:bCs/>
          <w:sz w:val="32"/>
          <w:lang w:val="sq-AL"/>
        </w:rPr>
        <w:t>M</w:t>
      </w:r>
      <w:r w:rsidR="00673BAA" w:rsidRPr="0065598A">
        <w:rPr>
          <w:rFonts w:asciiTheme="minorHAnsi" w:hAnsiTheme="minorHAnsi"/>
          <w:b/>
          <w:bCs/>
          <w:sz w:val="32"/>
          <w:lang w:val="sq-AL"/>
        </w:rPr>
        <w:t xml:space="preserve">INISTRI </w:t>
      </w:r>
      <w:r w:rsidR="007A31D6" w:rsidRPr="0065598A">
        <w:rPr>
          <w:rFonts w:asciiTheme="minorHAnsi" w:hAnsiTheme="minorHAnsi"/>
          <w:b/>
          <w:bCs/>
          <w:sz w:val="32"/>
          <w:lang w:val="sq-AL"/>
        </w:rPr>
        <w:t xml:space="preserve">I </w:t>
      </w:r>
      <w:r w:rsidR="00673BAA" w:rsidRPr="0065598A">
        <w:rPr>
          <w:rFonts w:asciiTheme="minorHAnsi" w:hAnsiTheme="minorHAnsi"/>
          <w:b/>
          <w:bCs/>
          <w:sz w:val="32"/>
          <w:lang w:val="sq-AL"/>
        </w:rPr>
        <w:t>FINANCAVE</w:t>
      </w:r>
      <w:r w:rsidRPr="0065598A">
        <w:rPr>
          <w:rFonts w:asciiTheme="minorHAnsi" w:hAnsiTheme="minorHAnsi"/>
          <w:b/>
          <w:bCs/>
          <w:sz w:val="32"/>
          <w:lang w:val="sq-AL"/>
        </w:rPr>
        <w:t xml:space="preserve"> DHE EKONOMISË</w:t>
      </w:r>
    </w:p>
    <w:p w:rsidR="00593E6C" w:rsidRPr="0065598A" w:rsidRDefault="00593E6C" w:rsidP="000A1A4D">
      <w:pPr>
        <w:spacing w:line="276" w:lineRule="auto"/>
        <w:ind w:left="5040"/>
        <w:jc w:val="both"/>
        <w:rPr>
          <w:rFonts w:asciiTheme="minorHAnsi" w:hAnsiTheme="minorHAnsi"/>
          <w:b/>
          <w:bCs/>
          <w:lang w:val="sq-AL"/>
        </w:rPr>
      </w:pPr>
    </w:p>
    <w:p w:rsidR="00673BAA" w:rsidRPr="0065598A" w:rsidRDefault="00932C1C" w:rsidP="00932C1C">
      <w:pPr>
        <w:spacing w:line="276" w:lineRule="auto"/>
        <w:ind w:left="2880" w:firstLine="720"/>
        <w:jc w:val="both"/>
        <w:rPr>
          <w:rFonts w:asciiTheme="minorHAnsi" w:hAnsiTheme="minorHAnsi"/>
          <w:lang w:val="sq-AL"/>
        </w:rPr>
      </w:pPr>
      <w:r w:rsidRPr="0065598A">
        <w:rPr>
          <w:rFonts w:asciiTheme="minorHAnsi" w:hAnsiTheme="minorHAnsi"/>
          <w:lang w:val="sq-AL"/>
        </w:rPr>
        <w:t>_________________</w:t>
      </w:r>
      <w:r w:rsidR="00673BAA" w:rsidRPr="0065598A">
        <w:rPr>
          <w:rFonts w:asciiTheme="minorHAnsi" w:hAnsiTheme="minorHAnsi"/>
          <w:lang w:val="sq-AL"/>
        </w:rPr>
        <w:t>_____________________________</w:t>
      </w:r>
    </w:p>
    <w:p w:rsidR="00673BAA" w:rsidRPr="0065598A" w:rsidRDefault="000A1A4D" w:rsidP="000A1A4D">
      <w:pPr>
        <w:spacing w:line="276" w:lineRule="auto"/>
        <w:ind w:left="4320" w:firstLine="720"/>
        <w:jc w:val="both"/>
        <w:rPr>
          <w:rFonts w:asciiTheme="minorHAnsi" w:hAnsiTheme="minorHAnsi"/>
          <w:b/>
          <w:sz w:val="32"/>
          <w:lang w:val="sq-AL"/>
        </w:rPr>
      </w:pPr>
      <w:r w:rsidRPr="0065598A">
        <w:rPr>
          <w:rFonts w:asciiTheme="minorHAnsi" w:hAnsiTheme="minorHAnsi"/>
          <w:b/>
          <w:sz w:val="32"/>
          <w:lang w:val="sq-AL"/>
        </w:rPr>
        <w:t xml:space="preserve">  </w:t>
      </w:r>
      <w:r w:rsidR="00E87B91" w:rsidRPr="0065598A">
        <w:rPr>
          <w:rFonts w:asciiTheme="minorHAnsi" w:hAnsiTheme="minorHAnsi"/>
          <w:b/>
          <w:sz w:val="32"/>
          <w:lang w:val="sq-AL"/>
        </w:rPr>
        <w:t xml:space="preserve">    Anila DENAJ</w:t>
      </w:r>
    </w:p>
    <w:p w:rsidR="002460BC" w:rsidRPr="0065598A" w:rsidRDefault="002460BC" w:rsidP="002460BC">
      <w:pPr>
        <w:pStyle w:val="NoSpacing"/>
        <w:rPr>
          <w:rFonts w:ascii="Times New Roman" w:hAnsi="Times New Roman"/>
          <w:i/>
          <w:sz w:val="18"/>
          <w:szCs w:val="18"/>
          <w:lang w:val="sq-AL"/>
        </w:rPr>
      </w:pPr>
    </w:p>
    <w:p w:rsidR="004335A3" w:rsidRPr="0065598A" w:rsidRDefault="004335A3" w:rsidP="002460BC">
      <w:pPr>
        <w:pStyle w:val="NoSpacing"/>
        <w:rPr>
          <w:rFonts w:ascii="Times New Roman" w:hAnsi="Times New Roman"/>
          <w:i/>
          <w:sz w:val="18"/>
          <w:szCs w:val="18"/>
          <w:lang w:val="sq-AL"/>
        </w:rPr>
      </w:pPr>
      <w:bookmarkStart w:id="197" w:name="_GoBack"/>
      <w:bookmarkEnd w:id="197"/>
    </w:p>
    <w:sectPr w:rsidR="004335A3" w:rsidRPr="0065598A" w:rsidSect="00797C25">
      <w:headerReference w:type="default" r:id="rId83"/>
      <w:headerReference w:type="first" r:id="rId84"/>
      <w:pgSz w:w="11907" w:h="16839" w:code="9"/>
      <w:pgMar w:top="1080" w:right="1107" w:bottom="630" w:left="1170" w:header="720" w:footer="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55461" w:rsidRDefault="00555461" w:rsidP="00CD61BB">
      <w:r>
        <w:separator/>
      </w:r>
    </w:p>
  </w:endnote>
  <w:endnote w:type="continuationSeparator" w:id="0">
    <w:p w:rsidR="00555461" w:rsidRDefault="00555461" w:rsidP="00CD61B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MS Gothic">
    <w:altName w:val="ＭＳ ゴシック"/>
    <w:panose1 w:val="020B0609070205080204"/>
    <w:charset w:val="80"/>
    <w:family w:val="modern"/>
    <w:notTrueType/>
    <w:pitch w:val="fixed"/>
    <w:sig w:usb0="00000001" w:usb1="08070000" w:usb2="00000010" w:usb3="00000000" w:csb0="00020000" w:csb1="00000000"/>
  </w:font>
  <w:font w:name="Batang">
    <w:altName w:val="바탕"/>
    <w:panose1 w:val="02030600000101010101"/>
    <w:charset w:val="81"/>
    <w:family w:val="auto"/>
    <w:notTrueType/>
    <w:pitch w:val="fixed"/>
    <w:sig w:usb0="00000001" w:usb1="09060000" w:usb2="00000010" w:usb3="00000000" w:csb0="00080000" w:csb1="00000000"/>
  </w:font>
  <w:font w:name="Tahoma">
    <w:panose1 w:val="020B0604030504040204"/>
    <w:charset w:val="00"/>
    <w:family w:val="swiss"/>
    <w:pitch w:val="variable"/>
    <w:sig w:usb0="E1002EFF" w:usb1="C000605B" w:usb2="00000029" w:usb3="00000000" w:csb0="000101FF" w:csb1="00000000"/>
  </w:font>
  <w:font w:name="Arial Black">
    <w:panose1 w:val="020B0A04020102020204"/>
    <w:charset w:val="00"/>
    <w:family w:val="swiss"/>
    <w:pitch w:val="variable"/>
    <w:sig w:usb0="A00002AF" w:usb1="400078FB" w:usb2="00000000" w:usb3="00000000" w:csb0="0000009F" w:csb1="00000000"/>
  </w:font>
  <w:font w:name="MS Mincho">
    <w:altName w:val="ＭＳ 明朝"/>
    <w:panose1 w:val="02020609040205080304"/>
    <w:charset w:val="80"/>
    <w:family w:val="roman"/>
    <w:notTrueType/>
    <w:pitch w:val="fixed"/>
    <w:sig w:usb0="00000001" w:usb1="08070000" w:usb2="00000010" w:usb3="00000000" w:csb0="00020000" w:csb1="00000000"/>
  </w:font>
  <w:font w:name="Arial">
    <w:panose1 w:val="020B0604020202020204"/>
    <w:charset w:val="00"/>
    <w:family w:val="swiss"/>
    <w:pitch w:val="variable"/>
    <w:sig w:usb0="E0002EFF" w:usb1="C0007843" w:usb2="00000009" w:usb3="00000000" w:csb0="000001FF" w:csb1="00000000"/>
  </w:font>
  <w:font w:name="Futura Std Light">
    <w:altName w:val="Futura Std Light"/>
    <w:panose1 w:val="00000000000000000000"/>
    <w:charset w:val="00"/>
    <w:family w:val="swiss"/>
    <w:notTrueType/>
    <w:pitch w:val="default"/>
    <w:sig w:usb0="00000003" w:usb1="00000000" w:usb2="00000000" w:usb3="00000000" w:csb0="00000001" w:csb1="00000000"/>
  </w:font>
  <w:font w:name="SimSun">
    <w:altName w:val="宋体"/>
    <w:panose1 w:val="02010600030101010101"/>
    <w:charset w:val="86"/>
    <w:family w:val="auto"/>
    <w:notTrueType/>
    <w:pitch w:val="variable"/>
    <w:sig w:usb0="00000001" w:usb1="080E0000" w:usb2="00000010" w:usb3="00000000" w:csb0="00040000" w:csb1="00000000"/>
  </w:font>
  <w:font w:name="Century Schoolbook">
    <w:panose1 w:val="02040604050505020304"/>
    <w:charset w:val="00"/>
    <w:family w:val="roman"/>
    <w:pitch w:val="variable"/>
    <w:sig w:usb0="00000287" w:usb1="00000000" w:usb2="00000000" w:usb3="00000000" w:csb0="0000009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A00002EF" w:usb1="4000207B" w:usb2="00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291121971"/>
      <w:docPartObj>
        <w:docPartGallery w:val="Page Numbers (Bottom of Page)"/>
        <w:docPartUnique/>
      </w:docPartObj>
    </w:sdtPr>
    <w:sdtEndPr/>
    <w:sdtContent>
      <w:p w:rsidR="00796E6A" w:rsidRDefault="00796E6A">
        <w:pPr>
          <w:pStyle w:val="Footer"/>
          <w:jc w:val="right"/>
        </w:pPr>
        <w:r>
          <w:fldChar w:fldCharType="begin"/>
        </w:r>
        <w:r>
          <w:instrText xml:space="preserve"> PAGE   \* MERGEFORMAT </w:instrText>
        </w:r>
        <w:r>
          <w:fldChar w:fldCharType="separate"/>
        </w:r>
        <w:r w:rsidR="009E7C66">
          <w:rPr>
            <w:noProof/>
          </w:rPr>
          <w:t>78</w:t>
        </w:r>
        <w:r>
          <w:rPr>
            <w:noProof/>
          </w:rPr>
          <w:fldChar w:fldCharType="end"/>
        </w:r>
      </w:p>
    </w:sdtContent>
  </w:sdt>
  <w:p w:rsidR="00796E6A" w:rsidRDefault="00796E6A">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419325902"/>
      <w:docPartObj>
        <w:docPartGallery w:val="Page Numbers (Bottom of Page)"/>
        <w:docPartUnique/>
      </w:docPartObj>
    </w:sdtPr>
    <w:sdtEndPr>
      <w:rPr>
        <w:noProof/>
      </w:rPr>
    </w:sdtEndPr>
    <w:sdtContent>
      <w:p w:rsidR="00796E6A" w:rsidRDefault="00796E6A">
        <w:pPr>
          <w:pStyle w:val="Footer"/>
          <w:jc w:val="right"/>
        </w:pPr>
        <w:r>
          <w:fldChar w:fldCharType="begin"/>
        </w:r>
        <w:r>
          <w:instrText xml:space="preserve"> PAGE   \* MERGEFORMAT </w:instrText>
        </w:r>
        <w:r>
          <w:fldChar w:fldCharType="separate"/>
        </w:r>
        <w:r w:rsidR="009E7C66">
          <w:rPr>
            <w:noProof/>
          </w:rPr>
          <w:t>1</w:t>
        </w:r>
        <w:r>
          <w:rPr>
            <w:noProof/>
          </w:rPr>
          <w:fldChar w:fldCharType="end"/>
        </w:r>
      </w:p>
    </w:sdtContent>
  </w:sdt>
  <w:p w:rsidR="00796E6A" w:rsidRDefault="00796E6A">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55461" w:rsidRDefault="00555461" w:rsidP="00CD61BB">
      <w:r>
        <w:separator/>
      </w:r>
    </w:p>
  </w:footnote>
  <w:footnote w:type="continuationSeparator" w:id="0">
    <w:p w:rsidR="00555461" w:rsidRDefault="00555461" w:rsidP="00CD61BB">
      <w:r>
        <w:continuationSeparator/>
      </w:r>
    </w:p>
  </w:footnote>
  <w:footnote w:id="1">
    <w:p w:rsidR="00796E6A" w:rsidRPr="00971C15" w:rsidRDefault="00796E6A" w:rsidP="00971C15">
      <w:pPr>
        <w:pStyle w:val="FootnoteText"/>
        <w:spacing w:line="240" w:lineRule="auto"/>
        <w:jc w:val="both"/>
        <w:rPr>
          <w:i/>
          <w:sz w:val="18"/>
          <w:lang w:val="en-US"/>
        </w:rPr>
      </w:pPr>
      <w:r w:rsidRPr="00971C15">
        <w:rPr>
          <w:rStyle w:val="FootnoteReference"/>
          <w:i/>
          <w:sz w:val="18"/>
        </w:rPr>
        <w:footnoteRef/>
      </w:r>
      <w:r w:rsidRPr="00971C15">
        <w:rPr>
          <w:i/>
          <w:sz w:val="18"/>
        </w:rPr>
        <w:t xml:space="preserve"> Analiza e zhvillimeve ekonomike n</w:t>
      </w:r>
      <w:r>
        <w:rPr>
          <w:i/>
          <w:sz w:val="18"/>
        </w:rPr>
        <w:t>ë</w:t>
      </w:r>
      <w:r w:rsidRPr="00971C15">
        <w:rPr>
          <w:i/>
          <w:sz w:val="18"/>
        </w:rPr>
        <w:t xml:space="preserve"> ket</w:t>
      </w:r>
      <w:r>
        <w:rPr>
          <w:i/>
          <w:sz w:val="18"/>
        </w:rPr>
        <w:t>ë</w:t>
      </w:r>
      <w:r w:rsidRPr="00971C15">
        <w:rPr>
          <w:i/>
          <w:sz w:val="18"/>
        </w:rPr>
        <w:t xml:space="preserve"> seksion</w:t>
      </w:r>
      <w:r>
        <w:rPr>
          <w:i/>
          <w:sz w:val="18"/>
        </w:rPr>
        <w:t>,</w:t>
      </w:r>
      <w:r w:rsidRPr="00971C15">
        <w:rPr>
          <w:i/>
          <w:sz w:val="18"/>
        </w:rPr>
        <w:t xml:space="preserve"> bazohet n</w:t>
      </w:r>
      <w:r>
        <w:rPr>
          <w:i/>
          <w:sz w:val="18"/>
        </w:rPr>
        <w:t>ë</w:t>
      </w:r>
      <w:r w:rsidRPr="00971C15">
        <w:rPr>
          <w:i/>
          <w:sz w:val="18"/>
        </w:rPr>
        <w:t xml:space="preserve"> statistikat/informacionin m</w:t>
      </w:r>
      <w:r>
        <w:rPr>
          <w:i/>
          <w:sz w:val="18"/>
        </w:rPr>
        <w:t>ë</w:t>
      </w:r>
      <w:r w:rsidRPr="00971C15">
        <w:rPr>
          <w:i/>
          <w:sz w:val="18"/>
        </w:rPr>
        <w:t xml:space="preserve"> t</w:t>
      </w:r>
      <w:r>
        <w:rPr>
          <w:i/>
          <w:sz w:val="18"/>
        </w:rPr>
        <w:t>ë</w:t>
      </w:r>
      <w:r w:rsidRPr="00971C15">
        <w:rPr>
          <w:i/>
          <w:sz w:val="18"/>
        </w:rPr>
        <w:t xml:space="preserve"> fundit </w:t>
      </w:r>
      <w:r>
        <w:rPr>
          <w:i/>
          <w:sz w:val="18"/>
        </w:rPr>
        <w:t xml:space="preserve">zyrtar </w:t>
      </w:r>
      <w:r w:rsidRPr="00971C15">
        <w:rPr>
          <w:i/>
          <w:sz w:val="18"/>
        </w:rPr>
        <w:t>t</w:t>
      </w:r>
      <w:r>
        <w:rPr>
          <w:i/>
          <w:sz w:val="18"/>
        </w:rPr>
        <w:t>ë</w:t>
      </w:r>
      <w:r w:rsidRPr="00971C15">
        <w:rPr>
          <w:i/>
          <w:sz w:val="18"/>
        </w:rPr>
        <w:t xml:space="preserve"> disponuesh</w:t>
      </w:r>
      <w:r>
        <w:rPr>
          <w:i/>
          <w:sz w:val="18"/>
        </w:rPr>
        <w:t>ë</w:t>
      </w:r>
      <w:r w:rsidRPr="00971C15">
        <w:rPr>
          <w:i/>
          <w:sz w:val="18"/>
        </w:rPr>
        <w:t>m</w:t>
      </w:r>
      <w:r>
        <w:rPr>
          <w:i/>
          <w:sz w:val="18"/>
        </w:rPr>
        <w:t>,</w:t>
      </w:r>
      <w:r w:rsidRPr="00971C15">
        <w:rPr>
          <w:i/>
          <w:sz w:val="18"/>
        </w:rPr>
        <w:t xml:space="preserve"> n</w:t>
      </w:r>
      <w:r>
        <w:rPr>
          <w:i/>
          <w:sz w:val="18"/>
        </w:rPr>
        <w:t>ë</w:t>
      </w:r>
      <w:r w:rsidRPr="00971C15">
        <w:rPr>
          <w:i/>
          <w:sz w:val="18"/>
        </w:rPr>
        <w:t xml:space="preserve"> momentin e hartimit t</w:t>
      </w:r>
      <w:r>
        <w:rPr>
          <w:i/>
          <w:sz w:val="18"/>
        </w:rPr>
        <w:t>ë</w:t>
      </w:r>
      <w:r w:rsidRPr="00971C15">
        <w:rPr>
          <w:i/>
          <w:sz w:val="18"/>
        </w:rPr>
        <w:t xml:space="preserve"> k</w:t>
      </w:r>
      <w:r>
        <w:rPr>
          <w:i/>
          <w:sz w:val="18"/>
        </w:rPr>
        <w:t>ë</w:t>
      </w:r>
      <w:r w:rsidRPr="00971C15">
        <w:rPr>
          <w:i/>
          <w:sz w:val="18"/>
        </w:rPr>
        <w:t>tij raporti.</w:t>
      </w:r>
    </w:p>
  </w:footnote>
  <w:footnote w:id="2">
    <w:p w:rsidR="00796E6A" w:rsidRPr="00ED209B" w:rsidRDefault="00796E6A" w:rsidP="00A666F4">
      <w:pPr>
        <w:pStyle w:val="FootnoteText"/>
        <w:ind w:left="142" w:right="-46" w:hanging="142"/>
        <w:jc w:val="both"/>
        <w:rPr>
          <w:rFonts w:ascii="Times New Roman" w:hAnsi="Times New Roman"/>
          <w:lang w:val="en-US"/>
        </w:rPr>
      </w:pPr>
      <w:r w:rsidRPr="00ED209B">
        <w:rPr>
          <w:rStyle w:val="FootnoteReference"/>
          <w:rFonts w:ascii="Times New Roman" w:hAnsi="Times New Roman"/>
        </w:rPr>
        <w:footnoteRef/>
      </w:r>
      <w:r w:rsidRPr="00ED209B">
        <w:rPr>
          <w:rFonts w:ascii="Times New Roman" w:hAnsi="Times New Roman"/>
        </w:rPr>
        <w:t xml:space="preserve"> </w:t>
      </w:r>
      <w:r w:rsidRPr="00ED209B">
        <w:rPr>
          <w:rFonts w:ascii="Times New Roman" w:hAnsi="Times New Roman"/>
          <w:noProof/>
        </w:rPr>
        <w:t>Efektet q</w:t>
      </w:r>
      <w:r>
        <w:rPr>
          <w:rFonts w:ascii="Times New Roman" w:hAnsi="Times New Roman"/>
          <w:noProof/>
        </w:rPr>
        <w:t>ë</w:t>
      </w:r>
      <w:r w:rsidRPr="00ED209B">
        <w:rPr>
          <w:rFonts w:ascii="Times New Roman" w:hAnsi="Times New Roman"/>
          <w:noProof/>
        </w:rPr>
        <w:t xml:space="preserve"> burojn</w:t>
      </w:r>
      <w:r>
        <w:rPr>
          <w:rFonts w:ascii="Times New Roman" w:hAnsi="Times New Roman"/>
          <w:noProof/>
        </w:rPr>
        <w:t>ë</w:t>
      </w:r>
      <w:r w:rsidRPr="00ED209B">
        <w:rPr>
          <w:rFonts w:ascii="Times New Roman" w:hAnsi="Times New Roman"/>
          <w:noProof/>
        </w:rPr>
        <w:t xml:space="preserve"> nga ndryshimet fiskale t</w:t>
      </w:r>
      <w:r>
        <w:rPr>
          <w:rFonts w:ascii="Times New Roman" w:hAnsi="Times New Roman"/>
          <w:noProof/>
        </w:rPr>
        <w:t>ë</w:t>
      </w:r>
      <w:r w:rsidRPr="00ED209B">
        <w:rPr>
          <w:rFonts w:ascii="Times New Roman" w:hAnsi="Times New Roman"/>
          <w:noProof/>
        </w:rPr>
        <w:t xml:space="preserve"> krijuara nga pandemia C</w:t>
      </w:r>
      <w:r>
        <w:rPr>
          <w:rFonts w:ascii="Times New Roman" w:hAnsi="Times New Roman"/>
          <w:noProof/>
        </w:rPr>
        <w:t>OVID</w:t>
      </w:r>
      <w:r w:rsidRPr="00ED209B">
        <w:rPr>
          <w:rFonts w:ascii="Times New Roman" w:hAnsi="Times New Roman"/>
          <w:noProof/>
        </w:rPr>
        <w:t>-19 nuk kan</w:t>
      </w:r>
      <w:r>
        <w:rPr>
          <w:rFonts w:ascii="Times New Roman" w:hAnsi="Times New Roman"/>
          <w:noProof/>
        </w:rPr>
        <w:t>ë</w:t>
      </w:r>
      <w:r w:rsidRPr="00ED209B">
        <w:rPr>
          <w:rFonts w:ascii="Times New Roman" w:hAnsi="Times New Roman"/>
          <w:noProof/>
        </w:rPr>
        <w:t xml:space="preserve"> pasur ndikim mbi </w:t>
      </w:r>
      <w:r>
        <w:rPr>
          <w:rFonts w:ascii="Times New Roman" w:hAnsi="Times New Roman"/>
          <w:noProof/>
        </w:rPr>
        <w:t xml:space="preserve">planet e </w:t>
      </w:r>
      <w:r w:rsidRPr="00ED209B">
        <w:rPr>
          <w:rFonts w:ascii="Times New Roman" w:hAnsi="Times New Roman"/>
          <w:noProof/>
        </w:rPr>
        <w:t>huamarrje</w:t>
      </w:r>
      <w:r>
        <w:rPr>
          <w:rFonts w:ascii="Times New Roman" w:hAnsi="Times New Roman"/>
          <w:noProof/>
        </w:rPr>
        <w:t>s të tremujorit të parë të vitit 2020.</w:t>
      </w:r>
    </w:p>
  </w:footnote>
  <w:footnote w:id="3">
    <w:p w:rsidR="00796E6A" w:rsidRPr="00057778" w:rsidRDefault="00796E6A" w:rsidP="006E68A7">
      <w:pPr>
        <w:pStyle w:val="FootnoteText"/>
        <w:ind w:left="720" w:hanging="720"/>
        <w:jc w:val="both"/>
        <w:rPr>
          <w:rFonts w:ascii="Times New Roman" w:hAnsi="Times New Roman"/>
          <w:lang w:val="en-US"/>
        </w:rPr>
      </w:pPr>
      <w:r w:rsidRPr="00057778">
        <w:rPr>
          <w:rStyle w:val="FootnoteReference"/>
          <w:rFonts w:ascii="Times New Roman" w:hAnsi="Times New Roman"/>
        </w:rPr>
        <w:footnoteRef/>
      </w:r>
      <w:r w:rsidRPr="00057778">
        <w:rPr>
          <w:rFonts w:ascii="Times New Roman" w:hAnsi="Times New Roman"/>
        </w:rPr>
        <w:t xml:space="preserve"> </w:t>
      </w:r>
      <w:r w:rsidRPr="00057778">
        <w:rPr>
          <w:rFonts w:ascii="Times New Roman" w:hAnsi="Times New Roman"/>
          <w:lang w:val="en-US"/>
        </w:rPr>
        <w:t xml:space="preserve">I referohet normës mesatare të ponderuar të titujve shtetërorë të emetuar </w:t>
      </w:r>
      <w:r>
        <w:rPr>
          <w:rFonts w:ascii="Times New Roman" w:hAnsi="Times New Roman"/>
          <w:lang w:val="en-US"/>
        </w:rPr>
        <w:t xml:space="preserve">vetëm </w:t>
      </w:r>
      <w:r w:rsidRPr="00057778">
        <w:rPr>
          <w:rFonts w:ascii="Times New Roman" w:hAnsi="Times New Roman"/>
          <w:lang w:val="en-US"/>
        </w:rPr>
        <w:t>në tregun primar.</w:t>
      </w:r>
    </w:p>
  </w:footnote>
  <w:footnote w:id="4">
    <w:p w:rsidR="00796E6A" w:rsidRPr="00302A6A" w:rsidRDefault="00796E6A" w:rsidP="00150012">
      <w:pPr>
        <w:pStyle w:val="FootnoteText"/>
        <w:spacing w:after="0" w:line="240" w:lineRule="auto"/>
        <w:ind w:left="90" w:hanging="90"/>
        <w:jc w:val="both"/>
        <w:rPr>
          <w:lang w:val="en-US"/>
        </w:rPr>
      </w:pPr>
      <w:r>
        <w:rPr>
          <w:rStyle w:val="FootnoteReference"/>
        </w:rPr>
        <w:footnoteRef/>
      </w:r>
      <w:r>
        <w:t xml:space="preserve"> </w:t>
      </w:r>
      <w:r w:rsidRPr="00302A6A">
        <w:rPr>
          <w:i/>
          <w:sz w:val="18"/>
        </w:rPr>
        <w:t>Analiza e zhvillimeve ekonomike në ketë seksion, bazohet në statistikat/informacionin më të fundit zyrtar të disponueshëm, në momentin e hartimit të këtij raporti</w:t>
      </w:r>
      <w:r w:rsidRPr="00302A6A">
        <w:t>.</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96E6A" w:rsidRPr="007A09E2" w:rsidRDefault="00796E6A" w:rsidP="007A09E2">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5089" w:type="pct"/>
      <w:tblBorders>
        <w:bottom w:val="single" w:sz="12" w:space="0" w:color="A6A6A6" w:themeColor="background1" w:themeShade="A6"/>
        <w:insideH w:val="single" w:sz="4" w:space="0" w:color="auto"/>
        <w:insideV w:val="single" w:sz="4" w:space="0" w:color="auto"/>
      </w:tblBorders>
      <w:tblCellMar>
        <w:top w:w="72" w:type="dxa"/>
        <w:left w:w="115" w:type="dxa"/>
        <w:bottom w:w="72" w:type="dxa"/>
        <w:right w:w="115" w:type="dxa"/>
      </w:tblCellMar>
      <w:tblLook w:val="04A0" w:firstRow="1" w:lastRow="0" w:firstColumn="1" w:lastColumn="0" w:noHBand="0" w:noVBand="1"/>
    </w:tblPr>
    <w:tblGrid>
      <w:gridCol w:w="8466"/>
      <w:gridCol w:w="1570"/>
    </w:tblGrid>
    <w:tr w:rsidR="00796E6A" w:rsidRPr="008E7E7B" w:rsidTr="006055DD">
      <w:trPr>
        <w:trHeight w:val="288"/>
      </w:trPr>
      <w:sdt>
        <w:sdtPr>
          <w:rPr>
            <w:rFonts w:asciiTheme="majorHAnsi" w:eastAsiaTheme="majorEastAsia" w:hAnsiTheme="majorHAnsi" w:cstheme="majorBidi"/>
            <w:color w:val="A6A6A6" w:themeColor="background1" w:themeShade="A6"/>
            <w:sz w:val="18"/>
            <w:szCs w:val="18"/>
            <w:lang w:val="sq-AL"/>
          </w:rPr>
          <w:alias w:val="Title"/>
          <w:id w:val="983205663"/>
          <w:dataBinding w:prefixMappings="xmlns:ns0='http://schemas.openxmlformats.org/package/2006/metadata/core-properties' xmlns:ns1='http://purl.org/dc/elements/1.1/'" w:xpath="/ns0:coreProperties[1]/ns1:title[1]" w:storeItemID="{6C3C8BC8-F283-45AE-878A-BAB7291924A1}"/>
          <w:text/>
        </w:sdtPr>
        <w:sdtEndPr/>
        <w:sdtContent>
          <w:tc>
            <w:tcPr>
              <w:tcW w:w="8935" w:type="dxa"/>
              <w:tcBorders>
                <w:right w:val="single" w:sz="12" w:space="0" w:color="A6A6A6" w:themeColor="background1" w:themeShade="A6"/>
              </w:tcBorders>
            </w:tcPr>
            <w:p w:rsidR="00796E6A" w:rsidRPr="008E7E7B" w:rsidRDefault="00796E6A" w:rsidP="006055DD">
              <w:pPr>
                <w:pStyle w:val="Header"/>
                <w:tabs>
                  <w:tab w:val="left" w:pos="360"/>
                  <w:tab w:val="right" w:pos="8243"/>
                </w:tabs>
                <w:jc w:val="right"/>
                <w:rPr>
                  <w:rFonts w:asciiTheme="majorHAnsi" w:eastAsiaTheme="majorEastAsia" w:hAnsiTheme="majorHAnsi" w:cstheme="majorBidi"/>
                  <w:color w:val="A6A6A6" w:themeColor="background1" w:themeShade="A6"/>
                  <w:sz w:val="18"/>
                  <w:szCs w:val="18"/>
                </w:rPr>
              </w:pPr>
              <w:r>
                <w:rPr>
                  <w:rFonts w:asciiTheme="majorHAnsi" w:eastAsiaTheme="majorEastAsia" w:hAnsiTheme="majorHAnsi" w:cstheme="majorBidi"/>
                  <w:color w:val="A6A6A6" w:themeColor="background1" w:themeShade="A6"/>
                  <w:sz w:val="18"/>
                  <w:szCs w:val="18"/>
                  <w:lang w:val="sq-AL"/>
                </w:rPr>
                <w:t>Raporti i Mes-Vitit i Buxhetit</w:t>
              </w:r>
            </w:p>
          </w:tc>
        </w:sdtContent>
      </w:sdt>
      <w:tc>
        <w:tcPr>
          <w:tcW w:w="1620" w:type="dxa"/>
          <w:tcBorders>
            <w:left w:val="single" w:sz="12" w:space="0" w:color="A6A6A6" w:themeColor="background1" w:themeShade="A6"/>
          </w:tcBorders>
        </w:tcPr>
        <w:p w:rsidR="00796E6A" w:rsidRDefault="00796E6A" w:rsidP="006055DD">
          <w:pPr>
            <w:pStyle w:val="Header"/>
            <w:tabs>
              <w:tab w:val="clear" w:pos="4680"/>
              <w:tab w:val="clear" w:pos="9360"/>
              <w:tab w:val="left" w:pos="939"/>
            </w:tabs>
            <w:rPr>
              <w:rFonts w:asciiTheme="majorHAnsi" w:eastAsiaTheme="majorEastAsia" w:hAnsiTheme="majorHAnsi" w:cstheme="majorBidi"/>
              <w:bCs/>
              <w:color w:val="A6A6A6" w:themeColor="background1" w:themeShade="A6"/>
              <w:sz w:val="18"/>
              <w:szCs w:val="18"/>
            </w:rPr>
          </w:pPr>
          <w:r>
            <w:rPr>
              <w:rFonts w:asciiTheme="majorHAnsi" w:eastAsiaTheme="majorEastAsia" w:hAnsiTheme="majorHAnsi" w:cstheme="majorBidi"/>
              <w:bCs/>
              <w:color w:val="A6A6A6" w:themeColor="background1" w:themeShade="A6"/>
              <w:sz w:val="18"/>
              <w:szCs w:val="18"/>
            </w:rPr>
            <w:t>2020</w:t>
          </w:r>
          <w:r>
            <w:rPr>
              <w:rFonts w:asciiTheme="majorHAnsi" w:eastAsiaTheme="majorEastAsia" w:hAnsiTheme="majorHAnsi" w:cstheme="majorBidi"/>
              <w:bCs/>
              <w:color w:val="A6A6A6" w:themeColor="background1" w:themeShade="A6"/>
              <w:sz w:val="18"/>
              <w:szCs w:val="18"/>
            </w:rPr>
            <w:tab/>
          </w:r>
        </w:p>
        <w:p w:rsidR="00796E6A" w:rsidRPr="008E7E7B" w:rsidRDefault="00796E6A" w:rsidP="006055DD">
          <w:pPr>
            <w:pStyle w:val="Header"/>
            <w:tabs>
              <w:tab w:val="clear" w:pos="4680"/>
              <w:tab w:val="clear" w:pos="9360"/>
              <w:tab w:val="left" w:pos="939"/>
            </w:tabs>
            <w:rPr>
              <w:rFonts w:asciiTheme="majorHAnsi" w:eastAsiaTheme="majorEastAsia" w:hAnsiTheme="majorHAnsi" w:cstheme="majorBidi"/>
              <w:bCs/>
              <w:color w:val="A6A6A6" w:themeColor="background1" w:themeShade="A6"/>
              <w:sz w:val="18"/>
              <w:szCs w:val="18"/>
            </w:rPr>
          </w:pPr>
        </w:p>
      </w:tc>
    </w:tr>
  </w:tbl>
  <w:p w:rsidR="00796E6A" w:rsidRDefault="00796E6A">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5089" w:type="pct"/>
      <w:tblBorders>
        <w:bottom w:val="single" w:sz="12" w:space="0" w:color="A6A6A6" w:themeColor="background1" w:themeShade="A6"/>
        <w:insideH w:val="single" w:sz="4" w:space="0" w:color="auto"/>
        <w:insideV w:val="single" w:sz="4" w:space="0" w:color="auto"/>
      </w:tblBorders>
      <w:tblCellMar>
        <w:top w:w="72" w:type="dxa"/>
        <w:left w:w="115" w:type="dxa"/>
        <w:bottom w:w="72" w:type="dxa"/>
        <w:right w:w="115" w:type="dxa"/>
      </w:tblCellMar>
      <w:tblLook w:val="04A0" w:firstRow="1" w:lastRow="0" w:firstColumn="1" w:lastColumn="0" w:noHBand="0" w:noVBand="1"/>
    </w:tblPr>
    <w:tblGrid>
      <w:gridCol w:w="8466"/>
      <w:gridCol w:w="1570"/>
    </w:tblGrid>
    <w:tr w:rsidR="00796E6A" w:rsidRPr="008E7E7B" w:rsidTr="006055DD">
      <w:trPr>
        <w:trHeight w:val="288"/>
      </w:trPr>
      <w:sdt>
        <w:sdtPr>
          <w:rPr>
            <w:rFonts w:asciiTheme="majorHAnsi" w:eastAsiaTheme="majorEastAsia" w:hAnsiTheme="majorHAnsi" w:cstheme="majorBidi"/>
            <w:color w:val="A6A6A6" w:themeColor="background1" w:themeShade="A6"/>
            <w:sz w:val="18"/>
            <w:szCs w:val="18"/>
            <w:lang w:val="sq-AL"/>
          </w:rPr>
          <w:alias w:val="Title"/>
          <w:id w:val="-57790424"/>
          <w:dataBinding w:prefixMappings="xmlns:ns0='http://schemas.openxmlformats.org/package/2006/metadata/core-properties' xmlns:ns1='http://purl.org/dc/elements/1.1/'" w:xpath="/ns0:coreProperties[1]/ns1:title[1]" w:storeItemID="{6C3C8BC8-F283-45AE-878A-BAB7291924A1}"/>
          <w:text/>
        </w:sdtPr>
        <w:sdtEndPr/>
        <w:sdtContent>
          <w:tc>
            <w:tcPr>
              <w:tcW w:w="8935" w:type="dxa"/>
              <w:tcBorders>
                <w:right w:val="single" w:sz="12" w:space="0" w:color="A6A6A6" w:themeColor="background1" w:themeShade="A6"/>
              </w:tcBorders>
            </w:tcPr>
            <w:p w:rsidR="00796E6A" w:rsidRPr="008E7E7B" w:rsidRDefault="00796E6A" w:rsidP="00350497">
              <w:pPr>
                <w:pStyle w:val="Header"/>
                <w:tabs>
                  <w:tab w:val="left" w:pos="360"/>
                  <w:tab w:val="right" w:pos="8243"/>
                </w:tabs>
                <w:jc w:val="right"/>
                <w:rPr>
                  <w:rFonts w:asciiTheme="majorHAnsi" w:eastAsiaTheme="majorEastAsia" w:hAnsiTheme="majorHAnsi" w:cstheme="majorBidi"/>
                  <w:color w:val="A6A6A6" w:themeColor="background1" w:themeShade="A6"/>
                  <w:sz w:val="18"/>
                  <w:szCs w:val="18"/>
                </w:rPr>
              </w:pPr>
              <w:r>
                <w:rPr>
                  <w:rFonts w:asciiTheme="majorHAnsi" w:eastAsiaTheme="majorEastAsia" w:hAnsiTheme="majorHAnsi" w:cstheme="majorBidi"/>
                  <w:color w:val="A6A6A6" w:themeColor="background1" w:themeShade="A6"/>
                  <w:sz w:val="18"/>
                  <w:szCs w:val="18"/>
                  <w:lang w:val="sq-AL"/>
                </w:rPr>
                <w:t>Raporti i Mes-Vitit i Buxhetit</w:t>
              </w:r>
            </w:p>
          </w:tc>
        </w:sdtContent>
      </w:sdt>
      <w:tc>
        <w:tcPr>
          <w:tcW w:w="1620" w:type="dxa"/>
          <w:tcBorders>
            <w:left w:val="single" w:sz="12" w:space="0" w:color="A6A6A6" w:themeColor="background1" w:themeShade="A6"/>
          </w:tcBorders>
        </w:tcPr>
        <w:p w:rsidR="00796E6A" w:rsidRDefault="00796E6A" w:rsidP="006055DD">
          <w:pPr>
            <w:pStyle w:val="Header"/>
            <w:tabs>
              <w:tab w:val="clear" w:pos="4680"/>
              <w:tab w:val="clear" w:pos="9360"/>
              <w:tab w:val="left" w:pos="939"/>
            </w:tabs>
            <w:rPr>
              <w:rFonts w:asciiTheme="majorHAnsi" w:eastAsiaTheme="majorEastAsia" w:hAnsiTheme="majorHAnsi" w:cstheme="majorBidi"/>
              <w:bCs/>
              <w:color w:val="A6A6A6" w:themeColor="background1" w:themeShade="A6"/>
              <w:sz w:val="18"/>
              <w:szCs w:val="18"/>
            </w:rPr>
          </w:pPr>
          <w:r>
            <w:rPr>
              <w:rFonts w:asciiTheme="majorHAnsi" w:eastAsiaTheme="majorEastAsia" w:hAnsiTheme="majorHAnsi" w:cstheme="majorBidi"/>
              <w:bCs/>
              <w:color w:val="A6A6A6" w:themeColor="background1" w:themeShade="A6"/>
              <w:sz w:val="18"/>
              <w:szCs w:val="18"/>
            </w:rPr>
            <w:t>2019</w:t>
          </w:r>
          <w:r>
            <w:rPr>
              <w:rFonts w:asciiTheme="majorHAnsi" w:eastAsiaTheme="majorEastAsia" w:hAnsiTheme="majorHAnsi" w:cstheme="majorBidi"/>
              <w:bCs/>
              <w:color w:val="A6A6A6" w:themeColor="background1" w:themeShade="A6"/>
              <w:sz w:val="18"/>
              <w:szCs w:val="18"/>
            </w:rPr>
            <w:tab/>
          </w:r>
        </w:p>
        <w:p w:rsidR="00796E6A" w:rsidRPr="008E7E7B" w:rsidRDefault="00796E6A" w:rsidP="006055DD">
          <w:pPr>
            <w:pStyle w:val="Header"/>
            <w:tabs>
              <w:tab w:val="clear" w:pos="4680"/>
              <w:tab w:val="clear" w:pos="9360"/>
              <w:tab w:val="left" w:pos="939"/>
            </w:tabs>
            <w:rPr>
              <w:rFonts w:asciiTheme="majorHAnsi" w:eastAsiaTheme="majorEastAsia" w:hAnsiTheme="majorHAnsi" w:cstheme="majorBidi"/>
              <w:bCs/>
              <w:color w:val="A6A6A6" w:themeColor="background1" w:themeShade="A6"/>
              <w:sz w:val="18"/>
              <w:szCs w:val="18"/>
            </w:rPr>
          </w:pPr>
        </w:p>
      </w:tc>
    </w:tr>
  </w:tbl>
  <w:p w:rsidR="00796E6A" w:rsidRDefault="00796E6A">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C62A07"/>
    <w:multiLevelType w:val="hybridMultilevel"/>
    <w:tmpl w:val="0EB4663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8E01933"/>
    <w:multiLevelType w:val="hybridMultilevel"/>
    <w:tmpl w:val="E7E4B8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D040FEF"/>
    <w:multiLevelType w:val="hybridMultilevel"/>
    <w:tmpl w:val="FBF23C00"/>
    <w:lvl w:ilvl="0" w:tplc="0409000D">
      <w:start w:val="1"/>
      <w:numFmt w:val="bullet"/>
      <w:lvlText w:val=""/>
      <w:lvlJc w:val="left"/>
      <w:pPr>
        <w:ind w:left="810" w:hanging="360"/>
      </w:pPr>
      <w:rPr>
        <w:rFonts w:ascii="Wingdings" w:hAnsi="Wingdings"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3">
    <w:nsid w:val="0D7620D4"/>
    <w:multiLevelType w:val="hybridMultilevel"/>
    <w:tmpl w:val="17BA97DE"/>
    <w:lvl w:ilvl="0" w:tplc="04090017">
      <w:start w:val="1"/>
      <w:numFmt w:val="lowerLetter"/>
      <w:lvlText w:val="%1)"/>
      <w:lvlJc w:val="left"/>
      <w:pPr>
        <w:ind w:left="720" w:hanging="360"/>
      </w:pPr>
      <w:rPr>
        <w:rFonts w:hint="default"/>
      </w:rPr>
    </w:lvl>
    <w:lvl w:ilvl="1" w:tplc="04090003">
      <w:start w:val="1"/>
      <w:numFmt w:val="bullet"/>
      <w:lvlText w:val="o"/>
      <w:lvlJc w:val="left"/>
      <w:pPr>
        <w:ind w:left="1440" w:hanging="360"/>
      </w:pPr>
      <w:rPr>
        <w:rFonts w:ascii="Courier New" w:hAnsi="Courier New" w:cs="Courier New"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0F4F7A0F"/>
    <w:multiLevelType w:val="hybridMultilevel"/>
    <w:tmpl w:val="F0CC79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0FD931D4"/>
    <w:multiLevelType w:val="hybridMultilevel"/>
    <w:tmpl w:val="7944AE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1236623F"/>
    <w:multiLevelType w:val="hybridMultilevel"/>
    <w:tmpl w:val="263ACA1A"/>
    <w:lvl w:ilvl="0" w:tplc="0409000D">
      <w:start w:val="1"/>
      <w:numFmt w:val="bullet"/>
      <w:lvlText w:val=""/>
      <w:lvlJc w:val="left"/>
      <w:pPr>
        <w:tabs>
          <w:tab w:val="num" w:pos="1440"/>
        </w:tabs>
        <w:ind w:left="1440" w:hanging="360"/>
      </w:pPr>
      <w:rPr>
        <w:rFonts w:ascii="Wingdings" w:hAnsi="Wingdings" w:hint="default"/>
        <w:color w:val="auto"/>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nsid w:val="139616CC"/>
    <w:multiLevelType w:val="hybridMultilevel"/>
    <w:tmpl w:val="0EB4663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14F11363"/>
    <w:multiLevelType w:val="hybridMultilevel"/>
    <w:tmpl w:val="005ADEEC"/>
    <w:lvl w:ilvl="0" w:tplc="0409000D">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
    <w:nsid w:val="16D05AC7"/>
    <w:multiLevelType w:val="hybridMultilevel"/>
    <w:tmpl w:val="BFB2ABB4"/>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0">
    <w:nsid w:val="19E17363"/>
    <w:multiLevelType w:val="hybridMultilevel"/>
    <w:tmpl w:val="BE5C4852"/>
    <w:lvl w:ilvl="0" w:tplc="0409000D">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1">
    <w:nsid w:val="1A5B546D"/>
    <w:multiLevelType w:val="hybridMultilevel"/>
    <w:tmpl w:val="5BBCC4A2"/>
    <w:lvl w:ilvl="0" w:tplc="041C0001">
      <w:start w:val="1"/>
      <w:numFmt w:val="bullet"/>
      <w:lvlText w:val=""/>
      <w:lvlJc w:val="left"/>
      <w:pPr>
        <w:ind w:left="720" w:hanging="360"/>
      </w:pPr>
      <w:rPr>
        <w:rFonts w:ascii="Symbol" w:hAnsi="Symbol"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12">
    <w:nsid w:val="22A41818"/>
    <w:multiLevelType w:val="hybridMultilevel"/>
    <w:tmpl w:val="0980C8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25D812D9"/>
    <w:multiLevelType w:val="hybridMultilevel"/>
    <w:tmpl w:val="87FA0E9E"/>
    <w:lvl w:ilvl="0" w:tplc="B64630E0">
      <w:start w:val="1"/>
      <w:numFmt w:val="lowerRoman"/>
      <w:lvlText w:val="(%1)"/>
      <w:lvlJc w:val="left"/>
      <w:pPr>
        <w:ind w:left="1710" w:hanging="720"/>
      </w:pPr>
      <w:rPr>
        <w:rFonts w:hint="default"/>
      </w:rPr>
    </w:lvl>
    <w:lvl w:ilvl="1" w:tplc="04090019" w:tentative="1">
      <w:start w:val="1"/>
      <w:numFmt w:val="lowerLetter"/>
      <w:lvlText w:val="%2."/>
      <w:lvlJc w:val="left"/>
      <w:pPr>
        <w:ind w:left="2070" w:hanging="360"/>
      </w:pPr>
    </w:lvl>
    <w:lvl w:ilvl="2" w:tplc="0409001B" w:tentative="1">
      <w:start w:val="1"/>
      <w:numFmt w:val="lowerRoman"/>
      <w:lvlText w:val="%3."/>
      <w:lvlJc w:val="right"/>
      <w:pPr>
        <w:ind w:left="2790" w:hanging="180"/>
      </w:pPr>
    </w:lvl>
    <w:lvl w:ilvl="3" w:tplc="0409000F" w:tentative="1">
      <w:start w:val="1"/>
      <w:numFmt w:val="decimal"/>
      <w:lvlText w:val="%4."/>
      <w:lvlJc w:val="left"/>
      <w:pPr>
        <w:ind w:left="3510" w:hanging="360"/>
      </w:pPr>
    </w:lvl>
    <w:lvl w:ilvl="4" w:tplc="04090019" w:tentative="1">
      <w:start w:val="1"/>
      <w:numFmt w:val="lowerLetter"/>
      <w:lvlText w:val="%5."/>
      <w:lvlJc w:val="left"/>
      <w:pPr>
        <w:ind w:left="4230" w:hanging="360"/>
      </w:pPr>
    </w:lvl>
    <w:lvl w:ilvl="5" w:tplc="0409001B" w:tentative="1">
      <w:start w:val="1"/>
      <w:numFmt w:val="lowerRoman"/>
      <w:lvlText w:val="%6."/>
      <w:lvlJc w:val="right"/>
      <w:pPr>
        <w:ind w:left="4950" w:hanging="180"/>
      </w:pPr>
    </w:lvl>
    <w:lvl w:ilvl="6" w:tplc="0409000F" w:tentative="1">
      <w:start w:val="1"/>
      <w:numFmt w:val="decimal"/>
      <w:lvlText w:val="%7."/>
      <w:lvlJc w:val="left"/>
      <w:pPr>
        <w:ind w:left="5670" w:hanging="360"/>
      </w:pPr>
    </w:lvl>
    <w:lvl w:ilvl="7" w:tplc="04090019" w:tentative="1">
      <w:start w:val="1"/>
      <w:numFmt w:val="lowerLetter"/>
      <w:lvlText w:val="%8."/>
      <w:lvlJc w:val="left"/>
      <w:pPr>
        <w:ind w:left="6390" w:hanging="360"/>
      </w:pPr>
    </w:lvl>
    <w:lvl w:ilvl="8" w:tplc="0409001B" w:tentative="1">
      <w:start w:val="1"/>
      <w:numFmt w:val="lowerRoman"/>
      <w:lvlText w:val="%9."/>
      <w:lvlJc w:val="right"/>
      <w:pPr>
        <w:ind w:left="7110" w:hanging="180"/>
      </w:pPr>
    </w:lvl>
  </w:abstractNum>
  <w:abstractNum w:abstractNumId="14">
    <w:nsid w:val="28E87463"/>
    <w:multiLevelType w:val="hybridMultilevel"/>
    <w:tmpl w:val="CFAC71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29EF72D1"/>
    <w:multiLevelType w:val="hybridMultilevel"/>
    <w:tmpl w:val="F34C375E"/>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16">
    <w:nsid w:val="2A540805"/>
    <w:multiLevelType w:val="hybridMultilevel"/>
    <w:tmpl w:val="0F1CE5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2EA526D3"/>
    <w:multiLevelType w:val="hybridMultilevel"/>
    <w:tmpl w:val="59EAF01C"/>
    <w:lvl w:ilvl="0" w:tplc="04090001">
      <w:start w:val="1"/>
      <w:numFmt w:val="bullet"/>
      <w:lvlText w:val=""/>
      <w:lvlJc w:val="left"/>
      <w:pPr>
        <w:ind w:left="450" w:hanging="360"/>
      </w:pPr>
      <w:rPr>
        <w:rFonts w:ascii="Symbol" w:hAnsi="Symbol" w:hint="default"/>
        <w:b/>
        <w:color w:val="auto"/>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18">
    <w:nsid w:val="2F3D74BB"/>
    <w:multiLevelType w:val="hybridMultilevel"/>
    <w:tmpl w:val="9768F560"/>
    <w:lvl w:ilvl="0" w:tplc="04090017">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2FDC5781"/>
    <w:multiLevelType w:val="hybridMultilevel"/>
    <w:tmpl w:val="542C6F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2FF91942"/>
    <w:multiLevelType w:val="hybridMultilevel"/>
    <w:tmpl w:val="59D84004"/>
    <w:lvl w:ilvl="0" w:tplc="041C0001">
      <w:start w:val="1"/>
      <w:numFmt w:val="bullet"/>
      <w:lvlText w:val=""/>
      <w:lvlJc w:val="left"/>
      <w:pPr>
        <w:ind w:left="720" w:hanging="360"/>
      </w:pPr>
      <w:rPr>
        <w:rFonts w:ascii="Symbol" w:hAnsi="Symbol"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21">
    <w:nsid w:val="35A6630F"/>
    <w:multiLevelType w:val="hybridMultilevel"/>
    <w:tmpl w:val="E4425FDC"/>
    <w:lvl w:ilvl="0" w:tplc="041C0001">
      <w:start w:val="1"/>
      <w:numFmt w:val="bullet"/>
      <w:lvlText w:val=""/>
      <w:lvlJc w:val="left"/>
      <w:pPr>
        <w:ind w:left="720" w:hanging="360"/>
      </w:pPr>
      <w:rPr>
        <w:rFonts w:ascii="Symbol" w:hAnsi="Symbol"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22">
    <w:nsid w:val="37A610B4"/>
    <w:multiLevelType w:val="hybridMultilevel"/>
    <w:tmpl w:val="E09EA2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nsid w:val="38170166"/>
    <w:multiLevelType w:val="hybridMultilevel"/>
    <w:tmpl w:val="893AD7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nsid w:val="38460694"/>
    <w:multiLevelType w:val="hybridMultilevel"/>
    <w:tmpl w:val="079AEDD4"/>
    <w:lvl w:ilvl="0" w:tplc="0409000D">
      <w:start w:val="1"/>
      <w:numFmt w:val="bullet"/>
      <w:lvlText w:val=""/>
      <w:lvlJc w:val="left"/>
      <w:pPr>
        <w:ind w:left="1170" w:hanging="360"/>
      </w:pPr>
      <w:rPr>
        <w:rFonts w:ascii="Wingdings" w:hAnsi="Wingdings" w:hint="default"/>
      </w:rPr>
    </w:lvl>
    <w:lvl w:ilvl="1" w:tplc="08090003" w:tentative="1">
      <w:start w:val="1"/>
      <w:numFmt w:val="bullet"/>
      <w:lvlText w:val="o"/>
      <w:lvlJc w:val="left"/>
      <w:pPr>
        <w:ind w:left="1890" w:hanging="360"/>
      </w:pPr>
      <w:rPr>
        <w:rFonts w:ascii="Courier New" w:hAnsi="Courier New" w:cs="Courier New" w:hint="default"/>
      </w:rPr>
    </w:lvl>
    <w:lvl w:ilvl="2" w:tplc="08090005" w:tentative="1">
      <w:start w:val="1"/>
      <w:numFmt w:val="bullet"/>
      <w:lvlText w:val=""/>
      <w:lvlJc w:val="left"/>
      <w:pPr>
        <w:ind w:left="2610" w:hanging="360"/>
      </w:pPr>
      <w:rPr>
        <w:rFonts w:ascii="Wingdings" w:hAnsi="Wingdings" w:hint="default"/>
      </w:rPr>
    </w:lvl>
    <w:lvl w:ilvl="3" w:tplc="08090001" w:tentative="1">
      <w:start w:val="1"/>
      <w:numFmt w:val="bullet"/>
      <w:lvlText w:val=""/>
      <w:lvlJc w:val="left"/>
      <w:pPr>
        <w:ind w:left="3330" w:hanging="360"/>
      </w:pPr>
      <w:rPr>
        <w:rFonts w:ascii="Symbol" w:hAnsi="Symbol" w:hint="default"/>
      </w:rPr>
    </w:lvl>
    <w:lvl w:ilvl="4" w:tplc="08090003" w:tentative="1">
      <w:start w:val="1"/>
      <w:numFmt w:val="bullet"/>
      <w:lvlText w:val="o"/>
      <w:lvlJc w:val="left"/>
      <w:pPr>
        <w:ind w:left="4050" w:hanging="360"/>
      </w:pPr>
      <w:rPr>
        <w:rFonts w:ascii="Courier New" w:hAnsi="Courier New" w:cs="Courier New" w:hint="default"/>
      </w:rPr>
    </w:lvl>
    <w:lvl w:ilvl="5" w:tplc="08090005" w:tentative="1">
      <w:start w:val="1"/>
      <w:numFmt w:val="bullet"/>
      <w:lvlText w:val=""/>
      <w:lvlJc w:val="left"/>
      <w:pPr>
        <w:ind w:left="4770" w:hanging="360"/>
      </w:pPr>
      <w:rPr>
        <w:rFonts w:ascii="Wingdings" w:hAnsi="Wingdings" w:hint="default"/>
      </w:rPr>
    </w:lvl>
    <w:lvl w:ilvl="6" w:tplc="08090001" w:tentative="1">
      <w:start w:val="1"/>
      <w:numFmt w:val="bullet"/>
      <w:lvlText w:val=""/>
      <w:lvlJc w:val="left"/>
      <w:pPr>
        <w:ind w:left="5490" w:hanging="360"/>
      </w:pPr>
      <w:rPr>
        <w:rFonts w:ascii="Symbol" w:hAnsi="Symbol" w:hint="default"/>
      </w:rPr>
    </w:lvl>
    <w:lvl w:ilvl="7" w:tplc="08090003" w:tentative="1">
      <w:start w:val="1"/>
      <w:numFmt w:val="bullet"/>
      <w:lvlText w:val="o"/>
      <w:lvlJc w:val="left"/>
      <w:pPr>
        <w:ind w:left="6210" w:hanging="360"/>
      </w:pPr>
      <w:rPr>
        <w:rFonts w:ascii="Courier New" w:hAnsi="Courier New" w:cs="Courier New" w:hint="default"/>
      </w:rPr>
    </w:lvl>
    <w:lvl w:ilvl="8" w:tplc="08090005" w:tentative="1">
      <w:start w:val="1"/>
      <w:numFmt w:val="bullet"/>
      <w:lvlText w:val=""/>
      <w:lvlJc w:val="left"/>
      <w:pPr>
        <w:ind w:left="6930" w:hanging="360"/>
      </w:pPr>
      <w:rPr>
        <w:rFonts w:ascii="Wingdings" w:hAnsi="Wingdings" w:hint="default"/>
      </w:rPr>
    </w:lvl>
  </w:abstractNum>
  <w:abstractNum w:abstractNumId="25">
    <w:nsid w:val="3B6D7764"/>
    <w:multiLevelType w:val="hybridMultilevel"/>
    <w:tmpl w:val="285CD8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nsid w:val="46822AD7"/>
    <w:multiLevelType w:val="hybridMultilevel"/>
    <w:tmpl w:val="53E02A18"/>
    <w:lvl w:ilvl="0" w:tplc="04090001">
      <w:start w:val="1"/>
      <w:numFmt w:val="bullet"/>
      <w:lvlText w:val=""/>
      <w:lvlJc w:val="left"/>
      <w:pPr>
        <w:ind w:left="360" w:hanging="360"/>
      </w:pPr>
      <w:rPr>
        <w:rFonts w:ascii="Symbol" w:hAnsi="Symbol"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7">
    <w:nsid w:val="494478D3"/>
    <w:multiLevelType w:val="hybridMultilevel"/>
    <w:tmpl w:val="22FC9576"/>
    <w:lvl w:ilvl="0" w:tplc="169CBAF6">
      <w:start w:val="1"/>
      <w:numFmt w:val="bullet"/>
      <w:lvlText w:val="-"/>
      <w:lvlJc w:val="left"/>
      <w:pPr>
        <w:ind w:left="1080" w:hanging="360"/>
      </w:pPr>
      <w:rPr>
        <w:rFonts w:ascii="Times New Roman" w:eastAsia="Times New Roman" w:hAnsi="Times New Roman" w:cs="Times New Roman"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8">
    <w:nsid w:val="4B3E5562"/>
    <w:multiLevelType w:val="hybridMultilevel"/>
    <w:tmpl w:val="E670EDBC"/>
    <w:lvl w:ilvl="0" w:tplc="E4485122">
      <w:start w:val="1"/>
      <w:numFmt w:val="bullet"/>
      <w:lvlText w:val=""/>
      <w:lvlJc w:val="left"/>
      <w:pPr>
        <w:ind w:left="360" w:hanging="360"/>
      </w:pPr>
      <w:rPr>
        <w:rFonts w:ascii="Symbol" w:hAnsi="Symbol" w:hint="default"/>
        <w:color w:val="auto"/>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9">
    <w:nsid w:val="4E316C7E"/>
    <w:multiLevelType w:val="hybridMultilevel"/>
    <w:tmpl w:val="DD0A73FC"/>
    <w:lvl w:ilvl="0" w:tplc="0409000D">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0">
    <w:nsid w:val="4F87413D"/>
    <w:multiLevelType w:val="hybridMultilevel"/>
    <w:tmpl w:val="DF7059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nsid w:val="51C54830"/>
    <w:multiLevelType w:val="hybridMultilevel"/>
    <w:tmpl w:val="0EB4663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nsid w:val="51DD634D"/>
    <w:multiLevelType w:val="hybridMultilevel"/>
    <w:tmpl w:val="9768F560"/>
    <w:lvl w:ilvl="0" w:tplc="04090017">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nsid w:val="58D9564D"/>
    <w:multiLevelType w:val="hybridMultilevel"/>
    <w:tmpl w:val="2BC465D2"/>
    <w:lvl w:ilvl="0" w:tplc="0409000D">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nsid w:val="597C40ED"/>
    <w:multiLevelType w:val="hybridMultilevel"/>
    <w:tmpl w:val="3002295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nsid w:val="59E03C5E"/>
    <w:multiLevelType w:val="hybridMultilevel"/>
    <w:tmpl w:val="447A81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nsid w:val="5B371EFB"/>
    <w:multiLevelType w:val="hybridMultilevel"/>
    <w:tmpl w:val="5FCCAA7C"/>
    <w:lvl w:ilvl="0" w:tplc="04090003">
      <w:start w:val="1"/>
      <w:numFmt w:val="bullet"/>
      <w:lvlText w:val="o"/>
      <w:lvlJc w:val="left"/>
      <w:pPr>
        <w:ind w:left="720" w:hanging="360"/>
      </w:pPr>
      <w:rPr>
        <w:rFonts w:ascii="Courier New" w:hAnsi="Courier New" w:cs="Courier New" w:hint="default"/>
      </w:rPr>
    </w:lvl>
    <w:lvl w:ilvl="1" w:tplc="04090003">
      <w:start w:val="1"/>
      <w:numFmt w:val="bullet"/>
      <w:lvlText w:val="o"/>
      <w:lvlJc w:val="left"/>
      <w:pPr>
        <w:ind w:left="1440" w:hanging="360"/>
      </w:pPr>
      <w:rPr>
        <w:rFonts w:ascii="Courier New" w:hAnsi="Courier New" w:cs="Courier New" w:hint="default"/>
      </w:rPr>
    </w:lvl>
    <w:lvl w:ilvl="2" w:tplc="04090003">
      <w:start w:val="1"/>
      <w:numFmt w:val="bullet"/>
      <w:lvlText w:val="o"/>
      <w:lvlJc w:val="left"/>
      <w:pPr>
        <w:ind w:left="2160" w:hanging="360"/>
      </w:pPr>
      <w:rPr>
        <w:rFonts w:ascii="Courier New" w:hAnsi="Courier New" w:cs="Courier New"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nsid w:val="5D1C501A"/>
    <w:multiLevelType w:val="hybridMultilevel"/>
    <w:tmpl w:val="5F0A9086"/>
    <w:lvl w:ilvl="0" w:tplc="169CBAF6">
      <w:start w:val="1"/>
      <w:numFmt w:val="bullet"/>
      <w:lvlText w:val="-"/>
      <w:lvlJc w:val="left"/>
      <w:pPr>
        <w:ind w:left="1170" w:hanging="360"/>
      </w:pPr>
      <w:rPr>
        <w:rFonts w:ascii="Times New Roman" w:eastAsia="Times New Roman" w:hAnsi="Times New Roman" w:cs="Times New Roman" w:hint="default"/>
      </w:rPr>
    </w:lvl>
    <w:lvl w:ilvl="1" w:tplc="08090003" w:tentative="1">
      <w:start w:val="1"/>
      <w:numFmt w:val="bullet"/>
      <w:lvlText w:val="o"/>
      <w:lvlJc w:val="left"/>
      <w:pPr>
        <w:ind w:left="1890" w:hanging="360"/>
      </w:pPr>
      <w:rPr>
        <w:rFonts w:ascii="Courier New" w:hAnsi="Courier New" w:cs="Courier New" w:hint="default"/>
      </w:rPr>
    </w:lvl>
    <w:lvl w:ilvl="2" w:tplc="08090005" w:tentative="1">
      <w:start w:val="1"/>
      <w:numFmt w:val="bullet"/>
      <w:lvlText w:val=""/>
      <w:lvlJc w:val="left"/>
      <w:pPr>
        <w:ind w:left="2610" w:hanging="360"/>
      </w:pPr>
      <w:rPr>
        <w:rFonts w:ascii="Wingdings" w:hAnsi="Wingdings" w:hint="default"/>
      </w:rPr>
    </w:lvl>
    <w:lvl w:ilvl="3" w:tplc="08090001" w:tentative="1">
      <w:start w:val="1"/>
      <w:numFmt w:val="bullet"/>
      <w:lvlText w:val=""/>
      <w:lvlJc w:val="left"/>
      <w:pPr>
        <w:ind w:left="3330" w:hanging="360"/>
      </w:pPr>
      <w:rPr>
        <w:rFonts w:ascii="Symbol" w:hAnsi="Symbol" w:hint="default"/>
      </w:rPr>
    </w:lvl>
    <w:lvl w:ilvl="4" w:tplc="08090003" w:tentative="1">
      <w:start w:val="1"/>
      <w:numFmt w:val="bullet"/>
      <w:lvlText w:val="o"/>
      <w:lvlJc w:val="left"/>
      <w:pPr>
        <w:ind w:left="4050" w:hanging="360"/>
      </w:pPr>
      <w:rPr>
        <w:rFonts w:ascii="Courier New" w:hAnsi="Courier New" w:cs="Courier New" w:hint="default"/>
      </w:rPr>
    </w:lvl>
    <w:lvl w:ilvl="5" w:tplc="08090005" w:tentative="1">
      <w:start w:val="1"/>
      <w:numFmt w:val="bullet"/>
      <w:lvlText w:val=""/>
      <w:lvlJc w:val="left"/>
      <w:pPr>
        <w:ind w:left="4770" w:hanging="360"/>
      </w:pPr>
      <w:rPr>
        <w:rFonts w:ascii="Wingdings" w:hAnsi="Wingdings" w:hint="default"/>
      </w:rPr>
    </w:lvl>
    <w:lvl w:ilvl="6" w:tplc="08090001" w:tentative="1">
      <w:start w:val="1"/>
      <w:numFmt w:val="bullet"/>
      <w:lvlText w:val=""/>
      <w:lvlJc w:val="left"/>
      <w:pPr>
        <w:ind w:left="5490" w:hanging="360"/>
      </w:pPr>
      <w:rPr>
        <w:rFonts w:ascii="Symbol" w:hAnsi="Symbol" w:hint="default"/>
      </w:rPr>
    </w:lvl>
    <w:lvl w:ilvl="7" w:tplc="08090003" w:tentative="1">
      <w:start w:val="1"/>
      <w:numFmt w:val="bullet"/>
      <w:lvlText w:val="o"/>
      <w:lvlJc w:val="left"/>
      <w:pPr>
        <w:ind w:left="6210" w:hanging="360"/>
      </w:pPr>
      <w:rPr>
        <w:rFonts w:ascii="Courier New" w:hAnsi="Courier New" w:cs="Courier New" w:hint="default"/>
      </w:rPr>
    </w:lvl>
    <w:lvl w:ilvl="8" w:tplc="08090005" w:tentative="1">
      <w:start w:val="1"/>
      <w:numFmt w:val="bullet"/>
      <w:lvlText w:val=""/>
      <w:lvlJc w:val="left"/>
      <w:pPr>
        <w:ind w:left="6930" w:hanging="360"/>
      </w:pPr>
      <w:rPr>
        <w:rFonts w:ascii="Wingdings" w:hAnsi="Wingdings" w:hint="default"/>
      </w:rPr>
    </w:lvl>
  </w:abstractNum>
  <w:abstractNum w:abstractNumId="38">
    <w:nsid w:val="5DA84D9B"/>
    <w:multiLevelType w:val="hybridMultilevel"/>
    <w:tmpl w:val="13A0202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nsid w:val="601B29CC"/>
    <w:multiLevelType w:val="hybridMultilevel"/>
    <w:tmpl w:val="4F4CAA38"/>
    <w:lvl w:ilvl="0" w:tplc="041C0001">
      <w:start w:val="1"/>
      <w:numFmt w:val="bullet"/>
      <w:lvlText w:val=""/>
      <w:lvlJc w:val="left"/>
      <w:pPr>
        <w:ind w:left="720" w:hanging="360"/>
      </w:pPr>
      <w:rPr>
        <w:rFonts w:ascii="Symbol" w:hAnsi="Symbol"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40">
    <w:nsid w:val="60706106"/>
    <w:multiLevelType w:val="hybridMultilevel"/>
    <w:tmpl w:val="EEBA1BE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nsid w:val="624D6B36"/>
    <w:multiLevelType w:val="hybridMultilevel"/>
    <w:tmpl w:val="D27A2D5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nsid w:val="67631117"/>
    <w:multiLevelType w:val="hybridMultilevel"/>
    <w:tmpl w:val="0EB4663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nsid w:val="6E685046"/>
    <w:multiLevelType w:val="hybridMultilevel"/>
    <w:tmpl w:val="32FA17B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nsid w:val="6F13761D"/>
    <w:multiLevelType w:val="hybridMultilevel"/>
    <w:tmpl w:val="F23A28E0"/>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nsid w:val="6F902C47"/>
    <w:multiLevelType w:val="hybridMultilevel"/>
    <w:tmpl w:val="199492B6"/>
    <w:lvl w:ilvl="0" w:tplc="D0EA5116">
      <w:start w:val="1"/>
      <w:numFmt w:val="bullet"/>
      <w:lvlText w:val=""/>
      <w:lvlJc w:val="left"/>
      <w:pPr>
        <w:ind w:left="720" w:hanging="360"/>
      </w:pPr>
      <w:rPr>
        <w:rFonts w:ascii="Symbol" w:hAnsi="Symbol" w:hint="default"/>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nsid w:val="740A6FBF"/>
    <w:multiLevelType w:val="hybridMultilevel"/>
    <w:tmpl w:val="68D8B1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7">
    <w:nsid w:val="74431191"/>
    <w:multiLevelType w:val="hybridMultilevel"/>
    <w:tmpl w:val="AB043D40"/>
    <w:lvl w:ilvl="0" w:tplc="7B968BE8">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8">
    <w:nsid w:val="744A014E"/>
    <w:multiLevelType w:val="hybridMultilevel"/>
    <w:tmpl w:val="906E5E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9">
    <w:nsid w:val="74B21FED"/>
    <w:multiLevelType w:val="hybridMultilevel"/>
    <w:tmpl w:val="7E5E813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0">
    <w:nsid w:val="753138B1"/>
    <w:multiLevelType w:val="hybridMultilevel"/>
    <w:tmpl w:val="43E04A5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D">
      <w:start w:val="1"/>
      <w:numFmt w:val="bullet"/>
      <w:lvlText w:val=""/>
      <w:lvlJc w:val="left"/>
      <w:pPr>
        <w:ind w:left="1353"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1">
    <w:nsid w:val="79492CFE"/>
    <w:multiLevelType w:val="hybridMultilevel"/>
    <w:tmpl w:val="BDD2AC5A"/>
    <w:lvl w:ilvl="0" w:tplc="04090003">
      <w:start w:val="1"/>
      <w:numFmt w:val="bullet"/>
      <w:lvlText w:val="o"/>
      <w:lvlJc w:val="left"/>
      <w:pPr>
        <w:ind w:left="1080" w:hanging="360"/>
      </w:pPr>
      <w:rPr>
        <w:rFonts w:ascii="Courier New" w:hAnsi="Courier New" w:cs="Courier New"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2">
    <w:nsid w:val="7A2E029C"/>
    <w:multiLevelType w:val="hybridMultilevel"/>
    <w:tmpl w:val="864219B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3">
    <w:nsid w:val="7C3713DB"/>
    <w:multiLevelType w:val="hybridMultilevel"/>
    <w:tmpl w:val="FF840A3A"/>
    <w:lvl w:ilvl="0" w:tplc="04090001">
      <w:start w:val="1"/>
      <w:numFmt w:val="bullet"/>
      <w:lvlText w:val=""/>
      <w:lvlJc w:val="left"/>
      <w:pPr>
        <w:ind w:left="1800" w:hanging="360"/>
      </w:pPr>
      <w:rPr>
        <w:rFonts w:ascii="Symbol" w:hAnsi="Symbol" w:hint="default"/>
      </w:rPr>
    </w:lvl>
    <w:lvl w:ilvl="1" w:tplc="0409000D">
      <w:start w:val="1"/>
      <w:numFmt w:val="bullet"/>
      <w:lvlText w:val=""/>
      <w:lvlJc w:val="left"/>
      <w:pPr>
        <w:ind w:left="2520" w:hanging="360"/>
      </w:pPr>
      <w:rPr>
        <w:rFonts w:ascii="Wingdings" w:hAnsi="Wingdings"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54">
    <w:nsid w:val="7C4D6247"/>
    <w:multiLevelType w:val="hybridMultilevel"/>
    <w:tmpl w:val="95C08EA8"/>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55">
    <w:nsid w:val="7D491B5C"/>
    <w:multiLevelType w:val="hybridMultilevel"/>
    <w:tmpl w:val="8F366CBC"/>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47"/>
  </w:num>
  <w:num w:numId="2">
    <w:abstractNumId w:val="44"/>
  </w:num>
  <w:num w:numId="3">
    <w:abstractNumId w:val="10"/>
  </w:num>
  <w:num w:numId="4">
    <w:abstractNumId w:val="28"/>
  </w:num>
  <w:num w:numId="5">
    <w:abstractNumId w:val="4"/>
  </w:num>
  <w:num w:numId="6">
    <w:abstractNumId w:val="34"/>
  </w:num>
  <w:num w:numId="7">
    <w:abstractNumId w:val="43"/>
  </w:num>
  <w:num w:numId="8">
    <w:abstractNumId w:val="26"/>
  </w:num>
  <w:num w:numId="9">
    <w:abstractNumId w:val="41"/>
  </w:num>
  <w:num w:numId="10">
    <w:abstractNumId w:val="52"/>
  </w:num>
  <w:num w:numId="11">
    <w:abstractNumId w:val="36"/>
  </w:num>
  <w:num w:numId="12">
    <w:abstractNumId w:val="50"/>
  </w:num>
  <w:num w:numId="13">
    <w:abstractNumId w:val="40"/>
  </w:num>
  <w:num w:numId="14">
    <w:abstractNumId w:val="54"/>
  </w:num>
  <w:num w:numId="15">
    <w:abstractNumId w:val="35"/>
  </w:num>
  <w:num w:numId="16">
    <w:abstractNumId w:val="33"/>
  </w:num>
  <w:num w:numId="17">
    <w:abstractNumId w:val="15"/>
  </w:num>
  <w:num w:numId="18">
    <w:abstractNumId w:val="25"/>
  </w:num>
  <w:num w:numId="19">
    <w:abstractNumId w:val="46"/>
  </w:num>
  <w:num w:numId="20">
    <w:abstractNumId w:val="8"/>
  </w:num>
  <w:num w:numId="21">
    <w:abstractNumId w:val="6"/>
  </w:num>
  <w:num w:numId="22">
    <w:abstractNumId w:val="1"/>
  </w:num>
  <w:num w:numId="23">
    <w:abstractNumId w:val="29"/>
  </w:num>
  <w:num w:numId="24">
    <w:abstractNumId w:val="12"/>
  </w:num>
  <w:num w:numId="25">
    <w:abstractNumId w:val="22"/>
  </w:num>
  <w:num w:numId="26">
    <w:abstractNumId w:val="2"/>
  </w:num>
  <w:num w:numId="27">
    <w:abstractNumId w:val="17"/>
  </w:num>
  <w:num w:numId="28">
    <w:abstractNumId w:val="13"/>
  </w:num>
  <w:num w:numId="29">
    <w:abstractNumId w:val="53"/>
  </w:num>
  <w:num w:numId="30">
    <w:abstractNumId w:val="32"/>
  </w:num>
  <w:num w:numId="31">
    <w:abstractNumId w:val="3"/>
  </w:num>
  <w:num w:numId="32">
    <w:abstractNumId w:val="18"/>
  </w:num>
  <w:num w:numId="33">
    <w:abstractNumId w:val="9"/>
  </w:num>
  <w:num w:numId="34">
    <w:abstractNumId w:val="51"/>
  </w:num>
  <w:num w:numId="35">
    <w:abstractNumId w:val="38"/>
  </w:num>
  <w:num w:numId="36">
    <w:abstractNumId w:val="19"/>
  </w:num>
  <w:num w:numId="37">
    <w:abstractNumId w:val="23"/>
  </w:num>
  <w:num w:numId="38">
    <w:abstractNumId w:val="48"/>
  </w:num>
  <w:num w:numId="39">
    <w:abstractNumId w:val="5"/>
  </w:num>
  <w:num w:numId="40">
    <w:abstractNumId w:val="11"/>
  </w:num>
  <w:num w:numId="41">
    <w:abstractNumId w:val="20"/>
  </w:num>
  <w:num w:numId="42">
    <w:abstractNumId w:val="39"/>
  </w:num>
  <w:num w:numId="43">
    <w:abstractNumId w:val="21"/>
  </w:num>
  <w:num w:numId="44">
    <w:abstractNumId w:val="30"/>
  </w:num>
  <w:num w:numId="45">
    <w:abstractNumId w:val="49"/>
  </w:num>
  <w:num w:numId="46">
    <w:abstractNumId w:val="16"/>
  </w:num>
  <w:num w:numId="47">
    <w:abstractNumId w:val="14"/>
  </w:num>
  <w:num w:numId="48">
    <w:abstractNumId w:val="55"/>
  </w:num>
  <w:num w:numId="49">
    <w:abstractNumId w:val="45"/>
  </w:num>
  <w:num w:numId="50">
    <w:abstractNumId w:val="0"/>
  </w:num>
  <w:num w:numId="51">
    <w:abstractNumId w:val="37"/>
  </w:num>
  <w:num w:numId="52">
    <w:abstractNumId w:val="27"/>
  </w:num>
  <w:num w:numId="53">
    <w:abstractNumId w:val="42"/>
  </w:num>
  <w:num w:numId="54">
    <w:abstractNumId w:val="31"/>
  </w:num>
  <w:num w:numId="55">
    <w:abstractNumId w:val="7"/>
  </w:num>
  <w:num w:numId="56">
    <w:abstractNumId w:val="24"/>
  </w:num>
  <w:numIdMacAtCleanup w:val="4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embedSystemFonts/>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A2E05"/>
    <w:rsid w:val="000009B4"/>
    <w:rsid w:val="00001847"/>
    <w:rsid w:val="00001B8A"/>
    <w:rsid w:val="0000203C"/>
    <w:rsid w:val="00002903"/>
    <w:rsid w:val="00002985"/>
    <w:rsid w:val="00002BA1"/>
    <w:rsid w:val="000042BE"/>
    <w:rsid w:val="00004591"/>
    <w:rsid w:val="00004BBA"/>
    <w:rsid w:val="000058A5"/>
    <w:rsid w:val="0000625F"/>
    <w:rsid w:val="00006D26"/>
    <w:rsid w:val="00006F4A"/>
    <w:rsid w:val="00007240"/>
    <w:rsid w:val="00007FB3"/>
    <w:rsid w:val="000105BE"/>
    <w:rsid w:val="00010AD1"/>
    <w:rsid w:val="00011DE6"/>
    <w:rsid w:val="00013AAD"/>
    <w:rsid w:val="000146B5"/>
    <w:rsid w:val="0002003B"/>
    <w:rsid w:val="00020D0D"/>
    <w:rsid w:val="00021054"/>
    <w:rsid w:val="00023EC7"/>
    <w:rsid w:val="00024F36"/>
    <w:rsid w:val="00026ECA"/>
    <w:rsid w:val="000278C7"/>
    <w:rsid w:val="00030821"/>
    <w:rsid w:val="00030AB4"/>
    <w:rsid w:val="000313E1"/>
    <w:rsid w:val="00031696"/>
    <w:rsid w:val="000316EE"/>
    <w:rsid w:val="0003180D"/>
    <w:rsid w:val="00031893"/>
    <w:rsid w:val="00035841"/>
    <w:rsid w:val="000358B5"/>
    <w:rsid w:val="00036D1F"/>
    <w:rsid w:val="00037512"/>
    <w:rsid w:val="00040FFF"/>
    <w:rsid w:val="0004148F"/>
    <w:rsid w:val="00041651"/>
    <w:rsid w:val="00041A92"/>
    <w:rsid w:val="000431C2"/>
    <w:rsid w:val="000433A3"/>
    <w:rsid w:val="000463AC"/>
    <w:rsid w:val="00050FA7"/>
    <w:rsid w:val="00051A5E"/>
    <w:rsid w:val="00052BF2"/>
    <w:rsid w:val="00053402"/>
    <w:rsid w:val="00053BCC"/>
    <w:rsid w:val="00055212"/>
    <w:rsid w:val="000557E1"/>
    <w:rsid w:val="0006109B"/>
    <w:rsid w:val="00062B2F"/>
    <w:rsid w:val="000631F1"/>
    <w:rsid w:val="00064256"/>
    <w:rsid w:val="0006646C"/>
    <w:rsid w:val="000675C9"/>
    <w:rsid w:val="00067A97"/>
    <w:rsid w:val="00070183"/>
    <w:rsid w:val="00070A9E"/>
    <w:rsid w:val="0007318D"/>
    <w:rsid w:val="00074D63"/>
    <w:rsid w:val="00074EFC"/>
    <w:rsid w:val="00075214"/>
    <w:rsid w:val="00075221"/>
    <w:rsid w:val="00075EFB"/>
    <w:rsid w:val="00077ACE"/>
    <w:rsid w:val="00080C58"/>
    <w:rsid w:val="0008211E"/>
    <w:rsid w:val="00082792"/>
    <w:rsid w:val="0008405B"/>
    <w:rsid w:val="00084AE6"/>
    <w:rsid w:val="0008561F"/>
    <w:rsid w:val="0008790E"/>
    <w:rsid w:val="0009015E"/>
    <w:rsid w:val="000909B0"/>
    <w:rsid w:val="00091411"/>
    <w:rsid w:val="0009269D"/>
    <w:rsid w:val="00092EF5"/>
    <w:rsid w:val="000935B0"/>
    <w:rsid w:val="00093EC3"/>
    <w:rsid w:val="000946AA"/>
    <w:rsid w:val="00094C85"/>
    <w:rsid w:val="00096062"/>
    <w:rsid w:val="000960BA"/>
    <w:rsid w:val="000972C6"/>
    <w:rsid w:val="00097454"/>
    <w:rsid w:val="000A00F7"/>
    <w:rsid w:val="000A0F68"/>
    <w:rsid w:val="000A105F"/>
    <w:rsid w:val="000A1269"/>
    <w:rsid w:val="000A1A4D"/>
    <w:rsid w:val="000A1DED"/>
    <w:rsid w:val="000A2C2B"/>
    <w:rsid w:val="000A3A65"/>
    <w:rsid w:val="000A47EC"/>
    <w:rsid w:val="000A6BDF"/>
    <w:rsid w:val="000A79C2"/>
    <w:rsid w:val="000B14D4"/>
    <w:rsid w:val="000B2FE1"/>
    <w:rsid w:val="000B3625"/>
    <w:rsid w:val="000B4464"/>
    <w:rsid w:val="000B540E"/>
    <w:rsid w:val="000B5856"/>
    <w:rsid w:val="000B5A01"/>
    <w:rsid w:val="000B6C8B"/>
    <w:rsid w:val="000B73D2"/>
    <w:rsid w:val="000C0515"/>
    <w:rsid w:val="000C0D2E"/>
    <w:rsid w:val="000C2177"/>
    <w:rsid w:val="000C4EAF"/>
    <w:rsid w:val="000C7321"/>
    <w:rsid w:val="000D0537"/>
    <w:rsid w:val="000D0B82"/>
    <w:rsid w:val="000D0FAE"/>
    <w:rsid w:val="000D1054"/>
    <w:rsid w:val="000D1394"/>
    <w:rsid w:val="000D3057"/>
    <w:rsid w:val="000D39D1"/>
    <w:rsid w:val="000D582B"/>
    <w:rsid w:val="000D678C"/>
    <w:rsid w:val="000D725A"/>
    <w:rsid w:val="000D735A"/>
    <w:rsid w:val="000D78D1"/>
    <w:rsid w:val="000D7B83"/>
    <w:rsid w:val="000E0554"/>
    <w:rsid w:val="000E084F"/>
    <w:rsid w:val="000E14D0"/>
    <w:rsid w:val="000E1C80"/>
    <w:rsid w:val="000E2E50"/>
    <w:rsid w:val="000E3075"/>
    <w:rsid w:val="000E3178"/>
    <w:rsid w:val="000E44E0"/>
    <w:rsid w:val="000E4AD3"/>
    <w:rsid w:val="000E6782"/>
    <w:rsid w:val="000E6C40"/>
    <w:rsid w:val="000E73FC"/>
    <w:rsid w:val="000E7521"/>
    <w:rsid w:val="000E765C"/>
    <w:rsid w:val="000F051F"/>
    <w:rsid w:val="000F1197"/>
    <w:rsid w:val="000F25F3"/>
    <w:rsid w:val="000F2E94"/>
    <w:rsid w:val="000F2F61"/>
    <w:rsid w:val="000F4824"/>
    <w:rsid w:val="000F4D1C"/>
    <w:rsid w:val="000F540A"/>
    <w:rsid w:val="000F606D"/>
    <w:rsid w:val="000F7B0C"/>
    <w:rsid w:val="000F7EE0"/>
    <w:rsid w:val="001004A6"/>
    <w:rsid w:val="001011D2"/>
    <w:rsid w:val="00102AA3"/>
    <w:rsid w:val="00102D6A"/>
    <w:rsid w:val="00104441"/>
    <w:rsid w:val="00105412"/>
    <w:rsid w:val="00106E18"/>
    <w:rsid w:val="001070FF"/>
    <w:rsid w:val="00107342"/>
    <w:rsid w:val="00107770"/>
    <w:rsid w:val="001105BE"/>
    <w:rsid w:val="0011061C"/>
    <w:rsid w:val="0011081B"/>
    <w:rsid w:val="00110EC0"/>
    <w:rsid w:val="0011178E"/>
    <w:rsid w:val="00112C09"/>
    <w:rsid w:val="001140C9"/>
    <w:rsid w:val="0011462F"/>
    <w:rsid w:val="001147E2"/>
    <w:rsid w:val="0011683A"/>
    <w:rsid w:val="00117C1E"/>
    <w:rsid w:val="00121650"/>
    <w:rsid w:val="001216A1"/>
    <w:rsid w:val="0012315A"/>
    <w:rsid w:val="00123604"/>
    <w:rsid w:val="00123875"/>
    <w:rsid w:val="0012432B"/>
    <w:rsid w:val="00124A22"/>
    <w:rsid w:val="0012547B"/>
    <w:rsid w:val="00125535"/>
    <w:rsid w:val="001256B7"/>
    <w:rsid w:val="00125DA8"/>
    <w:rsid w:val="00126C04"/>
    <w:rsid w:val="001273EB"/>
    <w:rsid w:val="00127B95"/>
    <w:rsid w:val="0013043F"/>
    <w:rsid w:val="00131067"/>
    <w:rsid w:val="00132007"/>
    <w:rsid w:val="00132274"/>
    <w:rsid w:val="001325A5"/>
    <w:rsid w:val="00132760"/>
    <w:rsid w:val="00133661"/>
    <w:rsid w:val="001348C2"/>
    <w:rsid w:val="00134BE3"/>
    <w:rsid w:val="00134C45"/>
    <w:rsid w:val="00137DBA"/>
    <w:rsid w:val="0014189B"/>
    <w:rsid w:val="00142974"/>
    <w:rsid w:val="00143F84"/>
    <w:rsid w:val="001445E4"/>
    <w:rsid w:val="0014483A"/>
    <w:rsid w:val="00145A6E"/>
    <w:rsid w:val="00145CF2"/>
    <w:rsid w:val="001460AD"/>
    <w:rsid w:val="00146D79"/>
    <w:rsid w:val="001470C2"/>
    <w:rsid w:val="001472EC"/>
    <w:rsid w:val="00150012"/>
    <w:rsid w:val="00150059"/>
    <w:rsid w:val="00150A21"/>
    <w:rsid w:val="00152EE7"/>
    <w:rsid w:val="00152F8F"/>
    <w:rsid w:val="001549DF"/>
    <w:rsid w:val="00155195"/>
    <w:rsid w:val="0015558C"/>
    <w:rsid w:val="001559DA"/>
    <w:rsid w:val="00157B21"/>
    <w:rsid w:val="00161F13"/>
    <w:rsid w:val="00163C3B"/>
    <w:rsid w:val="001649C0"/>
    <w:rsid w:val="001664DF"/>
    <w:rsid w:val="0016694D"/>
    <w:rsid w:val="00166D8B"/>
    <w:rsid w:val="001700B3"/>
    <w:rsid w:val="0017076B"/>
    <w:rsid w:val="0017172F"/>
    <w:rsid w:val="00171750"/>
    <w:rsid w:val="001720EB"/>
    <w:rsid w:val="00172EF6"/>
    <w:rsid w:val="00172F07"/>
    <w:rsid w:val="00174442"/>
    <w:rsid w:val="0017449A"/>
    <w:rsid w:val="0017690C"/>
    <w:rsid w:val="00176D77"/>
    <w:rsid w:val="00176D8B"/>
    <w:rsid w:val="0017759D"/>
    <w:rsid w:val="00177EE9"/>
    <w:rsid w:val="00180408"/>
    <w:rsid w:val="00180FE4"/>
    <w:rsid w:val="00181163"/>
    <w:rsid w:val="001813D0"/>
    <w:rsid w:val="001829D2"/>
    <w:rsid w:val="001838EB"/>
    <w:rsid w:val="00184522"/>
    <w:rsid w:val="001850DE"/>
    <w:rsid w:val="00186C16"/>
    <w:rsid w:val="00186CC4"/>
    <w:rsid w:val="00186F3E"/>
    <w:rsid w:val="00187722"/>
    <w:rsid w:val="001907DA"/>
    <w:rsid w:val="00190FF4"/>
    <w:rsid w:val="00192E38"/>
    <w:rsid w:val="00193047"/>
    <w:rsid w:val="00193214"/>
    <w:rsid w:val="00193217"/>
    <w:rsid w:val="00193EF8"/>
    <w:rsid w:val="001945D6"/>
    <w:rsid w:val="0019472E"/>
    <w:rsid w:val="001964A3"/>
    <w:rsid w:val="001978B3"/>
    <w:rsid w:val="00197C2F"/>
    <w:rsid w:val="001A1995"/>
    <w:rsid w:val="001A6E86"/>
    <w:rsid w:val="001A766B"/>
    <w:rsid w:val="001A77A8"/>
    <w:rsid w:val="001B038E"/>
    <w:rsid w:val="001B14EA"/>
    <w:rsid w:val="001B168E"/>
    <w:rsid w:val="001B35D0"/>
    <w:rsid w:val="001B3B3B"/>
    <w:rsid w:val="001B5B2F"/>
    <w:rsid w:val="001C1838"/>
    <w:rsid w:val="001C2667"/>
    <w:rsid w:val="001C27C1"/>
    <w:rsid w:val="001C2A41"/>
    <w:rsid w:val="001C3D4D"/>
    <w:rsid w:val="001C4818"/>
    <w:rsid w:val="001C4FB0"/>
    <w:rsid w:val="001C4FB4"/>
    <w:rsid w:val="001C7383"/>
    <w:rsid w:val="001D44AF"/>
    <w:rsid w:val="001D4F19"/>
    <w:rsid w:val="001D5347"/>
    <w:rsid w:val="001E0CE8"/>
    <w:rsid w:val="001E18DB"/>
    <w:rsid w:val="001E2B2F"/>
    <w:rsid w:val="001E49E7"/>
    <w:rsid w:val="001E6A9B"/>
    <w:rsid w:val="001E701E"/>
    <w:rsid w:val="001E7643"/>
    <w:rsid w:val="001F058C"/>
    <w:rsid w:val="001F0604"/>
    <w:rsid w:val="001F063F"/>
    <w:rsid w:val="001F0FC4"/>
    <w:rsid w:val="001F1309"/>
    <w:rsid w:val="001F142F"/>
    <w:rsid w:val="001F2ADF"/>
    <w:rsid w:val="001F417D"/>
    <w:rsid w:val="001F67C5"/>
    <w:rsid w:val="001F6F5E"/>
    <w:rsid w:val="001F6F95"/>
    <w:rsid w:val="001F6FDF"/>
    <w:rsid w:val="00203D04"/>
    <w:rsid w:val="00204B73"/>
    <w:rsid w:val="00204F1C"/>
    <w:rsid w:val="00205409"/>
    <w:rsid w:val="00205627"/>
    <w:rsid w:val="0020657D"/>
    <w:rsid w:val="00207814"/>
    <w:rsid w:val="002107E2"/>
    <w:rsid w:val="00210AB8"/>
    <w:rsid w:val="00211C3F"/>
    <w:rsid w:val="00211F52"/>
    <w:rsid w:val="002124D1"/>
    <w:rsid w:val="00213209"/>
    <w:rsid w:val="00213C47"/>
    <w:rsid w:val="00215300"/>
    <w:rsid w:val="0021544A"/>
    <w:rsid w:val="00215963"/>
    <w:rsid w:val="002161D1"/>
    <w:rsid w:val="00216E0B"/>
    <w:rsid w:val="00217106"/>
    <w:rsid w:val="0021769C"/>
    <w:rsid w:val="00217FEB"/>
    <w:rsid w:val="002209C4"/>
    <w:rsid w:val="00222429"/>
    <w:rsid w:val="00223C96"/>
    <w:rsid w:val="00224542"/>
    <w:rsid w:val="00224B01"/>
    <w:rsid w:val="002255E1"/>
    <w:rsid w:val="002257B4"/>
    <w:rsid w:val="00225E29"/>
    <w:rsid w:val="00227084"/>
    <w:rsid w:val="002278F9"/>
    <w:rsid w:val="0023082A"/>
    <w:rsid w:val="00231E75"/>
    <w:rsid w:val="002323A5"/>
    <w:rsid w:val="002326C7"/>
    <w:rsid w:val="00233485"/>
    <w:rsid w:val="002334F6"/>
    <w:rsid w:val="00233B27"/>
    <w:rsid w:val="00234757"/>
    <w:rsid w:val="00236654"/>
    <w:rsid w:val="002370D8"/>
    <w:rsid w:val="00237145"/>
    <w:rsid w:val="0023717E"/>
    <w:rsid w:val="002402F8"/>
    <w:rsid w:val="002406D0"/>
    <w:rsid w:val="0024079D"/>
    <w:rsid w:val="00240864"/>
    <w:rsid w:val="00240ABA"/>
    <w:rsid w:val="00240ABC"/>
    <w:rsid w:val="00240E5B"/>
    <w:rsid w:val="00241855"/>
    <w:rsid w:val="00241CE3"/>
    <w:rsid w:val="002423E9"/>
    <w:rsid w:val="002441A5"/>
    <w:rsid w:val="002448DB"/>
    <w:rsid w:val="00244B72"/>
    <w:rsid w:val="00244CEF"/>
    <w:rsid w:val="00245055"/>
    <w:rsid w:val="00245495"/>
    <w:rsid w:val="00245B8B"/>
    <w:rsid w:val="002460BC"/>
    <w:rsid w:val="002469C1"/>
    <w:rsid w:val="00247209"/>
    <w:rsid w:val="00247778"/>
    <w:rsid w:val="002478D3"/>
    <w:rsid w:val="00251493"/>
    <w:rsid w:val="00251AAE"/>
    <w:rsid w:val="00251F46"/>
    <w:rsid w:val="00252196"/>
    <w:rsid w:val="002527CA"/>
    <w:rsid w:val="00252F8E"/>
    <w:rsid w:val="00253CA1"/>
    <w:rsid w:val="00255AEC"/>
    <w:rsid w:val="00255C53"/>
    <w:rsid w:val="00256E9F"/>
    <w:rsid w:val="002570C3"/>
    <w:rsid w:val="002572CD"/>
    <w:rsid w:val="00257744"/>
    <w:rsid w:val="00257EA1"/>
    <w:rsid w:val="00260083"/>
    <w:rsid w:val="00260328"/>
    <w:rsid w:val="00261D6E"/>
    <w:rsid w:val="00262852"/>
    <w:rsid w:val="00263A0A"/>
    <w:rsid w:val="00264A8E"/>
    <w:rsid w:val="00264E3B"/>
    <w:rsid w:val="002651EF"/>
    <w:rsid w:val="00265A7D"/>
    <w:rsid w:val="00265F48"/>
    <w:rsid w:val="00266905"/>
    <w:rsid w:val="00267105"/>
    <w:rsid w:val="0027011A"/>
    <w:rsid w:val="0027240C"/>
    <w:rsid w:val="00272C50"/>
    <w:rsid w:val="00273119"/>
    <w:rsid w:val="002740E3"/>
    <w:rsid w:val="00275310"/>
    <w:rsid w:val="00275E5D"/>
    <w:rsid w:val="00276003"/>
    <w:rsid w:val="002762A9"/>
    <w:rsid w:val="00276794"/>
    <w:rsid w:val="0027683A"/>
    <w:rsid w:val="00277F20"/>
    <w:rsid w:val="00282629"/>
    <w:rsid w:val="00284F57"/>
    <w:rsid w:val="00286D23"/>
    <w:rsid w:val="00286DCC"/>
    <w:rsid w:val="0028760E"/>
    <w:rsid w:val="00291768"/>
    <w:rsid w:val="00291EF6"/>
    <w:rsid w:val="0029315A"/>
    <w:rsid w:val="00297E24"/>
    <w:rsid w:val="002A0C3D"/>
    <w:rsid w:val="002A11B7"/>
    <w:rsid w:val="002A1407"/>
    <w:rsid w:val="002A2247"/>
    <w:rsid w:val="002A228A"/>
    <w:rsid w:val="002A328E"/>
    <w:rsid w:val="002A38F0"/>
    <w:rsid w:val="002A461D"/>
    <w:rsid w:val="002A60C3"/>
    <w:rsid w:val="002A6548"/>
    <w:rsid w:val="002A734A"/>
    <w:rsid w:val="002B0043"/>
    <w:rsid w:val="002B1D29"/>
    <w:rsid w:val="002B2044"/>
    <w:rsid w:val="002B2276"/>
    <w:rsid w:val="002B2B79"/>
    <w:rsid w:val="002B3717"/>
    <w:rsid w:val="002B3AB5"/>
    <w:rsid w:val="002B51BE"/>
    <w:rsid w:val="002C04BF"/>
    <w:rsid w:val="002C13CF"/>
    <w:rsid w:val="002C1E64"/>
    <w:rsid w:val="002C2324"/>
    <w:rsid w:val="002C2FBF"/>
    <w:rsid w:val="002C3CA1"/>
    <w:rsid w:val="002C4E7B"/>
    <w:rsid w:val="002C5A42"/>
    <w:rsid w:val="002C6745"/>
    <w:rsid w:val="002C681F"/>
    <w:rsid w:val="002D0C56"/>
    <w:rsid w:val="002D2B0D"/>
    <w:rsid w:val="002D2D2D"/>
    <w:rsid w:val="002D38C7"/>
    <w:rsid w:val="002D4B15"/>
    <w:rsid w:val="002D5945"/>
    <w:rsid w:val="002D762C"/>
    <w:rsid w:val="002E06CE"/>
    <w:rsid w:val="002E0B92"/>
    <w:rsid w:val="002E2871"/>
    <w:rsid w:val="002E3BD8"/>
    <w:rsid w:val="002E3D93"/>
    <w:rsid w:val="002E4B00"/>
    <w:rsid w:val="002E5A19"/>
    <w:rsid w:val="002E5B8A"/>
    <w:rsid w:val="002E66C3"/>
    <w:rsid w:val="002E7615"/>
    <w:rsid w:val="002F0689"/>
    <w:rsid w:val="002F14DE"/>
    <w:rsid w:val="002F43DA"/>
    <w:rsid w:val="002F4D7C"/>
    <w:rsid w:val="002F5102"/>
    <w:rsid w:val="002F5328"/>
    <w:rsid w:val="002F5474"/>
    <w:rsid w:val="002F619B"/>
    <w:rsid w:val="002F6850"/>
    <w:rsid w:val="002F77DE"/>
    <w:rsid w:val="00301175"/>
    <w:rsid w:val="00301253"/>
    <w:rsid w:val="00302A6A"/>
    <w:rsid w:val="00302B52"/>
    <w:rsid w:val="00303DF2"/>
    <w:rsid w:val="00306255"/>
    <w:rsid w:val="0030746D"/>
    <w:rsid w:val="00307625"/>
    <w:rsid w:val="0030765D"/>
    <w:rsid w:val="00307698"/>
    <w:rsid w:val="00312527"/>
    <w:rsid w:val="003134EA"/>
    <w:rsid w:val="003136B7"/>
    <w:rsid w:val="00313B39"/>
    <w:rsid w:val="00314D71"/>
    <w:rsid w:val="00315385"/>
    <w:rsid w:val="003174DD"/>
    <w:rsid w:val="00317891"/>
    <w:rsid w:val="00317905"/>
    <w:rsid w:val="00317E44"/>
    <w:rsid w:val="0032510B"/>
    <w:rsid w:val="00326976"/>
    <w:rsid w:val="00327513"/>
    <w:rsid w:val="00327624"/>
    <w:rsid w:val="00327729"/>
    <w:rsid w:val="003301FA"/>
    <w:rsid w:val="00330B1D"/>
    <w:rsid w:val="00330EE7"/>
    <w:rsid w:val="00330F78"/>
    <w:rsid w:val="003329FF"/>
    <w:rsid w:val="00332B68"/>
    <w:rsid w:val="00332E0A"/>
    <w:rsid w:val="0033525B"/>
    <w:rsid w:val="003356F7"/>
    <w:rsid w:val="00335DD0"/>
    <w:rsid w:val="00336589"/>
    <w:rsid w:val="00336753"/>
    <w:rsid w:val="00337792"/>
    <w:rsid w:val="00337F9A"/>
    <w:rsid w:val="00340944"/>
    <w:rsid w:val="00340DDE"/>
    <w:rsid w:val="00341655"/>
    <w:rsid w:val="00341DF7"/>
    <w:rsid w:val="00341E88"/>
    <w:rsid w:val="003428D1"/>
    <w:rsid w:val="00342E35"/>
    <w:rsid w:val="00343879"/>
    <w:rsid w:val="00343B94"/>
    <w:rsid w:val="0034411F"/>
    <w:rsid w:val="00344512"/>
    <w:rsid w:val="00344C59"/>
    <w:rsid w:val="003450A2"/>
    <w:rsid w:val="00345A78"/>
    <w:rsid w:val="00346229"/>
    <w:rsid w:val="00347DAF"/>
    <w:rsid w:val="00350497"/>
    <w:rsid w:val="003519B5"/>
    <w:rsid w:val="00352194"/>
    <w:rsid w:val="003537DA"/>
    <w:rsid w:val="00353DB6"/>
    <w:rsid w:val="003552DA"/>
    <w:rsid w:val="00355305"/>
    <w:rsid w:val="00355C74"/>
    <w:rsid w:val="003570A0"/>
    <w:rsid w:val="003575E0"/>
    <w:rsid w:val="00357847"/>
    <w:rsid w:val="00361ABE"/>
    <w:rsid w:val="00362095"/>
    <w:rsid w:val="003621AA"/>
    <w:rsid w:val="003623F3"/>
    <w:rsid w:val="00362A60"/>
    <w:rsid w:val="00362CA4"/>
    <w:rsid w:val="00362D24"/>
    <w:rsid w:val="00365DAA"/>
    <w:rsid w:val="003661FA"/>
    <w:rsid w:val="003671F1"/>
    <w:rsid w:val="0036747C"/>
    <w:rsid w:val="00370C58"/>
    <w:rsid w:val="00371249"/>
    <w:rsid w:val="003718F9"/>
    <w:rsid w:val="00372A3F"/>
    <w:rsid w:val="00372B08"/>
    <w:rsid w:val="00373494"/>
    <w:rsid w:val="00375B6A"/>
    <w:rsid w:val="00376338"/>
    <w:rsid w:val="00381CAE"/>
    <w:rsid w:val="00382398"/>
    <w:rsid w:val="00383CB4"/>
    <w:rsid w:val="00384ABC"/>
    <w:rsid w:val="00386111"/>
    <w:rsid w:val="003862DD"/>
    <w:rsid w:val="003864E7"/>
    <w:rsid w:val="00386547"/>
    <w:rsid w:val="0038676C"/>
    <w:rsid w:val="00387104"/>
    <w:rsid w:val="00387F54"/>
    <w:rsid w:val="00392AE6"/>
    <w:rsid w:val="00392D7F"/>
    <w:rsid w:val="00393560"/>
    <w:rsid w:val="003947F2"/>
    <w:rsid w:val="0039490A"/>
    <w:rsid w:val="00394CF9"/>
    <w:rsid w:val="003950C6"/>
    <w:rsid w:val="0039681B"/>
    <w:rsid w:val="00397C3F"/>
    <w:rsid w:val="003A02D6"/>
    <w:rsid w:val="003A0994"/>
    <w:rsid w:val="003A1589"/>
    <w:rsid w:val="003A294A"/>
    <w:rsid w:val="003A5D62"/>
    <w:rsid w:val="003A67D5"/>
    <w:rsid w:val="003A68A0"/>
    <w:rsid w:val="003A7637"/>
    <w:rsid w:val="003A797D"/>
    <w:rsid w:val="003B08AB"/>
    <w:rsid w:val="003B1519"/>
    <w:rsid w:val="003B165E"/>
    <w:rsid w:val="003B21B2"/>
    <w:rsid w:val="003B52C0"/>
    <w:rsid w:val="003B67ED"/>
    <w:rsid w:val="003B7659"/>
    <w:rsid w:val="003B7685"/>
    <w:rsid w:val="003B7A5E"/>
    <w:rsid w:val="003B7A8E"/>
    <w:rsid w:val="003B7EAE"/>
    <w:rsid w:val="003C20CF"/>
    <w:rsid w:val="003C2CAD"/>
    <w:rsid w:val="003C42B7"/>
    <w:rsid w:val="003C5C96"/>
    <w:rsid w:val="003C5FC9"/>
    <w:rsid w:val="003D0213"/>
    <w:rsid w:val="003D047F"/>
    <w:rsid w:val="003D071E"/>
    <w:rsid w:val="003D082B"/>
    <w:rsid w:val="003D0989"/>
    <w:rsid w:val="003D0A60"/>
    <w:rsid w:val="003D0C18"/>
    <w:rsid w:val="003D184D"/>
    <w:rsid w:val="003D24A4"/>
    <w:rsid w:val="003D27B0"/>
    <w:rsid w:val="003D2E53"/>
    <w:rsid w:val="003D3D34"/>
    <w:rsid w:val="003D3D3B"/>
    <w:rsid w:val="003D43A4"/>
    <w:rsid w:val="003D5130"/>
    <w:rsid w:val="003D557E"/>
    <w:rsid w:val="003D5A86"/>
    <w:rsid w:val="003D72D8"/>
    <w:rsid w:val="003D7996"/>
    <w:rsid w:val="003E03A1"/>
    <w:rsid w:val="003E03E4"/>
    <w:rsid w:val="003E069C"/>
    <w:rsid w:val="003E3135"/>
    <w:rsid w:val="003E49E5"/>
    <w:rsid w:val="003E529E"/>
    <w:rsid w:val="003E568F"/>
    <w:rsid w:val="003E5AE7"/>
    <w:rsid w:val="003E6982"/>
    <w:rsid w:val="003E783A"/>
    <w:rsid w:val="003E788A"/>
    <w:rsid w:val="003F09C1"/>
    <w:rsid w:val="003F1220"/>
    <w:rsid w:val="003F2272"/>
    <w:rsid w:val="003F2FDB"/>
    <w:rsid w:val="003F38E8"/>
    <w:rsid w:val="003F4DA7"/>
    <w:rsid w:val="003F50B1"/>
    <w:rsid w:val="003F668C"/>
    <w:rsid w:val="004008C0"/>
    <w:rsid w:val="00400BF5"/>
    <w:rsid w:val="004010D2"/>
    <w:rsid w:val="0040176D"/>
    <w:rsid w:val="0040263A"/>
    <w:rsid w:val="0040348D"/>
    <w:rsid w:val="004049A9"/>
    <w:rsid w:val="0040685E"/>
    <w:rsid w:val="00406C97"/>
    <w:rsid w:val="004104AC"/>
    <w:rsid w:val="00412105"/>
    <w:rsid w:val="00412B4B"/>
    <w:rsid w:val="00413F7E"/>
    <w:rsid w:val="00414624"/>
    <w:rsid w:val="00414702"/>
    <w:rsid w:val="004158FA"/>
    <w:rsid w:val="0041642C"/>
    <w:rsid w:val="00417DCB"/>
    <w:rsid w:val="00420C89"/>
    <w:rsid w:val="00421A03"/>
    <w:rsid w:val="0042203E"/>
    <w:rsid w:val="004241A1"/>
    <w:rsid w:val="004243F1"/>
    <w:rsid w:val="004246D4"/>
    <w:rsid w:val="00425D0E"/>
    <w:rsid w:val="0042698C"/>
    <w:rsid w:val="00426C9E"/>
    <w:rsid w:val="0042726F"/>
    <w:rsid w:val="0042741F"/>
    <w:rsid w:val="00430AC8"/>
    <w:rsid w:val="00432288"/>
    <w:rsid w:val="00433397"/>
    <w:rsid w:val="004335A3"/>
    <w:rsid w:val="004349AE"/>
    <w:rsid w:val="0043587B"/>
    <w:rsid w:val="00436982"/>
    <w:rsid w:val="00436B33"/>
    <w:rsid w:val="00436E61"/>
    <w:rsid w:val="00437C04"/>
    <w:rsid w:val="004409F7"/>
    <w:rsid w:val="004426DC"/>
    <w:rsid w:val="00443A81"/>
    <w:rsid w:val="00443CB3"/>
    <w:rsid w:val="00443DBD"/>
    <w:rsid w:val="00443FC6"/>
    <w:rsid w:val="00444289"/>
    <w:rsid w:val="004449DB"/>
    <w:rsid w:val="00444E32"/>
    <w:rsid w:val="00445151"/>
    <w:rsid w:val="00447459"/>
    <w:rsid w:val="0045026B"/>
    <w:rsid w:val="00451135"/>
    <w:rsid w:val="004516AC"/>
    <w:rsid w:val="00451987"/>
    <w:rsid w:val="00453CE5"/>
    <w:rsid w:val="004546A1"/>
    <w:rsid w:val="00454868"/>
    <w:rsid w:val="004552E5"/>
    <w:rsid w:val="00455ECB"/>
    <w:rsid w:val="004563A6"/>
    <w:rsid w:val="00456A13"/>
    <w:rsid w:val="00456A1A"/>
    <w:rsid w:val="0045766D"/>
    <w:rsid w:val="0046055E"/>
    <w:rsid w:val="00461120"/>
    <w:rsid w:val="00462432"/>
    <w:rsid w:val="00462B80"/>
    <w:rsid w:val="00463068"/>
    <w:rsid w:val="0046343D"/>
    <w:rsid w:val="004634AF"/>
    <w:rsid w:val="00464239"/>
    <w:rsid w:val="00464997"/>
    <w:rsid w:val="00464C32"/>
    <w:rsid w:val="00465363"/>
    <w:rsid w:val="00465948"/>
    <w:rsid w:val="0046594C"/>
    <w:rsid w:val="0046664E"/>
    <w:rsid w:val="0046789C"/>
    <w:rsid w:val="00467F2A"/>
    <w:rsid w:val="00467F54"/>
    <w:rsid w:val="004710C9"/>
    <w:rsid w:val="00471172"/>
    <w:rsid w:val="004718DA"/>
    <w:rsid w:val="004719C1"/>
    <w:rsid w:val="004748A7"/>
    <w:rsid w:val="0047559A"/>
    <w:rsid w:val="00476597"/>
    <w:rsid w:val="00477292"/>
    <w:rsid w:val="0048014F"/>
    <w:rsid w:val="00480699"/>
    <w:rsid w:val="00480DDB"/>
    <w:rsid w:val="00482138"/>
    <w:rsid w:val="004823A1"/>
    <w:rsid w:val="0048344E"/>
    <w:rsid w:val="00486F2E"/>
    <w:rsid w:val="004872EF"/>
    <w:rsid w:val="004878CE"/>
    <w:rsid w:val="00491932"/>
    <w:rsid w:val="00491995"/>
    <w:rsid w:val="00492A3F"/>
    <w:rsid w:val="004931F1"/>
    <w:rsid w:val="004959D2"/>
    <w:rsid w:val="004965B0"/>
    <w:rsid w:val="004974C9"/>
    <w:rsid w:val="004A010E"/>
    <w:rsid w:val="004A0FE4"/>
    <w:rsid w:val="004A1BCD"/>
    <w:rsid w:val="004A2522"/>
    <w:rsid w:val="004A492C"/>
    <w:rsid w:val="004A7490"/>
    <w:rsid w:val="004B03D5"/>
    <w:rsid w:val="004B0534"/>
    <w:rsid w:val="004B2482"/>
    <w:rsid w:val="004B403B"/>
    <w:rsid w:val="004B4AD0"/>
    <w:rsid w:val="004B58CA"/>
    <w:rsid w:val="004B69DB"/>
    <w:rsid w:val="004B6ADA"/>
    <w:rsid w:val="004C0E78"/>
    <w:rsid w:val="004C1174"/>
    <w:rsid w:val="004C12C9"/>
    <w:rsid w:val="004C12F0"/>
    <w:rsid w:val="004C17C5"/>
    <w:rsid w:val="004C219F"/>
    <w:rsid w:val="004C240F"/>
    <w:rsid w:val="004C2653"/>
    <w:rsid w:val="004C3D1F"/>
    <w:rsid w:val="004C5048"/>
    <w:rsid w:val="004C55B4"/>
    <w:rsid w:val="004C5BEC"/>
    <w:rsid w:val="004C5C81"/>
    <w:rsid w:val="004C6C15"/>
    <w:rsid w:val="004D0619"/>
    <w:rsid w:val="004D0C06"/>
    <w:rsid w:val="004D1A9D"/>
    <w:rsid w:val="004D1F43"/>
    <w:rsid w:val="004D3A5E"/>
    <w:rsid w:val="004D3ACE"/>
    <w:rsid w:val="004D6D23"/>
    <w:rsid w:val="004D7C64"/>
    <w:rsid w:val="004E0208"/>
    <w:rsid w:val="004E0EF1"/>
    <w:rsid w:val="004E13A4"/>
    <w:rsid w:val="004E1EC8"/>
    <w:rsid w:val="004E3218"/>
    <w:rsid w:val="004E33F6"/>
    <w:rsid w:val="004E355C"/>
    <w:rsid w:val="004E3562"/>
    <w:rsid w:val="004E391D"/>
    <w:rsid w:val="004E43E2"/>
    <w:rsid w:val="004E45D3"/>
    <w:rsid w:val="004E49FE"/>
    <w:rsid w:val="004E4BE3"/>
    <w:rsid w:val="004E4D69"/>
    <w:rsid w:val="004E4E4E"/>
    <w:rsid w:val="004E4EBD"/>
    <w:rsid w:val="004E58EE"/>
    <w:rsid w:val="004E5CD7"/>
    <w:rsid w:val="004E67E5"/>
    <w:rsid w:val="004E7C1E"/>
    <w:rsid w:val="004F0C7D"/>
    <w:rsid w:val="004F0F4C"/>
    <w:rsid w:val="004F1DEF"/>
    <w:rsid w:val="004F1FA6"/>
    <w:rsid w:val="004F2300"/>
    <w:rsid w:val="004F2CAD"/>
    <w:rsid w:val="004F3E0B"/>
    <w:rsid w:val="004F3F15"/>
    <w:rsid w:val="004F51AF"/>
    <w:rsid w:val="004F5A59"/>
    <w:rsid w:val="004F62A4"/>
    <w:rsid w:val="004F79E4"/>
    <w:rsid w:val="004F7CCF"/>
    <w:rsid w:val="005008F3"/>
    <w:rsid w:val="00501737"/>
    <w:rsid w:val="00501931"/>
    <w:rsid w:val="005031B9"/>
    <w:rsid w:val="00503465"/>
    <w:rsid w:val="0050357E"/>
    <w:rsid w:val="00503636"/>
    <w:rsid w:val="0050393B"/>
    <w:rsid w:val="00503E2F"/>
    <w:rsid w:val="00504FB2"/>
    <w:rsid w:val="005057C8"/>
    <w:rsid w:val="00505A68"/>
    <w:rsid w:val="00506CBA"/>
    <w:rsid w:val="00511809"/>
    <w:rsid w:val="005121C0"/>
    <w:rsid w:val="00512323"/>
    <w:rsid w:val="0051249B"/>
    <w:rsid w:val="00513D66"/>
    <w:rsid w:val="00514246"/>
    <w:rsid w:val="00514DA0"/>
    <w:rsid w:val="00515024"/>
    <w:rsid w:val="005156E6"/>
    <w:rsid w:val="00516407"/>
    <w:rsid w:val="00516451"/>
    <w:rsid w:val="00516618"/>
    <w:rsid w:val="0052258A"/>
    <w:rsid w:val="00522977"/>
    <w:rsid w:val="0052318E"/>
    <w:rsid w:val="0052359A"/>
    <w:rsid w:val="00524EBF"/>
    <w:rsid w:val="0052511B"/>
    <w:rsid w:val="00525451"/>
    <w:rsid w:val="005260A8"/>
    <w:rsid w:val="00526AC1"/>
    <w:rsid w:val="00527686"/>
    <w:rsid w:val="00530A99"/>
    <w:rsid w:val="005313BB"/>
    <w:rsid w:val="00532A95"/>
    <w:rsid w:val="00532E02"/>
    <w:rsid w:val="00534682"/>
    <w:rsid w:val="0053516F"/>
    <w:rsid w:val="005353F6"/>
    <w:rsid w:val="00535EA0"/>
    <w:rsid w:val="00540BB0"/>
    <w:rsid w:val="0054100C"/>
    <w:rsid w:val="00543268"/>
    <w:rsid w:val="0054341D"/>
    <w:rsid w:val="00544DAF"/>
    <w:rsid w:val="00545DE5"/>
    <w:rsid w:val="005463E4"/>
    <w:rsid w:val="00546E20"/>
    <w:rsid w:val="0054759A"/>
    <w:rsid w:val="00550C61"/>
    <w:rsid w:val="0055157D"/>
    <w:rsid w:val="005520FD"/>
    <w:rsid w:val="00555461"/>
    <w:rsid w:val="005556D3"/>
    <w:rsid w:val="0055638F"/>
    <w:rsid w:val="005564F1"/>
    <w:rsid w:val="0055673C"/>
    <w:rsid w:val="00560789"/>
    <w:rsid w:val="005607ED"/>
    <w:rsid w:val="005612CA"/>
    <w:rsid w:val="00561C3B"/>
    <w:rsid w:val="00562447"/>
    <w:rsid w:val="00562780"/>
    <w:rsid w:val="00562E3F"/>
    <w:rsid w:val="00563387"/>
    <w:rsid w:val="00564887"/>
    <w:rsid w:val="00565D2C"/>
    <w:rsid w:val="0056643D"/>
    <w:rsid w:val="00566B75"/>
    <w:rsid w:val="00566BBB"/>
    <w:rsid w:val="00566D66"/>
    <w:rsid w:val="005670F3"/>
    <w:rsid w:val="005740A4"/>
    <w:rsid w:val="00574B2E"/>
    <w:rsid w:val="00575CA1"/>
    <w:rsid w:val="00576106"/>
    <w:rsid w:val="0057792F"/>
    <w:rsid w:val="00580297"/>
    <w:rsid w:val="00580324"/>
    <w:rsid w:val="00580916"/>
    <w:rsid w:val="005811FD"/>
    <w:rsid w:val="00581FCB"/>
    <w:rsid w:val="00582D23"/>
    <w:rsid w:val="005836FC"/>
    <w:rsid w:val="00584C75"/>
    <w:rsid w:val="00585F5C"/>
    <w:rsid w:val="005863E3"/>
    <w:rsid w:val="0058644C"/>
    <w:rsid w:val="005866F7"/>
    <w:rsid w:val="0058673C"/>
    <w:rsid w:val="00586FF5"/>
    <w:rsid w:val="00590D54"/>
    <w:rsid w:val="00590F3B"/>
    <w:rsid w:val="00591367"/>
    <w:rsid w:val="005918CA"/>
    <w:rsid w:val="005927D5"/>
    <w:rsid w:val="00592C8D"/>
    <w:rsid w:val="005935E3"/>
    <w:rsid w:val="00593E6C"/>
    <w:rsid w:val="005946E7"/>
    <w:rsid w:val="00595058"/>
    <w:rsid w:val="005954DD"/>
    <w:rsid w:val="005958E5"/>
    <w:rsid w:val="005964CB"/>
    <w:rsid w:val="005965FC"/>
    <w:rsid w:val="005A0123"/>
    <w:rsid w:val="005A0650"/>
    <w:rsid w:val="005A1363"/>
    <w:rsid w:val="005A1403"/>
    <w:rsid w:val="005A1F94"/>
    <w:rsid w:val="005A29D0"/>
    <w:rsid w:val="005A3D9A"/>
    <w:rsid w:val="005A43B2"/>
    <w:rsid w:val="005A4B21"/>
    <w:rsid w:val="005A5B4E"/>
    <w:rsid w:val="005A646A"/>
    <w:rsid w:val="005A68EB"/>
    <w:rsid w:val="005A6913"/>
    <w:rsid w:val="005A7472"/>
    <w:rsid w:val="005A754A"/>
    <w:rsid w:val="005A76AD"/>
    <w:rsid w:val="005B0675"/>
    <w:rsid w:val="005B06C5"/>
    <w:rsid w:val="005B0837"/>
    <w:rsid w:val="005B0F20"/>
    <w:rsid w:val="005B15BE"/>
    <w:rsid w:val="005B1AB0"/>
    <w:rsid w:val="005B1B0D"/>
    <w:rsid w:val="005B36C1"/>
    <w:rsid w:val="005B629E"/>
    <w:rsid w:val="005C140F"/>
    <w:rsid w:val="005C33DE"/>
    <w:rsid w:val="005C3F1C"/>
    <w:rsid w:val="005C45FB"/>
    <w:rsid w:val="005C52D1"/>
    <w:rsid w:val="005C53FD"/>
    <w:rsid w:val="005C723F"/>
    <w:rsid w:val="005C7667"/>
    <w:rsid w:val="005C7F92"/>
    <w:rsid w:val="005D04F4"/>
    <w:rsid w:val="005D0EFC"/>
    <w:rsid w:val="005D12E4"/>
    <w:rsid w:val="005D35B0"/>
    <w:rsid w:val="005D3BB5"/>
    <w:rsid w:val="005D423F"/>
    <w:rsid w:val="005D4754"/>
    <w:rsid w:val="005D4A49"/>
    <w:rsid w:val="005D568B"/>
    <w:rsid w:val="005D6734"/>
    <w:rsid w:val="005D6B16"/>
    <w:rsid w:val="005D769F"/>
    <w:rsid w:val="005D786F"/>
    <w:rsid w:val="005D7F8A"/>
    <w:rsid w:val="005E0CF1"/>
    <w:rsid w:val="005E1A02"/>
    <w:rsid w:val="005E2511"/>
    <w:rsid w:val="005E2B17"/>
    <w:rsid w:val="005E36C5"/>
    <w:rsid w:val="005E6C77"/>
    <w:rsid w:val="005E6CF7"/>
    <w:rsid w:val="005E7110"/>
    <w:rsid w:val="005E76B0"/>
    <w:rsid w:val="005F0A86"/>
    <w:rsid w:val="005F2324"/>
    <w:rsid w:val="005F249C"/>
    <w:rsid w:val="005F5097"/>
    <w:rsid w:val="005F63A7"/>
    <w:rsid w:val="005F6C67"/>
    <w:rsid w:val="005F6E35"/>
    <w:rsid w:val="005F704A"/>
    <w:rsid w:val="005F7591"/>
    <w:rsid w:val="005F7844"/>
    <w:rsid w:val="00600552"/>
    <w:rsid w:val="00600789"/>
    <w:rsid w:val="00601EFC"/>
    <w:rsid w:val="00603450"/>
    <w:rsid w:val="00603E68"/>
    <w:rsid w:val="006055DD"/>
    <w:rsid w:val="00605C22"/>
    <w:rsid w:val="006067E7"/>
    <w:rsid w:val="00606B78"/>
    <w:rsid w:val="00606C9E"/>
    <w:rsid w:val="00606D4E"/>
    <w:rsid w:val="00606EA6"/>
    <w:rsid w:val="00606F60"/>
    <w:rsid w:val="006107B5"/>
    <w:rsid w:val="00610DC5"/>
    <w:rsid w:val="00610F07"/>
    <w:rsid w:val="0061319C"/>
    <w:rsid w:val="0061326B"/>
    <w:rsid w:val="00615269"/>
    <w:rsid w:val="00616B70"/>
    <w:rsid w:val="00617373"/>
    <w:rsid w:val="00617C1D"/>
    <w:rsid w:val="00617DF6"/>
    <w:rsid w:val="00620191"/>
    <w:rsid w:val="006204D1"/>
    <w:rsid w:val="0062071E"/>
    <w:rsid w:val="00620A40"/>
    <w:rsid w:val="00620E23"/>
    <w:rsid w:val="00621382"/>
    <w:rsid w:val="00621D97"/>
    <w:rsid w:val="0062222E"/>
    <w:rsid w:val="00622C5D"/>
    <w:rsid w:val="00623064"/>
    <w:rsid w:val="006233E2"/>
    <w:rsid w:val="00625180"/>
    <w:rsid w:val="006266F7"/>
    <w:rsid w:val="00626746"/>
    <w:rsid w:val="00626A33"/>
    <w:rsid w:val="006308E8"/>
    <w:rsid w:val="00630D88"/>
    <w:rsid w:val="00630F48"/>
    <w:rsid w:val="00632245"/>
    <w:rsid w:val="00632747"/>
    <w:rsid w:val="006327FE"/>
    <w:rsid w:val="006352E6"/>
    <w:rsid w:val="00637131"/>
    <w:rsid w:val="00637410"/>
    <w:rsid w:val="0063765A"/>
    <w:rsid w:val="00637FB4"/>
    <w:rsid w:val="00640082"/>
    <w:rsid w:val="00640ED3"/>
    <w:rsid w:val="0064168E"/>
    <w:rsid w:val="00641F3F"/>
    <w:rsid w:val="00643654"/>
    <w:rsid w:val="00645A66"/>
    <w:rsid w:val="006460B0"/>
    <w:rsid w:val="00646D02"/>
    <w:rsid w:val="00646E90"/>
    <w:rsid w:val="006501A7"/>
    <w:rsid w:val="006502DB"/>
    <w:rsid w:val="006508C0"/>
    <w:rsid w:val="0065154D"/>
    <w:rsid w:val="00651605"/>
    <w:rsid w:val="00652093"/>
    <w:rsid w:val="006528BB"/>
    <w:rsid w:val="0065476E"/>
    <w:rsid w:val="0065598A"/>
    <w:rsid w:val="00657E2D"/>
    <w:rsid w:val="00657FAD"/>
    <w:rsid w:val="006609A2"/>
    <w:rsid w:val="006623A3"/>
    <w:rsid w:val="0066387E"/>
    <w:rsid w:val="006638E6"/>
    <w:rsid w:val="0066452D"/>
    <w:rsid w:val="00664B6B"/>
    <w:rsid w:val="006654D7"/>
    <w:rsid w:val="00665A08"/>
    <w:rsid w:val="00666304"/>
    <w:rsid w:val="00666780"/>
    <w:rsid w:val="00666B9F"/>
    <w:rsid w:val="00667097"/>
    <w:rsid w:val="00667871"/>
    <w:rsid w:val="0066798D"/>
    <w:rsid w:val="00670AC6"/>
    <w:rsid w:val="006719B5"/>
    <w:rsid w:val="006730F4"/>
    <w:rsid w:val="00673227"/>
    <w:rsid w:val="006739B0"/>
    <w:rsid w:val="00673BAA"/>
    <w:rsid w:val="00674DBA"/>
    <w:rsid w:val="0067621B"/>
    <w:rsid w:val="00680E93"/>
    <w:rsid w:val="00681006"/>
    <w:rsid w:val="00681D88"/>
    <w:rsid w:val="0068255C"/>
    <w:rsid w:val="00685257"/>
    <w:rsid w:val="0069085E"/>
    <w:rsid w:val="006922F4"/>
    <w:rsid w:val="0069249A"/>
    <w:rsid w:val="006925BA"/>
    <w:rsid w:val="00692679"/>
    <w:rsid w:val="00692A53"/>
    <w:rsid w:val="00693A38"/>
    <w:rsid w:val="00697120"/>
    <w:rsid w:val="006A09D1"/>
    <w:rsid w:val="006A1E00"/>
    <w:rsid w:val="006A206A"/>
    <w:rsid w:val="006A26E4"/>
    <w:rsid w:val="006A36B6"/>
    <w:rsid w:val="006A45A0"/>
    <w:rsid w:val="006A58F8"/>
    <w:rsid w:val="006A6936"/>
    <w:rsid w:val="006B1405"/>
    <w:rsid w:val="006B1E99"/>
    <w:rsid w:val="006B2026"/>
    <w:rsid w:val="006B2319"/>
    <w:rsid w:val="006B29A1"/>
    <w:rsid w:val="006B2FB2"/>
    <w:rsid w:val="006B4B62"/>
    <w:rsid w:val="006B6CA4"/>
    <w:rsid w:val="006B73BA"/>
    <w:rsid w:val="006B75A4"/>
    <w:rsid w:val="006C0FBA"/>
    <w:rsid w:val="006C1598"/>
    <w:rsid w:val="006C245D"/>
    <w:rsid w:val="006C2765"/>
    <w:rsid w:val="006C3ADA"/>
    <w:rsid w:val="006C5681"/>
    <w:rsid w:val="006C6319"/>
    <w:rsid w:val="006C655E"/>
    <w:rsid w:val="006C66BA"/>
    <w:rsid w:val="006C739C"/>
    <w:rsid w:val="006C73CF"/>
    <w:rsid w:val="006C77A2"/>
    <w:rsid w:val="006C7949"/>
    <w:rsid w:val="006D045B"/>
    <w:rsid w:val="006D26CB"/>
    <w:rsid w:val="006D3836"/>
    <w:rsid w:val="006D3879"/>
    <w:rsid w:val="006D5036"/>
    <w:rsid w:val="006D5808"/>
    <w:rsid w:val="006D603B"/>
    <w:rsid w:val="006D6632"/>
    <w:rsid w:val="006D6701"/>
    <w:rsid w:val="006D7EC7"/>
    <w:rsid w:val="006E00CC"/>
    <w:rsid w:val="006E072D"/>
    <w:rsid w:val="006E0B03"/>
    <w:rsid w:val="006E1377"/>
    <w:rsid w:val="006E1AD9"/>
    <w:rsid w:val="006E1BE5"/>
    <w:rsid w:val="006E34EA"/>
    <w:rsid w:val="006E4755"/>
    <w:rsid w:val="006E5DD5"/>
    <w:rsid w:val="006E68A7"/>
    <w:rsid w:val="006E6994"/>
    <w:rsid w:val="006F14C5"/>
    <w:rsid w:val="006F17F2"/>
    <w:rsid w:val="006F19B3"/>
    <w:rsid w:val="006F3FDF"/>
    <w:rsid w:val="006F4B16"/>
    <w:rsid w:val="006F52BB"/>
    <w:rsid w:val="006F5F7D"/>
    <w:rsid w:val="006F60FF"/>
    <w:rsid w:val="006F6305"/>
    <w:rsid w:val="006F6ED4"/>
    <w:rsid w:val="006F7BAA"/>
    <w:rsid w:val="006F7CD6"/>
    <w:rsid w:val="007009D2"/>
    <w:rsid w:val="0070116C"/>
    <w:rsid w:val="007012FE"/>
    <w:rsid w:val="0070187E"/>
    <w:rsid w:val="00701954"/>
    <w:rsid w:val="00701CFE"/>
    <w:rsid w:val="007030D4"/>
    <w:rsid w:val="00706101"/>
    <w:rsid w:val="0070737F"/>
    <w:rsid w:val="00707EAF"/>
    <w:rsid w:val="00710F5F"/>
    <w:rsid w:val="007117C6"/>
    <w:rsid w:val="00711AD9"/>
    <w:rsid w:val="007123F5"/>
    <w:rsid w:val="0071340F"/>
    <w:rsid w:val="0071361F"/>
    <w:rsid w:val="007138C5"/>
    <w:rsid w:val="00715308"/>
    <w:rsid w:val="0071751F"/>
    <w:rsid w:val="00721579"/>
    <w:rsid w:val="00721AC3"/>
    <w:rsid w:val="00721DE4"/>
    <w:rsid w:val="00721EE7"/>
    <w:rsid w:val="00721F1A"/>
    <w:rsid w:val="007233A8"/>
    <w:rsid w:val="007246EF"/>
    <w:rsid w:val="0072482E"/>
    <w:rsid w:val="00724B4D"/>
    <w:rsid w:val="00724C94"/>
    <w:rsid w:val="00730B1E"/>
    <w:rsid w:val="00730CDC"/>
    <w:rsid w:val="007318FD"/>
    <w:rsid w:val="007319D2"/>
    <w:rsid w:val="00731DD8"/>
    <w:rsid w:val="0073653A"/>
    <w:rsid w:val="007367F1"/>
    <w:rsid w:val="007412F6"/>
    <w:rsid w:val="00741A23"/>
    <w:rsid w:val="007433B0"/>
    <w:rsid w:val="007434A1"/>
    <w:rsid w:val="00745987"/>
    <w:rsid w:val="00746EB0"/>
    <w:rsid w:val="0074740A"/>
    <w:rsid w:val="00747ECC"/>
    <w:rsid w:val="007504CF"/>
    <w:rsid w:val="00751D54"/>
    <w:rsid w:val="007532D4"/>
    <w:rsid w:val="007544A1"/>
    <w:rsid w:val="007548EF"/>
    <w:rsid w:val="00754A53"/>
    <w:rsid w:val="0075670E"/>
    <w:rsid w:val="00760063"/>
    <w:rsid w:val="00761AE5"/>
    <w:rsid w:val="00761F41"/>
    <w:rsid w:val="00762081"/>
    <w:rsid w:val="0076218D"/>
    <w:rsid w:val="0076231C"/>
    <w:rsid w:val="00762694"/>
    <w:rsid w:val="00764371"/>
    <w:rsid w:val="00765238"/>
    <w:rsid w:val="00765663"/>
    <w:rsid w:val="00765CA3"/>
    <w:rsid w:val="0076649E"/>
    <w:rsid w:val="007664A4"/>
    <w:rsid w:val="0076795D"/>
    <w:rsid w:val="00771510"/>
    <w:rsid w:val="00772159"/>
    <w:rsid w:val="007736F2"/>
    <w:rsid w:val="00774337"/>
    <w:rsid w:val="00774444"/>
    <w:rsid w:val="00774D86"/>
    <w:rsid w:val="00774FBE"/>
    <w:rsid w:val="00775016"/>
    <w:rsid w:val="007758CF"/>
    <w:rsid w:val="007775D4"/>
    <w:rsid w:val="00777963"/>
    <w:rsid w:val="007839F4"/>
    <w:rsid w:val="007841E5"/>
    <w:rsid w:val="0078470D"/>
    <w:rsid w:val="0078591D"/>
    <w:rsid w:val="00785D34"/>
    <w:rsid w:val="00786A15"/>
    <w:rsid w:val="00786F06"/>
    <w:rsid w:val="00787992"/>
    <w:rsid w:val="00787AE8"/>
    <w:rsid w:val="007904FF"/>
    <w:rsid w:val="00790647"/>
    <w:rsid w:val="00791761"/>
    <w:rsid w:val="007922DE"/>
    <w:rsid w:val="0079251A"/>
    <w:rsid w:val="00794876"/>
    <w:rsid w:val="00795EA6"/>
    <w:rsid w:val="00796E6A"/>
    <w:rsid w:val="00797352"/>
    <w:rsid w:val="00797787"/>
    <w:rsid w:val="00797C25"/>
    <w:rsid w:val="007A09E2"/>
    <w:rsid w:val="007A1A5D"/>
    <w:rsid w:val="007A244A"/>
    <w:rsid w:val="007A31D6"/>
    <w:rsid w:val="007A685C"/>
    <w:rsid w:val="007A7931"/>
    <w:rsid w:val="007B21A7"/>
    <w:rsid w:val="007B2637"/>
    <w:rsid w:val="007B38FB"/>
    <w:rsid w:val="007B3B58"/>
    <w:rsid w:val="007B3CBB"/>
    <w:rsid w:val="007B4ADF"/>
    <w:rsid w:val="007B562A"/>
    <w:rsid w:val="007B61F5"/>
    <w:rsid w:val="007B72A8"/>
    <w:rsid w:val="007C02CF"/>
    <w:rsid w:val="007C3E85"/>
    <w:rsid w:val="007C4703"/>
    <w:rsid w:val="007C4932"/>
    <w:rsid w:val="007C6039"/>
    <w:rsid w:val="007C6700"/>
    <w:rsid w:val="007C69A7"/>
    <w:rsid w:val="007C7CEB"/>
    <w:rsid w:val="007D1EEF"/>
    <w:rsid w:val="007D2816"/>
    <w:rsid w:val="007D30E4"/>
    <w:rsid w:val="007D35A4"/>
    <w:rsid w:val="007D3DDE"/>
    <w:rsid w:val="007D3FAB"/>
    <w:rsid w:val="007D403A"/>
    <w:rsid w:val="007D4135"/>
    <w:rsid w:val="007D430D"/>
    <w:rsid w:val="007D4804"/>
    <w:rsid w:val="007D5608"/>
    <w:rsid w:val="007D6211"/>
    <w:rsid w:val="007D62DB"/>
    <w:rsid w:val="007D6B1A"/>
    <w:rsid w:val="007D6E7E"/>
    <w:rsid w:val="007D7BF9"/>
    <w:rsid w:val="007E05FC"/>
    <w:rsid w:val="007E0FDB"/>
    <w:rsid w:val="007E138B"/>
    <w:rsid w:val="007E145D"/>
    <w:rsid w:val="007E16D7"/>
    <w:rsid w:val="007E1E88"/>
    <w:rsid w:val="007E20C2"/>
    <w:rsid w:val="007E293E"/>
    <w:rsid w:val="007E2E33"/>
    <w:rsid w:val="007E30AA"/>
    <w:rsid w:val="007E3A95"/>
    <w:rsid w:val="007E3C99"/>
    <w:rsid w:val="007E3E6F"/>
    <w:rsid w:val="007E4DD7"/>
    <w:rsid w:val="007E5043"/>
    <w:rsid w:val="007E571D"/>
    <w:rsid w:val="007E6768"/>
    <w:rsid w:val="007E6E48"/>
    <w:rsid w:val="007E6E65"/>
    <w:rsid w:val="007E6EF3"/>
    <w:rsid w:val="007E7559"/>
    <w:rsid w:val="007F0810"/>
    <w:rsid w:val="007F224E"/>
    <w:rsid w:val="007F2A1F"/>
    <w:rsid w:val="007F32B7"/>
    <w:rsid w:val="007F3ADC"/>
    <w:rsid w:val="007F3B36"/>
    <w:rsid w:val="007F3B83"/>
    <w:rsid w:val="007F3D7C"/>
    <w:rsid w:val="007F60E0"/>
    <w:rsid w:val="007F6444"/>
    <w:rsid w:val="007F6F2D"/>
    <w:rsid w:val="00802585"/>
    <w:rsid w:val="008025A2"/>
    <w:rsid w:val="00804B54"/>
    <w:rsid w:val="008051D6"/>
    <w:rsid w:val="0080562A"/>
    <w:rsid w:val="00806184"/>
    <w:rsid w:val="008066FC"/>
    <w:rsid w:val="00807ABB"/>
    <w:rsid w:val="00807AEE"/>
    <w:rsid w:val="00810192"/>
    <w:rsid w:val="00810B23"/>
    <w:rsid w:val="008110C8"/>
    <w:rsid w:val="00811C4D"/>
    <w:rsid w:val="00812683"/>
    <w:rsid w:val="00813014"/>
    <w:rsid w:val="008133EB"/>
    <w:rsid w:val="008144FF"/>
    <w:rsid w:val="00816793"/>
    <w:rsid w:val="0081768D"/>
    <w:rsid w:val="00817D06"/>
    <w:rsid w:val="0082234A"/>
    <w:rsid w:val="00824978"/>
    <w:rsid w:val="00825733"/>
    <w:rsid w:val="0082616E"/>
    <w:rsid w:val="00826923"/>
    <w:rsid w:val="00830150"/>
    <w:rsid w:val="00830636"/>
    <w:rsid w:val="00831017"/>
    <w:rsid w:val="008316B6"/>
    <w:rsid w:val="00831BD2"/>
    <w:rsid w:val="0083204B"/>
    <w:rsid w:val="00832732"/>
    <w:rsid w:val="0083392C"/>
    <w:rsid w:val="00833A9C"/>
    <w:rsid w:val="00834851"/>
    <w:rsid w:val="00834DE6"/>
    <w:rsid w:val="00835AFE"/>
    <w:rsid w:val="00835E4D"/>
    <w:rsid w:val="00836E76"/>
    <w:rsid w:val="008371E4"/>
    <w:rsid w:val="00840626"/>
    <w:rsid w:val="00841628"/>
    <w:rsid w:val="00841849"/>
    <w:rsid w:val="00841B21"/>
    <w:rsid w:val="00841ECD"/>
    <w:rsid w:val="0084340E"/>
    <w:rsid w:val="00845666"/>
    <w:rsid w:val="00847AC8"/>
    <w:rsid w:val="00847FA6"/>
    <w:rsid w:val="00850082"/>
    <w:rsid w:val="008507F6"/>
    <w:rsid w:val="008510A0"/>
    <w:rsid w:val="00851709"/>
    <w:rsid w:val="0085454B"/>
    <w:rsid w:val="00856996"/>
    <w:rsid w:val="00856D42"/>
    <w:rsid w:val="008611A9"/>
    <w:rsid w:val="008620F0"/>
    <w:rsid w:val="00862D36"/>
    <w:rsid w:val="008630B1"/>
    <w:rsid w:val="00863C4C"/>
    <w:rsid w:val="00863C9B"/>
    <w:rsid w:val="008644E9"/>
    <w:rsid w:val="00864C51"/>
    <w:rsid w:val="00865682"/>
    <w:rsid w:val="00867E0C"/>
    <w:rsid w:val="008705D0"/>
    <w:rsid w:val="00870BB4"/>
    <w:rsid w:val="00871F68"/>
    <w:rsid w:val="0087282B"/>
    <w:rsid w:val="00872D37"/>
    <w:rsid w:val="00873C54"/>
    <w:rsid w:val="00874595"/>
    <w:rsid w:val="00874A0B"/>
    <w:rsid w:val="00874B12"/>
    <w:rsid w:val="00877132"/>
    <w:rsid w:val="0088048C"/>
    <w:rsid w:val="00880BDE"/>
    <w:rsid w:val="00880F5F"/>
    <w:rsid w:val="0088114F"/>
    <w:rsid w:val="008815D4"/>
    <w:rsid w:val="008815DA"/>
    <w:rsid w:val="00882A08"/>
    <w:rsid w:val="00883CAE"/>
    <w:rsid w:val="00884C5E"/>
    <w:rsid w:val="00886397"/>
    <w:rsid w:val="00886D9A"/>
    <w:rsid w:val="00887C97"/>
    <w:rsid w:val="0089065D"/>
    <w:rsid w:val="00892B12"/>
    <w:rsid w:val="00893D93"/>
    <w:rsid w:val="00894F57"/>
    <w:rsid w:val="00895813"/>
    <w:rsid w:val="00895E84"/>
    <w:rsid w:val="008961BC"/>
    <w:rsid w:val="008961CC"/>
    <w:rsid w:val="008962A3"/>
    <w:rsid w:val="0089630D"/>
    <w:rsid w:val="00896487"/>
    <w:rsid w:val="008972B2"/>
    <w:rsid w:val="008A037E"/>
    <w:rsid w:val="008A1177"/>
    <w:rsid w:val="008A12DA"/>
    <w:rsid w:val="008A1331"/>
    <w:rsid w:val="008A299E"/>
    <w:rsid w:val="008A2D28"/>
    <w:rsid w:val="008A3227"/>
    <w:rsid w:val="008A4192"/>
    <w:rsid w:val="008A5ECC"/>
    <w:rsid w:val="008A63C7"/>
    <w:rsid w:val="008A66E2"/>
    <w:rsid w:val="008A6A15"/>
    <w:rsid w:val="008A6C24"/>
    <w:rsid w:val="008A6ED1"/>
    <w:rsid w:val="008A7464"/>
    <w:rsid w:val="008A750D"/>
    <w:rsid w:val="008A7707"/>
    <w:rsid w:val="008A7B43"/>
    <w:rsid w:val="008B16F3"/>
    <w:rsid w:val="008B29C3"/>
    <w:rsid w:val="008B4293"/>
    <w:rsid w:val="008B453D"/>
    <w:rsid w:val="008B46D3"/>
    <w:rsid w:val="008B563E"/>
    <w:rsid w:val="008B6362"/>
    <w:rsid w:val="008B7AC8"/>
    <w:rsid w:val="008C22BF"/>
    <w:rsid w:val="008C2917"/>
    <w:rsid w:val="008C2E67"/>
    <w:rsid w:val="008C365B"/>
    <w:rsid w:val="008C3E8D"/>
    <w:rsid w:val="008C42C5"/>
    <w:rsid w:val="008C512C"/>
    <w:rsid w:val="008C7907"/>
    <w:rsid w:val="008C7FEB"/>
    <w:rsid w:val="008D0120"/>
    <w:rsid w:val="008D02FC"/>
    <w:rsid w:val="008D2E6D"/>
    <w:rsid w:val="008D4890"/>
    <w:rsid w:val="008D4A6E"/>
    <w:rsid w:val="008D6101"/>
    <w:rsid w:val="008D7039"/>
    <w:rsid w:val="008E1CF9"/>
    <w:rsid w:val="008E27CD"/>
    <w:rsid w:val="008E2DF6"/>
    <w:rsid w:val="008E3446"/>
    <w:rsid w:val="008E422C"/>
    <w:rsid w:val="008E4619"/>
    <w:rsid w:val="008E5551"/>
    <w:rsid w:val="008E5BF0"/>
    <w:rsid w:val="008E5DF4"/>
    <w:rsid w:val="008E65B3"/>
    <w:rsid w:val="008E6D6F"/>
    <w:rsid w:val="008E765B"/>
    <w:rsid w:val="008F01CE"/>
    <w:rsid w:val="008F03BC"/>
    <w:rsid w:val="008F18F7"/>
    <w:rsid w:val="008F207A"/>
    <w:rsid w:val="008F2E86"/>
    <w:rsid w:val="008F3223"/>
    <w:rsid w:val="008F38EF"/>
    <w:rsid w:val="008F63B4"/>
    <w:rsid w:val="00901AB1"/>
    <w:rsid w:val="00901B93"/>
    <w:rsid w:val="009021AC"/>
    <w:rsid w:val="00902F4E"/>
    <w:rsid w:val="00903C18"/>
    <w:rsid w:val="009051B3"/>
    <w:rsid w:val="0090601E"/>
    <w:rsid w:val="00906FEE"/>
    <w:rsid w:val="00911677"/>
    <w:rsid w:val="009119E7"/>
    <w:rsid w:val="009134E9"/>
    <w:rsid w:val="00913979"/>
    <w:rsid w:val="00914118"/>
    <w:rsid w:val="0091448F"/>
    <w:rsid w:val="00916196"/>
    <w:rsid w:val="00916C0E"/>
    <w:rsid w:val="00917259"/>
    <w:rsid w:val="009211E5"/>
    <w:rsid w:val="009216BE"/>
    <w:rsid w:val="00921D94"/>
    <w:rsid w:val="0092202A"/>
    <w:rsid w:val="009222DF"/>
    <w:rsid w:val="009229E9"/>
    <w:rsid w:val="00923496"/>
    <w:rsid w:val="00923599"/>
    <w:rsid w:val="0092452B"/>
    <w:rsid w:val="00924E38"/>
    <w:rsid w:val="00924F50"/>
    <w:rsid w:val="00925AC8"/>
    <w:rsid w:val="00926D41"/>
    <w:rsid w:val="009274AD"/>
    <w:rsid w:val="009276CB"/>
    <w:rsid w:val="0092770A"/>
    <w:rsid w:val="00927E64"/>
    <w:rsid w:val="00930173"/>
    <w:rsid w:val="0093052F"/>
    <w:rsid w:val="00930722"/>
    <w:rsid w:val="00930EB8"/>
    <w:rsid w:val="009312FA"/>
    <w:rsid w:val="00931851"/>
    <w:rsid w:val="00931B98"/>
    <w:rsid w:val="00932C1C"/>
    <w:rsid w:val="00933394"/>
    <w:rsid w:val="00933D99"/>
    <w:rsid w:val="00936580"/>
    <w:rsid w:val="00936A9D"/>
    <w:rsid w:val="0094007A"/>
    <w:rsid w:val="00940135"/>
    <w:rsid w:val="00940A93"/>
    <w:rsid w:val="00940E6B"/>
    <w:rsid w:val="00941048"/>
    <w:rsid w:val="00941588"/>
    <w:rsid w:val="0094269D"/>
    <w:rsid w:val="0094272C"/>
    <w:rsid w:val="00942C52"/>
    <w:rsid w:val="00942F10"/>
    <w:rsid w:val="0094327D"/>
    <w:rsid w:val="009432E6"/>
    <w:rsid w:val="009453AA"/>
    <w:rsid w:val="0094558D"/>
    <w:rsid w:val="009461B1"/>
    <w:rsid w:val="00947085"/>
    <w:rsid w:val="00947435"/>
    <w:rsid w:val="00947D2B"/>
    <w:rsid w:val="0095022A"/>
    <w:rsid w:val="00953D96"/>
    <w:rsid w:val="00953EAA"/>
    <w:rsid w:val="0095479A"/>
    <w:rsid w:val="0095480B"/>
    <w:rsid w:val="00954E06"/>
    <w:rsid w:val="009553A8"/>
    <w:rsid w:val="009557D7"/>
    <w:rsid w:val="00956F90"/>
    <w:rsid w:val="00957494"/>
    <w:rsid w:val="00960FF7"/>
    <w:rsid w:val="009617F3"/>
    <w:rsid w:val="0096190F"/>
    <w:rsid w:val="00962073"/>
    <w:rsid w:val="0096263C"/>
    <w:rsid w:val="00963740"/>
    <w:rsid w:val="00964492"/>
    <w:rsid w:val="00966810"/>
    <w:rsid w:val="0096689C"/>
    <w:rsid w:val="00970940"/>
    <w:rsid w:val="00971093"/>
    <w:rsid w:val="00971C15"/>
    <w:rsid w:val="00973A83"/>
    <w:rsid w:val="00974240"/>
    <w:rsid w:val="0097558D"/>
    <w:rsid w:val="009756A5"/>
    <w:rsid w:val="00975932"/>
    <w:rsid w:val="00976438"/>
    <w:rsid w:val="00976A88"/>
    <w:rsid w:val="00977916"/>
    <w:rsid w:val="00977A11"/>
    <w:rsid w:val="00977F68"/>
    <w:rsid w:val="009808EE"/>
    <w:rsid w:val="00980D19"/>
    <w:rsid w:val="00980FC2"/>
    <w:rsid w:val="00982BAC"/>
    <w:rsid w:val="00984C6E"/>
    <w:rsid w:val="009853E5"/>
    <w:rsid w:val="00986124"/>
    <w:rsid w:val="009864B4"/>
    <w:rsid w:val="00986CAA"/>
    <w:rsid w:val="00986D71"/>
    <w:rsid w:val="0099009E"/>
    <w:rsid w:val="0099086D"/>
    <w:rsid w:val="00992AF4"/>
    <w:rsid w:val="009931DE"/>
    <w:rsid w:val="0099331E"/>
    <w:rsid w:val="009949B2"/>
    <w:rsid w:val="00996855"/>
    <w:rsid w:val="009A0E9E"/>
    <w:rsid w:val="009A28B3"/>
    <w:rsid w:val="009A2AF7"/>
    <w:rsid w:val="009A3607"/>
    <w:rsid w:val="009A4930"/>
    <w:rsid w:val="009A5867"/>
    <w:rsid w:val="009A66E7"/>
    <w:rsid w:val="009A6F16"/>
    <w:rsid w:val="009A711F"/>
    <w:rsid w:val="009A715B"/>
    <w:rsid w:val="009A76CA"/>
    <w:rsid w:val="009A792F"/>
    <w:rsid w:val="009B253E"/>
    <w:rsid w:val="009B496C"/>
    <w:rsid w:val="009B4B50"/>
    <w:rsid w:val="009B547A"/>
    <w:rsid w:val="009B561B"/>
    <w:rsid w:val="009B62DC"/>
    <w:rsid w:val="009B63E3"/>
    <w:rsid w:val="009B7302"/>
    <w:rsid w:val="009B7CA2"/>
    <w:rsid w:val="009C1E92"/>
    <w:rsid w:val="009C2312"/>
    <w:rsid w:val="009C2E45"/>
    <w:rsid w:val="009C30A8"/>
    <w:rsid w:val="009D1864"/>
    <w:rsid w:val="009D1C88"/>
    <w:rsid w:val="009D2FC2"/>
    <w:rsid w:val="009D3421"/>
    <w:rsid w:val="009D53EE"/>
    <w:rsid w:val="009D5D32"/>
    <w:rsid w:val="009D626A"/>
    <w:rsid w:val="009D6D6F"/>
    <w:rsid w:val="009E0A6E"/>
    <w:rsid w:val="009E0EB0"/>
    <w:rsid w:val="009E15F3"/>
    <w:rsid w:val="009E1DE4"/>
    <w:rsid w:val="009E2EC7"/>
    <w:rsid w:val="009E3086"/>
    <w:rsid w:val="009E4104"/>
    <w:rsid w:val="009E4504"/>
    <w:rsid w:val="009E4647"/>
    <w:rsid w:val="009E4871"/>
    <w:rsid w:val="009E49EC"/>
    <w:rsid w:val="009E4E95"/>
    <w:rsid w:val="009E5AA0"/>
    <w:rsid w:val="009E66F7"/>
    <w:rsid w:val="009E6A76"/>
    <w:rsid w:val="009E716C"/>
    <w:rsid w:val="009E7C66"/>
    <w:rsid w:val="009F115E"/>
    <w:rsid w:val="009F1E0B"/>
    <w:rsid w:val="009F2CE1"/>
    <w:rsid w:val="009F53DC"/>
    <w:rsid w:val="009F67D6"/>
    <w:rsid w:val="00A01390"/>
    <w:rsid w:val="00A01593"/>
    <w:rsid w:val="00A01ECA"/>
    <w:rsid w:val="00A03037"/>
    <w:rsid w:val="00A0319B"/>
    <w:rsid w:val="00A03291"/>
    <w:rsid w:val="00A067C6"/>
    <w:rsid w:val="00A0687D"/>
    <w:rsid w:val="00A06C7D"/>
    <w:rsid w:val="00A06D78"/>
    <w:rsid w:val="00A07F7E"/>
    <w:rsid w:val="00A10922"/>
    <w:rsid w:val="00A10C97"/>
    <w:rsid w:val="00A11476"/>
    <w:rsid w:val="00A11898"/>
    <w:rsid w:val="00A132D0"/>
    <w:rsid w:val="00A1366C"/>
    <w:rsid w:val="00A13D1B"/>
    <w:rsid w:val="00A14825"/>
    <w:rsid w:val="00A14E61"/>
    <w:rsid w:val="00A15D7E"/>
    <w:rsid w:val="00A161CC"/>
    <w:rsid w:val="00A16534"/>
    <w:rsid w:val="00A1655B"/>
    <w:rsid w:val="00A16AA8"/>
    <w:rsid w:val="00A20982"/>
    <w:rsid w:val="00A21157"/>
    <w:rsid w:val="00A2124B"/>
    <w:rsid w:val="00A21F90"/>
    <w:rsid w:val="00A234C4"/>
    <w:rsid w:val="00A237D9"/>
    <w:rsid w:val="00A238D9"/>
    <w:rsid w:val="00A25454"/>
    <w:rsid w:val="00A255FB"/>
    <w:rsid w:val="00A25C76"/>
    <w:rsid w:val="00A26062"/>
    <w:rsid w:val="00A27156"/>
    <w:rsid w:val="00A27B2B"/>
    <w:rsid w:val="00A32748"/>
    <w:rsid w:val="00A33662"/>
    <w:rsid w:val="00A33C71"/>
    <w:rsid w:val="00A3512B"/>
    <w:rsid w:val="00A35301"/>
    <w:rsid w:val="00A35864"/>
    <w:rsid w:val="00A35EC5"/>
    <w:rsid w:val="00A35FE6"/>
    <w:rsid w:val="00A36950"/>
    <w:rsid w:val="00A40986"/>
    <w:rsid w:val="00A41E26"/>
    <w:rsid w:val="00A42656"/>
    <w:rsid w:val="00A426D6"/>
    <w:rsid w:val="00A42C9F"/>
    <w:rsid w:val="00A433D9"/>
    <w:rsid w:val="00A4451F"/>
    <w:rsid w:val="00A44D27"/>
    <w:rsid w:val="00A45E69"/>
    <w:rsid w:val="00A45F80"/>
    <w:rsid w:val="00A4658F"/>
    <w:rsid w:val="00A51A14"/>
    <w:rsid w:val="00A5376B"/>
    <w:rsid w:val="00A54307"/>
    <w:rsid w:val="00A55825"/>
    <w:rsid w:val="00A56AA7"/>
    <w:rsid w:val="00A604C7"/>
    <w:rsid w:val="00A607B8"/>
    <w:rsid w:val="00A60897"/>
    <w:rsid w:val="00A6158C"/>
    <w:rsid w:val="00A61AD8"/>
    <w:rsid w:val="00A62C4F"/>
    <w:rsid w:val="00A63F6F"/>
    <w:rsid w:val="00A6415C"/>
    <w:rsid w:val="00A64311"/>
    <w:rsid w:val="00A64474"/>
    <w:rsid w:val="00A651B2"/>
    <w:rsid w:val="00A666F4"/>
    <w:rsid w:val="00A70326"/>
    <w:rsid w:val="00A705E0"/>
    <w:rsid w:val="00A7196E"/>
    <w:rsid w:val="00A71D71"/>
    <w:rsid w:val="00A72E14"/>
    <w:rsid w:val="00A74249"/>
    <w:rsid w:val="00A74463"/>
    <w:rsid w:val="00A746F7"/>
    <w:rsid w:val="00A7498E"/>
    <w:rsid w:val="00A766D8"/>
    <w:rsid w:val="00A76852"/>
    <w:rsid w:val="00A76CC1"/>
    <w:rsid w:val="00A779E2"/>
    <w:rsid w:val="00A80BBF"/>
    <w:rsid w:val="00A818BB"/>
    <w:rsid w:val="00A81A44"/>
    <w:rsid w:val="00A8267B"/>
    <w:rsid w:val="00A82857"/>
    <w:rsid w:val="00A82959"/>
    <w:rsid w:val="00A83624"/>
    <w:rsid w:val="00A85103"/>
    <w:rsid w:val="00A85E95"/>
    <w:rsid w:val="00A86511"/>
    <w:rsid w:val="00A872B8"/>
    <w:rsid w:val="00A87308"/>
    <w:rsid w:val="00A902B8"/>
    <w:rsid w:val="00A911A0"/>
    <w:rsid w:val="00A91336"/>
    <w:rsid w:val="00A91862"/>
    <w:rsid w:val="00A91B4D"/>
    <w:rsid w:val="00A93433"/>
    <w:rsid w:val="00A940B0"/>
    <w:rsid w:val="00A9478D"/>
    <w:rsid w:val="00A96904"/>
    <w:rsid w:val="00A97EA0"/>
    <w:rsid w:val="00AA15BB"/>
    <w:rsid w:val="00AA15CD"/>
    <w:rsid w:val="00AA2193"/>
    <w:rsid w:val="00AA28B6"/>
    <w:rsid w:val="00AA2C36"/>
    <w:rsid w:val="00AA2D73"/>
    <w:rsid w:val="00AA341D"/>
    <w:rsid w:val="00AA4E6E"/>
    <w:rsid w:val="00AA5901"/>
    <w:rsid w:val="00AA6B60"/>
    <w:rsid w:val="00AA6E7B"/>
    <w:rsid w:val="00AB0FEC"/>
    <w:rsid w:val="00AB16C5"/>
    <w:rsid w:val="00AB20E3"/>
    <w:rsid w:val="00AB2DCA"/>
    <w:rsid w:val="00AB387A"/>
    <w:rsid w:val="00AB44D3"/>
    <w:rsid w:val="00AB4E09"/>
    <w:rsid w:val="00AB5188"/>
    <w:rsid w:val="00AB6874"/>
    <w:rsid w:val="00AB6DE3"/>
    <w:rsid w:val="00AC0151"/>
    <w:rsid w:val="00AC0C8D"/>
    <w:rsid w:val="00AC11E9"/>
    <w:rsid w:val="00AC1CA0"/>
    <w:rsid w:val="00AC402A"/>
    <w:rsid w:val="00AC6E87"/>
    <w:rsid w:val="00AC7E18"/>
    <w:rsid w:val="00AD0C8D"/>
    <w:rsid w:val="00AD162D"/>
    <w:rsid w:val="00AD1E57"/>
    <w:rsid w:val="00AD388B"/>
    <w:rsid w:val="00AD3B61"/>
    <w:rsid w:val="00AD3EEC"/>
    <w:rsid w:val="00AD3FCB"/>
    <w:rsid w:val="00AD3FCD"/>
    <w:rsid w:val="00AD4301"/>
    <w:rsid w:val="00AD4899"/>
    <w:rsid w:val="00AD4A5C"/>
    <w:rsid w:val="00AD4B93"/>
    <w:rsid w:val="00AD5700"/>
    <w:rsid w:val="00AD5CED"/>
    <w:rsid w:val="00AD5D1E"/>
    <w:rsid w:val="00AD66E2"/>
    <w:rsid w:val="00AE06CF"/>
    <w:rsid w:val="00AE09A7"/>
    <w:rsid w:val="00AE1D18"/>
    <w:rsid w:val="00AE2471"/>
    <w:rsid w:val="00AE2D2B"/>
    <w:rsid w:val="00AE2EA2"/>
    <w:rsid w:val="00AE3A83"/>
    <w:rsid w:val="00AE3C1A"/>
    <w:rsid w:val="00AE3C1B"/>
    <w:rsid w:val="00AE4BE6"/>
    <w:rsid w:val="00AE5131"/>
    <w:rsid w:val="00AE51D7"/>
    <w:rsid w:val="00AE61AD"/>
    <w:rsid w:val="00AE7BD8"/>
    <w:rsid w:val="00AE7FCA"/>
    <w:rsid w:val="00AF08C9"/>
    <w:rsid w:val="00AF0DC4"/>
    <w:rsid w:val="00AF1162"/>
    <w:rsid w:val="00AF11C1"/>
    <w:rsid w:val="00AF2015"/>
    <w:rsid w:val="00AF4709"/>
    <w:rsid w:val="00AF49E0"/>
    <w:rsid w:val="00AF516D"/>
    <w:rsid w:val="00AF54C4"/>
    <w:rsid w:val="00AF55B6"/>
    <w:rsid w:val="00AF578C"/>
    <w:rsid w:val="00AF5D77"/>
    <w:rsid w:val="00AF704E"/>
    <w:rsid w:val="00B0157D"/>
    <w:rsid w:val="00B0186A"/>
    <w:rsid w:val="00B0206A"/>
    <w:rsid w:val="00B022E9"/>
    <w:rsid w:val="00B02ECC"/>
    <w:rsid w:val="00B0387E"/>
    <w:rsid w:val="00B03E7D"/>
    <w:rsid w:val="00B05381"/>
    <w:rsid w:val="00B0569A"/>
    <w:rsid w:val="00B0575D"/>
    <w:rsid w:val="00B059C7"/>
    <w:rsid w:val="00B071FE"/>
    <w:rsid w:val="00B07B49"/>
    <w:rsid w:val="00B10120"/>
    <w:rsid w:val="00B10752"/>
    <w:rsid w:val="00B11965"/>
    <w:rsid w:val="00B11F06"/>
    <w:rsid w:val="00B13AAA"/>
    <w:rsid w:val="00B13F05"/>
    <w:rsid w:val="00B14557"/>
    <w:rsid w:val="00B14D08"/>
    <w:rsid w:val="00B1518A"/>
    <w:rsid w:val="00B15D8B"/>
    <w:rsid w:val="00B16557"/>
    <w:rsid w:val="00B17E1B"/>
    <w:rsid w:val="00B205E9"/>
    <w:rsid w:val="00B20C3D"/>
    <w:rsid w:val="00B21DFC"/>
    <w:rsid w:val="00B22178"/>
    <w:rsid w:val="00B22910"/>
    <w:rsid w:val="00B22AAA"/>
    <w:rsid w:val="00B2326C"/>
    <w:rsid w:val="00B23531"/>
    <w:rsid w:val="00B24B35"/>
    <w:rsid w:val="00B24B3B"/>
    <w:rsid w:val="00B24E3C"/>
    <w:rsid w:val="00B24E62"/>
    <w:rsid w:val="00B25B31"/>
    <w:rsid w:val="00B2606F"/>
    <w:rsid w:val="00B2674D"/>
    <w:rsid w:val="00B26BCE"/>
    <w:rsid w:val="00B270BF"/>
    <w:rsid w:val="00B27C1C"/>
    <w:rsid w:val="00B317CB"/>
    <w:rsid w:val="00B31EF1"/>
    <w:rsid w:val="00B32C14"/>
    <w:rsid w:val="00B32E3D"/>
    <w:rsid w:val="00B33212"/>
    <w:rsid w:val="00B345A4"/>
    <w:rsid w:val="00B363C2"/>
    <w:rsid w:val="00B4075F"/>
    <w:rsid w:val="00B409CD"/>
    <w:rsid w:val="00B416CD"/>
    <w:rsid w:val="00B43A1B"/>
    <w:rsid w:val="00B43D40"/>
    <w:rsid w:val="00B4575B"/>
    <w:rsid w:val="00B4583C"/>
    <w:rsid w:val="00B4693B"/>
    <w:rsid w:val="00B507D7"/>
    <w:rsid w:val="00B5116B"/>
    <w:rsid w:val="00B54B34"/>
    <w:rsid w:val="00B54F13"/>
    <w:rsid w:val="00B55813"/>
    <w:rsid w:val="00B55E63"/>
    <w:rsid w:val="00B55E77"/>
    <w:rsid w:val="00B55FF2"/>
    <w:rsid w:val="00B57C1A"/>
    <w:rsid w:val="00B57FE7"/>
    <w:rsid w:val="00B602C6"/>
    <w:rsid w:val="00B604AA"/>
    <w:rsid w:val="00B604AC"/>
    <w:rsid w:val="00B6070F"/>
    <w:rsid w:val="00B616CC"/>
    <w:rsid w:val="00B61A54"/>
    <w:rsid w:val="00B63DC7"/>
    <w:rsid w:val="00B66218"/>
    <w:rsid w:val="00B66977"/>
    <w:rsid w:val="00B67C08"/>
    <w:rsid w:val="00B67C0E"/>
    <w:rsid w:val="00B67CB3"/>
    <w:rsid w:val="00B70042"/>
    <w:rsid w:val="00B701C9"/>
    <w:rsid w:val="00B715ED"/>
    <w:rsid w:val="00B72FA0"/>
    <w:rsid w:val="00B73BFC"/>
    <w:rsid w:val="00B73C04"/>
    <w:rsid w:val="00B74CB3"/>
    <w:rsid w:val="00B7555C"/>
    <w:rsid w:val="00B76518"/>
    <w:rsid w:val="00B770CC"/>
    <w:rsid w:val="00B77708"/>
    <w:rsid w:val="00B80064"/>
    <w:rsid w:val="00B80708"/>
    <w:rsid w:val="00B81867"/>
    <w:rsid w:val="00B83CED"/>
    <w:rsid w:val="00B83FA6"/>
    <w:rsid w:val="00B8422F"/>
    <w:rsid w:val="00B842C4"/>
    <w:rsid w:val="00B85292"/>
    <w:rsid w:val="00B85434"/>
    <w:rsid w:val="00B8655D"/>
    <w:rsid w:val="00B86837"/>
    <w:rsid w:val="00B87F38"/>
    <w:rsid w:val="00B910E3"/>
    <w:rsid w:val="00B91350"/>
    <w:rsid w:val="00B92550"/>
    <w:rsid w:val="00B929DB"/>
    <w:rsid w:val="00B936E9"/>
    <w:rsid w:val="00B950BA"/>
    <w:rsid w:val="00B95178"/>
    <w:rsid w:val="00B954DA"/>
    <w:rsid w:val="00B95810"/>
    <w:rsid w:val="00B9596F"/>
    <w:rsid w:val="00B96CB1"/>
    <w:rsid w:val="00BA02A7"/>
    <w:rsid w:val="00BA041C"/>
    <w:rsid w:val="00BA2C1B"/>
    <w:rsid w:val="00BA2C90"/>
    <w:rsid w:val="00BA4090"/>
    <w:rsid w:val="00BA4ED4"/>
    <w:rsid w:val="00BA64E5"/>
    <w:rsid w:val="00BA6752"/>
    <w:rsid w:val="00BA6C6D"/>
    <w:rsid w:val="00BA72C3"/>
    <w:rsid w:val="00BA7DAF"/>
    <w:rsid w:val="00BB01B9"/>
    <w:rsid w:val="00BB043F"/>
    <w:rsid w:val="00BB124B"/>
    <w:rsid w:val="00BB19A9"/>
    <w:rsid w:val="00BB19C6"/>
    <w:rsid w:val="00BB1EEC"/>
    <w:rsid w:val="00BB2864"/>
    <w:rsid w:val="00BB2E36"/>
    <w:rsid w:val="00BB323E"/>
    <w:rsid w:val="00BB3634"/>
    <w:rsid w:val="00BB3B8F"/>
    <w:rsid w:val="00BB3F3F"/>
    <w:rsid w:val="00BB5632"/>
    <w:rsid w:val="00BB5756"/>
    <w:rsid w:val="00BB5A40"/>
    <w:rsid w:val="00BB5AA5"/>
    <w:rsid w:val="00BB5D83"/>
    <w:rsid w:val="00BB6402"/>
    <w:rsid w:val="00BC0497"/>
    <w:rsid w:val="00BC19B9"/>
    <w:rsid w:val="00BC1FCB"/>
    <w:rsid w:val="00BC2C68"/>
    <w:rsid w:val="00BC3541"/>
    <w:rsid w:val="00BC3E8A"/>
    <w:rsid w:val="00BC53B6"/>
    <w:rsid w:val="00BC6B7C"/>
    <w:rsid w:val="00BD00C8"/>
    <w:rsid w:val="00BD058C"/>
    <w:rsid w:val="00BD36AE"/>
    <w:rsid w:val="00BD36ED"/>
    <w:rsid w:val="00BD3C50"/>
    <w:rsid w:val="00BD3D49"/>
    <w:rsid w:val="00BD417F"/>
    <w:rsid w:val="00BD4779"/>
    <w:rsid w:val="00BD4EC0"/>
    <w:rsid w:val="00BD567E"/>
    <w:rsid w:val="00BD6445"/>
    <w:rsid w:val="00BD688C"/>
    <w:rsid w:val="00BD71A3"/>
    <w:rsid w:val="00BD74CF"/>
    <w:rsid w:val="00BD7B2B"/>
    <w:rsid w:val="00BD7F36"/>
    <w:rsid w:val="00BE0F04"/>
    <w:rsid w:val="00BE1ED0"/>
    <w:rsid w:val="00BE21E2"/>
    <w:rsid w:val="00BE2CF7"/>
    <w:rsid w:val="00BE3413"/>
    <w:rsid w:val="00BE34E5"/>
    <w:rsid w:val="00BE36BB"/>
    <w:rsid w:val="00BE5EB2"/>
    <w:rsid w:val="00BE6741"/>
    <w:rsid w:val="00BE6A52"/>
    <w:rsid w:val="00BE7434"/>
    <w:rsid w:val="00BF12EE"/>
    <w:rsid w:val="00BF3686"/>
    <w:rsid w:val="00BF39F3"/>
    <w:rsid w:val="00BF59B4"/>
    <w:rsid w:val="00BF7148"/>
    <w:rsid w:val="00BF7B22"/>
    <w:rsid w:val="00BF7B77"/>
    <w:rsid w:val="00C002D9"/>
    <w:rsid w:val="00C02954"/>
    <w:rsid w:val="00C02DD9"/>
    <w:rsid w:val="00C03964"/>
    <w:rsid w:val="00C06A39"/>
    <w:rsid w:val="00C06F47"/>
    <w:rsid w:val="00C07141"/>
    <w:rsid w:val="00C075CB"/>
    <w:rsid w:val="00C07FD5"/>
    <w:rsid w:val="00C1035E"/>
    <w:rsid w:val="00C114B0"/>
    <w:rsid w:val="00C12129"/>
    <w:rsid w:val="00C12590"/>
    <w:rsid w:val="00C12E2D"/>
    <w:rsid w:val="00C13AA7"/>
    <w:rsid w:val="00C13F97"/>
    <w:rsid w:val="00C1434D"/>
    <w:rsid w:val="00C1464B"/>
    <w:rsid w:val="00C14B24"/>
    <w:rsid w:val="00C154C8"/>
    <w:rsid w:val="00C15E4A"/>
    <w:rsid w:val="00C160A6"/>
    <w:rsid w:val="00C1688F"/>
    <w:rsid w:val="00C16CE3"/>
    <w:rsid w:val="00C16E21"/>
    <w:rsid w:val="00C23C7E"/>
    <w:rsid w:val="00C24265"/>
    <w:rsid w:val="00C24298"/>
    <w:rsid w:val="00C24D04"/>
    <w:rsid w:val="00C27213"/>
    <w:rsid w:val="00C2741B"/>
    <w:rsid w:val="00C30B58"/>
    <w:rsid w:val="00C31544"/>
    <w:rsid w:val="00C328FF"/>
    <w:rsid w:val="00C342E2"/>
    <w:rsid w:val="00C34452"/>
    <w:rsid w:val="00C34A07"/>
    <w:rsid w:val="00C3564C"/>
    <w:rsid w:val="00C36310"/>
    <w:rsid w:val="00C365B9"/>
    <w:rsid w:val="00C376F9"/>
    <w:rsid w:val="00C3796A"/>
    <w:rsid w:val="00C400AF"/>
    <w:rsid w:val="00C40922"/>
    <w:rsid w:val="00C410AA"/>
    <w:rsid w:val="00C411B3"/>
    <w:rsid w:val="00C41879"/>
    <w:rsid w:val="00C419FA"/>
    <w:rsid w:val="00C41D88"/>
    <w:rsid w:val="00C443FD"/>
    <w:rsid w:val="00C44FC8"/>
    <w:rsid w:val="00C45283"/>
    <w:rsid w:val="00C45390"/>
    <w:rsid w:val="00C4551D"/>
    <w:rsid w:val="00C457A1"/>
    <w:rsid w:val="00C458FF"/>
    <w:rsid w:val="00C50BE1"/>
    <w:rsid w:val="00C514B9"/>
    <w:rsid w:val="00C51B03"/>
    <w:rsid w:val="00C520AD"/>
    <w:rsid w:val="00C52D2B"/>
    <w:rsid w:val="00C5365D"/>
    <w:rsid w:val="00C53A27"/>
    <w:rsid w:val="00C546B2"/>
    <w:rsid w:val="00C55200"/>
    <w:rsid w:val="00C61EA8"/>
    <w:rsid w:val="00C61EAC"/>
    <w:rsid w:val="00C626F8"/>
    <w:rsid w:val="00C6327C"/>
    <w:rsid w:val="00C64A11"/>
    <w:rsid w:val="00C653DB"/>
    <w:rsid w:val="00C65B3F"/>
    <w:rsid w:val="00C65B50"/>
    <w:rsid w:val="00C66A73"/>
    <w:rsid w:val="00C66B18"/>
    <w:rsid w:val="00C66DA0"/>
    <w:rsid w:val="00C67E11"/>
    <w:rsid w:val="00C708D3"/>
    <w:rsid w:val="00C70977"/>
    <w:rsid w:val="00C726DF"/>
    <w:rsid w:val="00C72DF8"/>
    <w:rsid w:val="00C743B0"/>
    <w:rsid w:val="00C74FE0"/>
    <w:rsid w:val="00C7566B"/>
    <w:rsid w:val="00C75D59"/>
    <w:rsid w:val="00C778D1"/>
    <w:rsid w:val="00C80F81"/>
    <w:rsid w:val="00C81111"/>
    <w:rsid w:val="00C819FF"/>
    <w:rsid w:val="00C81BF8"/>
    <w:rsid w:val="00C8213D"/>
    <w:rsid w:val="00C827F5"/>
    <w:rsid w:val="00C83C78"/>
    <w:rsid w:val="00C86619"/>
    <w:rsid w:val="00C86833"/>
    <w:rsid w:val="00C90700"/>
    <w:rsid w:val="00C90FA5"/>
    <w:rsid w:val="00C91BD4"/>
    <w:rsid w:val="00C91DB1"/>
    <w:rsid w:val="00C92BF9"/>
    <w:rsid w:val="00C93679"/>
    <w:rsid w:val="00C936AE"/>
    <w:rsid w:val="00C93E27"/>
    <w:rsid w:val="00C94DAD"/>
    <w:rsid w:val="00C94EA4"/>
    <w:rsid w:val="00C94FAF"/>
    <w:rsid w:val="00C94FFB"/>
    <w:rsid w:val="00C96251"/>
    <w:rsid w:val="00C96584"/>
    <w:rsid w:val="00C9664B"/>
    <w:rsid w:val="00CA06B6"/>
    <w:rsid w:val="00CA0EBB"/>
    <w:rsid w:val="00CA154A"/>
    <w:rsid w:val="00CA2345"/>
    <w:rsid w:val="00CA24E5"/>
    <w:rsid w:val="00CA3188"/>
    <w:rsid w:val="00CA3E35"/>
    <w:rsid w:val="00CA45C7"/>
    <w:rsid w:val="00CA470E"/>
    <w:rsid w:val="00CA4883"/>
    <w:rsid w:val="00CA4D55"/>
    <w:rsid w:val="00CA52D5"/>
    <w:rsid w:val="00CA560C"/>
    <w:rsid w:val="00CA6598"/>
    <w:rsid w:val="00CA6705"/>
    <w:rsid w:val="00CA7AAA"/>
    <w:rsid w:val="00CB058E"/>
    <w:rsid w:val="00CB05CF"/>
    <w:rsid w:val="00CB1190"/>
    <w:rsid w:val="00CB16FC"/>
    <w:rsid w:val="00CB265A"/>
    <w:rsid w:val="00CB2925"/>
    <w:rsid w:val="00CB2AA1"/>
    <w:rsid w:val="00CB4095"/>
    <w:rsid w:val="00CB4875"/>
    <w:rsid w:val="00CB4B54"/>
    <w:rsid w:val="00CB4E18"/>
    <w:rsid w:val="00CB50A8"/>
    <w:rsid w:val="00CB5FBB"/>
    <w:rsid w:val="00CB61AF"/>
    <w:rsid w:val="00CB64CF"/>
    <w:rsid w:val="00CB7741"/>
    <w:rsid w:val="00CC133F"/>
    <w:rsid w:val="00CC1495"/>
    <w:rsid w:val="00CC14FE"/>
    <w:rsid w:val="00CC2138"/>
    <w:rsid w:val="00CC2C04"/>
    <w:rsid w:val="00CC2D76"/>
    <w:rsid w:val="00CC4473"/>
    <w:rsid w:val="00CC7155"/>
    <w:rsid w:val="00CD06A3"/>
    <w:rsid w:val="00CD2295"/>
    <w:rsid w:val="00CD337B"/>
    <w:rsid w:val="00CD3E32"/>
    <w:rsid w:val="00CD4708"/>
    <w:rsid w:val="00CD4F58"/>
    <w:rsid w:val="00CD5ACC"/>
    <w:rsid w:val="00CD60E0"/>
    <w:rsid w:val="00CD61BB"/>
    <w:rsid w:val="00CD6C86"/>
    <w:rsid w:val="00CE0E07"/>
    <w:rsid w:val="00CE2A5A"/>
    <w:rsid w:val="00CE3733"/>
    <w:rsid w:val="00CE4F74"/>
    <w:rsid w:val="00CE59D4"/>
    <w:rsid w:val="00CE7299"/>
    <w:rsid w:val="00CE7558"/>
    <w:rsid w:val="00CE7D65"/>
    <w:rsid w:val="00CF019D"/>
    <w:rsid w:val="00CF02E1"/>
    <w:rsid w:val="00CF1781"/>
    <w:rsid w:val="00CF189F"/>
    <w:rsid w:val="00CF1CA2"/>
    <w:rsid w:val="00CF43B7"/>
    <w:rsid w:val="00CF4E39"/>
    <w:rsid w:val="00CF5EC5"/>
    <w:rsid w:val="00CF6041"/>
    <w:rsid w:val="00D00F80"/>
    <w:rsid w:val="00D01EFE"/>
    <w:rsid w:val="00D02393"/>
    <w:rsid w:val="00D02D18"/>
    <w:rsid w:val="00D0437F"/>
    <w:rsid w:val="00D0466B"/>
    <w:rsid w:val="00D05B62"/>
    <w:rsid w:val="00D05E09"/>
    <w:rsid w:val="00D0622E"/>
    <w:rsid w:val="00D100B9"/>
    <w:rsid w:val="00D10C6D"/>
    <w:rsid w:val="00D12BA8"/>
    <w:rsid w:val="00D15B81"/>
    <w:rsid w:val="00D16E4B"/>
    <w:rsid w:val="00D17FD3"/>
    <w:rsid w:val="00D20D25"/>
    <w:rsid w:val="00D2161A"/>
    <w:rsid w:val="00D2166D"/>
    <w:rsid w:val="00D217D3"/>
    <w:rsid w:val="00D23F5E"/>
    <w:rsid w:val="00D25385"/>
    <w:rsid w:val="00D26EDE"/>
    <w:rsid w:val="00D32394"/>
    <w:rsid w:val="00D327BA"/>
    <w:rsid w:val="00D332AC"/>
    <w:rsid w:val="00D3557A"/>
    <w:rsid w:val="00D3576A"/>
    <w:rsid w:val="00D359B0"/>
    <w:rsid w:val="00D3619E"/>
    <w:rsid w:val="00D3629D"/>
    <w:rsid w:val="00D36378"/>
    <w:rsid w:val="00D3708F"/>
    <w:rsid w:val="00D405F2"/>
    <w:rsid w:val="00D414C0"/>
    <w:rsid w:val="00D41FE6"/>
    <w:rsid w:val="00D42552"/>
    <w:rsid w:val="00D433B3"/>
    <w:rsid w:val="00D43A95"/>
    <w:rsid w:val="00D43DF9"/>
    <w:rsid w:val="00D4615C"/>
    <w:rsid w:val="00D4733E"/>
    <w:rsid w:val="00D47C2D"/>
    <w:rsid w:val="00D512E1"/>
    <w:rsid w:val="00D51581"/>
    <w:rsid w:val="00D517B5"/>
    <w:rsid w:val="00D52BEB"/>
    <w:rsid w:val="00D52C14"/>
    <w:rsid w:val="00D53D2C"/>
    <w:rsid w:val="00D546A9"/>
    <w:rsid w:val="00D54AAF"/>
    <w:rsid w:val="00D54ED5"/>
    <w:rsid w:val="00D57F4F"/>
    <w:rsid w:val="00D60940"/>
    <w:rsid w:val="00D60FBF"/>
    <w:rsid w:val="00D62D0F"/>
    <w:rsid w:val="00D637D2"/>
    <w:rsid w:val="00D6518E"/>
    <w:rsid w:val="00D67008"/>
    <w:rsid w:val="00D670BC"/>
    <w:rsid w:val="00D67589"/>
    <w:rsid w:val="00D67B14"/>
    <w:rsid w:val="00D67C19"/>
    <w:rsid w:val="00D71404"/>
    <w:rsid w:val="00D720D9"/>
    <w:rsid w:val="00D72642"/>
    <w:rsid w:val="00D739A4"/>
    <w:rsid w:val="00D74E0B"/>
    <w:rsid w:val="00D76167"/>
    <w:rsid w:val="00D765F0"/>
    <w:rsid w:val="00D76A99"/>
    <w:rsid w:val="00D7719B"/>
    <w:rsid w:val="00D773B7"/>
    <w:rsid w:val="00D77D6D"/>
    <w:rsid w:val="00D8280D"/>
    <w:rsid w:val="00D83385"/>
    <w:rsid w:val="00D84F9F"/>
    <w:rsid w:val="00D85320"/>
    <w:rsid w:val="00D86716"/>
    <w:rsid w:val="00D9038B"/>
    <w:rsid w:val="00D90476"/>
    <w:rsid w:val="00D90FA1"/>
    <w:rsid w:val="00D92335"/>
    <w:rsid w:val="00D95947"/>
    <w:rsid w:val="00D95CBA"/>
    <w:rsid w:val="00D960B7"/>
    <w:rsid w:val="00D96E5B"/>
    <w:rsid w:val="00D97956"/>
    <w:rsid w:val="00DA04AF"/>
    <w:rsid w:val="00DA0A56"/>
    <w:rsid w:val="00DA42C4"/>
    <w:rsid w:val="00DA42D5"/>
    <w:rsid w:val="00DA46AC"/>
    <w:rsid w:val="00DA77E8"/>
    <w:rsid w:val="00DA7B3B"/>
    <w:rsid w:val="00DB0E02"/>
    <w:rsid w:val="00DB0FF9"/>
    <w:rsid w:val="00DB141C"/>
    <w:rsid w:val="00DB1E67"/>
    <w:rsid w:val="00DB28AB"/>
    <w:rsid w:val="00DB2F98"/>
    <w:rsid w:val="00DB3ABD"/>
    <w:rsid w:val="00DB3F5C"/>
    <w:rsid w:val="00DB4505"/>
    <w:rsid w:val="00DB4522"/>
    <w:rsid w:val="00DB59C4"/>
    <w:rsid w:val="00DB5AB7"/>
    <w:rsid w:val="00DB5C58"/>
    <w:rsid w:val="00DB5DDB"/>
    <w:rsid w:val="00DC015C"/>
    <w:rsid w:val="00DC0A5C"/>
    <w:rsid w:val="00DC361F"/>
    <w:rsid w:val="00DC36FD"/>
    <w:rsid w:val="00DC3821"/>
    <w:rsid w:val="00DC3C17"/>
    <w:rsid w:val="00DC3CA6"/>
    <w:rsid w:val="00DC4139"/>
    <w:rsid w:val="00DC4644"/>
    <w:rsid w:val="00DC4891"/>
    <w:rsid w:val="00DC5DD6"/>
    <w:rsid w:val="00DC5E4A"/>
    <w:rsid w:val="00DC65A4"/>
    <w:rsid w:val="00DC69B5"/>
    <w:rsid w:val="00DC6AB5"/>
    <w:rsid w:val="00DC7403"/>
    <w:rsid w:val="00DD0D25"/>
    <w:rsid w:val="00DD1580"/>
    <w:rsid w:val="00DD1CE1"/>
    <w:rsid w:val="00DD3156"/>
    <w:rsid w:val="00DD62E3"/>
    <w:rsid w:val="00DD66E7"/>
    <w:rsid w:val="00DD6AB2"/>
    <w:rsid w:val="00DD7D3E"/>
    <w:rsid w:val="00DE06E3"/>
    <w:rsid w:val="00DE2365"/>
    <w:rsid w:val="00DE30D1"/>
    <w:rsid w:val="00DE4338"/>
    <w:rsid w:val="00DE54E7"/>
    <w:rsid w:val="00DE6806"/>
    <w:rsid w:val="00DE6973"/>
    <w:rsid w:val="00DE7827"/>
    <w:rsid w:val="00DF01E0"/>
    <w:rsid w:val="00DF196D"/>
    <w:rsid w:val="00DF2C7C"/>
    <w:rsid w:val="00DF434E"/>
    <w:rsid w:val="00DF48F0"/>
    <w:rsid w:val="00DF4A09"/>
    <w:rsid w:val="00DF51CA"/>
    <w:rsid w:val="00DF61F6"/>
    <w:rsid w:val="00DF693B"/>
    <w:rsid w:val="00DF6977"/>
    <w:rsid w:val="00DF6D3D"/>
    <w:rsid w:val="00DF7533"/>
    <w:rsid w:val="00DF7C2F"/>
    <w:rsid w:val="00E00C83"/>
    <w:rsid w:val="00E01335"/>
    <w:rsid w:val="00E02DC5"/>
    <w:rsid w:val="00E0348D"/>
    <w:rsid w:val="00E0380D"/>
    <w:rsid w:val="00E04E12"/>
    <w:rsid w:val="00E05051"/>
    <w:rsid w:val="00E054C0"/>
    <w:rsid w:val="00E05726"/>
    <w:rsid w:val="00E0682A"/>
    <w:rsid w:val="00E0717E"/>
    <w:rsid w:val="00E079B7"/>
    <w:rsid w:val="00E10258"/>
    <w:rsid w:val="00E1084C"/>
    <w:rsid w:val="00E10C62"/>
    <w:rsid w:val="00E12D9E"/>
    <w:rsid w:val="00E12EB4"/>
    <w:rsid w:val="00E14F0D"/>
    <w:rsid w:val="00E15567"/>
    <w:rsid w:val="00E15AD0"/>
    <w:rsid w:val="00E20207"/>
    <w:rsid w:val="00E214AE"/>
    <w:rsid w:val="00E215F2"/>
    <w:rsid w:val="00E22CE2"/>
    <w:rsid w:val="00E23D84"/>
    <w:rsid w:val="00E24537"/>
    <w:rsid w:val="00E255D7"/>
    <w:rsid w:val="00E25C73"/>
    <w:rsid w:val="00E27968"/>
    <w:rsid w:val="00E327F7"/>
    <w:rsid w:val="00E332D2"/>
    <w:rsid w:val="00E33F68"/>
    <w:rsid w:val="00E344D0"/>
    <w:rsid w:val="00E352C0"/>
    <w:rsid w:val="00E35751"/>
    <w:rsid w:val="00E35C9F"/>
    <w:rsid w:val="00E35F1C"/>
    <w:rsid w:val="00E40045"/>
    <w:rsid w:val="00E405F9"/>
    <w:rsid w:val="00E411E0"/>
    <w:rsid w:val="00E417CE"/>
    <w:rsid w:val="00E417E5"/>
    <w:rsid w:val="00E43A30"/>
    <w:rsid w:val="00E43A6C"/>
    <w:rsid w:val="00E44A68"/>
    <w:rsid w:val="00E45388"/>
    <w:rsid w:val="00E46202"/>
    <w:rsid w:val="00E46BBC"/>
    <w:rsid w:val="00E46D07"/>
    <w:rsid w:val="00E46EBB"/>
    <w:rsid w:val="00E472B3"/>
    <w:rsid w:val="00E479AE"/>
    <w:rsid w:val="00E507EB"/>
    <w:rsid w:val="00E51F03"/>
    <w:rsid w:val="00E525CE"/>
    <w:rsid w:val="00E53E4F"/>
    <w:rsid w:val="00E54EB5"/>
    <w:rsid w:val="00E554B7"/>
    <w:rsid w:val="00E55EF3"/>
    <w:rsid w:val="00E568EB"/>
    <w:rsid w:val="00E56E5B"/>
    <w:rsid w:val="00E625CA"/>
    <w:rsid w:val="00E628C8"/>
    <w:rsid w:val="00E63B8A"/>
    <w:rsid w:val="00E63D69"/>
    <w:rsid w:val="00E64417"/>
    <w:rsid w:val="00E6481D"/>
    <w:rsid w:val="00E66136"/>
    <w:rsid w:val="00E6614B"/>
    <w:rsid w:val="00E66233"/>
    <w:rsid w:val="00E66C55"/>
    <w:rsid w:val="00E66EEB"/>
    <w:rsid w:val="00E67B09"/>
    <w:rsid w:val="00E70ED4"/>
    <w:rsid w:val="00E714CC"/>
    <w:rsid w:val="00E71801"/>
    <w:rsid w:val="00E72667"/>
    <w:rsid w:val="00E72B63"/>
    <w:rsid w:val="00E73BC5"/>
    <w:rsid w:val="00E75D71"/>
    <w:rsid w:val="00E763C9"/>
    <w:rsid w:val="00E76649"/>
    <w:rsid w:val="00E76E6E"/>
    <w:rsid w:val="00E77C52"/>
    <w:rsid w:val="00E80A52"/>
    <w:rsid w:val="00E80C37"/>
    <w:rsid w:val="00E812EF"/>
    <w:rsid w:val="00E814ED"/>
    <w:rsid w:val="00E81CA3"/>
    <w:rsid w:val="00E8480E"/>
    <w:rsid w:val="00E87B91"/>
    <w:rsid w:val="00E87C10"/>
    <w:rsid w:val="00E90C4A"/>
    <w:rsid w:val="00E9155E"/>
    <w:rsid w:val="00E922F3"/>
    <w:rsid w:val="00E923F7"/>
    <w:rsid w:val="00E92C25"/>
    <w:rsid w:val="00E92E97"/>
    <w:rsid w:val="00E94C0B"/>
    <w:rsid w:val="00E94F2B"/>
    <w:rsid w:val="00E95B5B"/>
    <w:rsid w:val="00E96764"/>
    <w:rsid w:val="00E97038"/>
    <w:rsid w:val="00E97053"/>
    <w:rsid w:val="00E97958"/>
    <w:rsid w:val="00E97A48"/>
    <w:rsid w:val="00E97DCB"/>
    <w:rsid w:val="00EA14F0"/>
    <w:rsid w:val="00EA1672"/>
    <w:rsid w:val="00EA1D2A"/>
    <w:rsid w:val="00EA2B84"/>
    <w:rsid w:val="00EA2E05"/>
    <w:rsid w:val="00EA34B9"/>
    <w:rsid w:val="00EA3EDD"/>
    <w:rsid w:val="00EA406C"/>
    <w:rsid w:val="00EA4D0E"/>
    <w:rsid w:val="00EA59AD"/>
    <w:rsid w:val="00EA658F"/>
    <w:rsid w:val="00EA726E"/>
    <w:rsid w:val="00EB0002"/>
    <w:rsid w:val="00EB0587"/>
    <w:rsid w:val="00EB05AA"/>
    <w:rsid w:val="00EB280B"/>
    <w:rsid w:val="00EB2B3E"/>
    <w:rsid w:val="00EB3166"/>
    <w:rsid w:val="00EB367C"/>
    <w:rsid w:val="00EB3E13"/>
    <w:rsid w:val="00EB6117"/>
    <w:rsid w:val="00EC085E"/>
    <w:rsid w:val="00EC14FB"/>
    <w:rsid w:val="00EC2D99"/>
    <w:rsid w:val="00EC3A39"/>
    <w:rsid w:val="00EC407D"/>
    <w:rsid w:val="00EC4A78"/>
    <w:rsid w:val="00EC4C7F"/>
    <w:rsid w:val="00EC5E58"/>
    <w:rsid w:val="00EC6DDA"/>
    <w:rsid w:val="00ED0309"/>
    <w:rsid w:val="00ED27F1"/>
    <w:rsid w:val="00ED2D3D"/>
    <w:rsid w:val="00ED4CF4"/>
    <w:rsid w:val="00ED4DBC"/>
    <w:rsid w:val="00ED50AC"/>
    <w:rsid w:val="00ED6013"/>
    <w:rsid w:val="00ED686E"/>
    <w:rsid w:val="00ED6E89"/>
    <w:rsid w:val="00ED7B47"/>
    <w:rsid w:val="00EE1970"/>
    <w:rsid w:val="00EE1B08"/>
    <w:rsid w:val="00EE2069"/>
    <w:rsid w:val="00EE5D79"/>
    <w:rsid w:val="00EE6404"/>
    <w:rsid w:val="00EE6D93"/>
    <w:rsid w:val="00EF00AC"/>
    <w:rsid w:val="00EF0954"/>
    <w:rsid w:val="00EF0F32"/>
    <w:rsid w:val="00EF3B73"/>
    <w:rsid w:val="00EF3DE8"/>
    <w:rsid w:val="00EF44BC"/>
    <w:rsid w:val="00EF4B34"/>
    <w:rsid w:val="00EF4B4D"/>
    <w:rsid w:val="00EF4F0D"/>
    <w:rsid w:val="00EF5147"/>
    <w:rsid w:val="00EF54DC"/>
    <w:rsid w:val="00EF7A18"/>
    <w:rsid w:val="00EF7A35"/>
    <w:rsid w:val="00F01315"/>
    <w:rsid w:val="00F02248"/>
    <w:rsid w:val="00F02592"/>
    <w:rsid w:val="00F02D9D"/>
    <w:rsid w:val="00F04826"/>
    <w:rsid w:val="00F04855"/>
    <w:rsid w:val="00F05295"/>
    <w:rsid w:val="00F052E6"/>
    <w:rsid w:val="00F056DF"/>
    <w:rsid w:val="00F057D8"/>
    <w:rsid w:val="00F07364"/>
    <w:rsid w:val="00F07996"/>
    <w:rsid w:val="00F101A8"/>
    <w:rsid w:val="00F10AE1"/>
    <w:rsid w:val="00F11FDC"/>
    <w:rsid w:val="00F140E4"/>
    <w:rsid w:val="00F141F7"/>
    <w:rsid w:val="00F15D8B"/>
    <w:rsid w:val="00F176B7"/>
    <w:rsid w:val="00F20A53"/>
    <w:rsid w:val="00F20E64"/>
    <w:rsid w:val="00F21423"/>
    <w:rsid w:val="00F230E2"/>
    <w:rsid w:val="00F25293"/>
    <w:rsid w:val="00F268DF"/>
    <w:rsid w:val="00F272FE"/>
    <w:rsid w:val="00F30431"/>
    <w:rsid w:val="00F313BC"/>
    <w:rsid w:val="00F325AA"/>
    <w:rsid w:val="00F32864"/>
    <w:rsid w:val="00F32C74"/>
    <w:rsid w:val="00F33205"/>
    <w:rsid w:val="00F33F7E"/>
    <w:rsid w:val="00F34ACF"/>
    <w:rsid w:val="00F35181"/>
    <w:rsid w:val="00F36535"/>
    <w:rsid w:val="00F36E8C"/>
    <w:rsid w:val="00F3701B"/>
    <w:rsid w:val="00F37918"/>
    <w:rsid w:val="00F379A6"/>
    <w:rsid w:val="00F40B33"/>
    <w:rsid w:val="00F41127"/>
    <w:rsid w:val="00F42996"/>
    <w:rsid w:val="00F42A84"/>
    <w:rsid w:val="00F43CE7"/>
    <w:rsid w:val="00F45037"/>
    <w:rsid w:val="00F46C9C"/>
    <w:rsid w:val="00F50F18"/>
    <w:rsid w:val="00F513AA"/>
    <w:rsid w:val="00F51D1B"/>
    <w:rsid w:val="00F52005"/>
    <w:rsid w:val="00F5253C"/>
    <w:rsid w:val="00F52824"/>
    <w:rsid w:val="00F52BF1"/>
    <w:rsid w:val="00F54468"/>
    <w:rsid w:val="00F5471B"/>
    <w:rsid w:val="00F57B28"/>
    <w:rsid w:val="00F60DF2"/>
    <w:rsid w:val="00F629C4"/>
    <w:rsid w:val="00F62BEF"/>
    <w:rsid w:val="00F62F99"/>
    <w:rsid w:val="00F63C35"/>
    <w:rsid w:val="00F643F5"/>
    <w:rsid w:val="00F64868"/>
    <w:rsid w:val="00F64B23"/>
    <w:rsid w:val="00F66498"/>
    <w:rsid w:val="00F665E8"/>
    <w:rsid w:val="00F66E8A"/>
    <w:rsid w:val="00F66EB3"/>
    <w:rsid w:val="00F67B4E"/>
    <w:rsid w:val="00F70B04"/>
    <w:rsid w:val="00F70E24"/>
    <w:rsid w:val="00F70EAA"/>
    <w:rsid w:val="00F720EE"/>
    <w:rsid w:val="00F72E51"/>
    <w:rsid w:val="00F73BC3"/>
    <w:rsid w:val="00F7499E"/>
    <w:rsid w:val="00F75D11"/>
    <w:rsid w:val="00F810AD"/>
    <w:rsid w:val="00F82918"/>
    <w:rsid w:val="00F82FE7"/>
    <w:rsid w:val="00F83ED6"/>
    <w:rsid w:val="00F84F60"/>
    <w:rsid w:val="00F85389"/>
    <w:rsid w:val="00F90334"/>
    <w:rsid w:val="00F9095D"/>
    <w:rsid w:val="00F918ED"/>
    <w:rsid w:val="00F928F0"/>
    <w:rsid w:val="00F93D06"/>
    <w:rsid w:val="00F9617B"/>
    <w:rsid w:val="00F96281"/>
    <w:rsid w:val="00F96AD8"/>
    <w:rsid w:val="00F978F5"/>
    <w:rsid w:val="00FA0302"/>
    <w:rsid w:val="00FA0AEA"/>
    <w:rsid w:val="00FA2FFA"/>
    <w:rsid w:val="00FA41DB"/>
    <w:rsid w:val="00FA4B51"/>
    <w:rsid w:val="00FA6E70"/>
    <w:rsid w:val="00FA7107"/>
    <w:rsid w:val="00FB02B6"/>
    <w:rsid w:val="00FB059F"/>
    <w:rsid w:val="00FB083E"/>
    <w:rsid w:val="00FB14CF"/>
    <w:rsid w:val="00FB4888"/>
    <w:rsid w:val="00FB69D4"/>
    <w:rsid w:val="00FB705E"/>
    <w:rsid w:val="00FB7161"/>
    <w:rsid w:val="00FB742E"/>
    <w:rsid w:val="00FC01D0"/>
    <w:rsid w:val="00FC06F6"/>
    <w:rsid w:val="00FC1177"/>
    <w:rsid w:val="00FC154E"/>
    <w:rsid w:val="00FC23AC"/>
    <w:rsid w:val="00FC337D"/>
    <w:rsid w:val="00FC35B1"/>
    <w:rsid w:val="00FC3C5D"/>
    <w:rsid w:val="00FC4F80"/>
    <w:rsid w:val="00FC51D0"/>
    <w:rsid w:val="00FC564A"/>
    <w:rsid w:val="00FC6855"/>
    <w:rsid w:val="00FC6A7C"/>
    <w:rsid w:val="00FC7007"/>
    <w:rsid w:val="00FC76FF"/>
    <w:rsid w:val="00FD050F"/>
    <w:rsid w:val="00FD06C0"/>
    <w:rsid w:val="00FD0DF8"/>
    <w:rsid w:val="00FD1898"/>
    <w:rsid w:val="00FD280C"/>
    <w:rsid w:val="00FD45C9"/>
    <w:rsid w:val="00FD4D84"/>
    <w:rsid w:val="00FD6006"/>
    <w:rsid w:val="00FD668F"/>
    <w:rsid w:val="00FD7719"/>
    <w:rsid w:val="00FD7B3F"/>
    <w:rsid w:val="00FE1AD7"/>
    <w:rsid w:val="00FE3719"/>
    <w:rsid w:val="00FE64E9"/>
    <w:rsid w:val="00FE70F8"/>
    <w:rsid w:val="00FE7C32"/>
    <w:rsid w:val="00FF00CF"/>
    <w:rsid w:val="00FF0336"/>
    <w:rsid w:val="00FF056B"/>
    <w:rsid w:val="00FF48DF"/>
    <w:rsid w:val="00FF4AD5"/>
    <w:rsid w:val="00FF4B9F"/>
    <w:rsid w:val="00FF4F46"/>
    <w:rsid w:val="00FF65C9"/>
    <w:rsid w:val="00FF6C7C"/>
    <w:rsid w:val="00FF78D2"/>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docId w15:val="{F0639358-8DC0-4941-BADA-779E0B20E2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iPriority="9"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iPriority="35"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A2E05"/>
    <w:rPr>
      <w:rFonts w:eastAsia="Times New Roman"/>
      <w:sz w:val="24"/>
      <w:szCs w:val="24"/>
    </w:rPr>
  </w:style>
  <w:style w:type="paragraph" w:styleId="Heading1">
    <w:name w:val="heading 1"/>
    <w:basedOn w:val="Normal"/>
    <w:next w:val="Normal"/>
    <w:link w:val="Heading1Char"/>
    <w:uiPriority w:val="9"/>
    <w:qFormat/>
    <w:rsid w:val="004719C1"/>
    <w:pPr>
      <w:keepNext/>
      <w:keepLines/>
      <w:spacing w:before="480"/>
      <w:outlineLvl w:val="0"/>
    </w:pPr>
    <w:rPr>
      <w:rFonts w:asciiTheme="minorHAnsi" w:eastAsiaTheme="majorEastAsia" w:hAnsiTheme="minorHAnsi" w:cstheme="majorBidi"/>
      <w:b/>
      <w:bCs/>
      <w:noProof/>
      <w:color w:val="365F91" w:themeColor="accent1" w:themeShade="BF"/>
      <w:u w:val="single"/>
      <w:lang w:val="sq-AL"/>
    </w:rPr>
  </w:style>
  <w:style w:type="paragraph" w:styleId="Heading2">
    <w:name w:val="heading 2"/>
    <w:basedOn w:val="Normal"/>
    <w:next w:val="Normal"/>
    <w:link w:val="Heading2Char"/>
    <w:uiPriority w:val="9"/>
    <w:unhideWhenUsed/>
    <w:qFormat/>
    <w:rsid w:val="002334F6"/>
    <w:pPr>
      <w:keepNext/>
      <w:keepLines/>
      <w:spacing w:before="200" w:line="276" w:lineRule="auto"/>
      <w:ind w:left="720" w:hanging="720"/>
      <w:outlineLvl w:val="1"/>
    </w:pPr>
    <w:rPr>
      <w:rFonts w:asciiTheme="minorHAnsi" w:eastAsiaTheme="majorEastAsia" w:hAnsiTheme="minorHAnsi" w:cstheme="majorBidi"/>
      <w:b/>
      <w:bCs/>
      <w:noProof/>
      <w:color w:val="4F81BD" w:themeColor="accent1"/>
      <w:sz w:val="28"/>
      <w:lang w:val="sq-AL"/>
    </w:rPr>
  </w:style>
  <w:style w:type="paragraph" w:styleId="Heading3">
    <w:name w:val="heading 3"/>
    <w:basedOn w:val="Normal"/>
    <w:next w:val="Normal"/>
    <w:link w:val="Heading3Char"/>
    <w:autoRedefine/>
    <w:unhideWhenUsed/>
    <w:qFormat/>
    <w:rsid w:val="006F52BB"/>
    <w:pPr>
      <w:keepNext/>
      <w:keepLines/>
      <w:tabs>
        <w:tab w:val="left" w:pos="426"/>
        <w:tab w:val="left" w:pos="540"/>
      </w:tabs>
      <w:spacing w:before="200" w:line="276" w:lineRule="auto"/>
      <w:ind w:left="2700" w:hanging="2700"/>
      <w:jc w:val="both"/>
      <w:outlineLvl w:val="2"/>
    </w:pPr>
    <w:rPr>
      <w:rFonts w:asciiTheme="minorHAnsi" w:eastAsiaTheme="majorEastAsia" w:hAnsiTheme="minorHAnsi" w:cstheme="majorBidi"/>
      <w:bCs/>
      <w:i/>
      <w:u w:val="single"/>
      <w:lang w:val="sq-AL"/>
    </w:rPr>
  </w:style>
  <w:style w:type="paragraph" w:styleId="Heading4">
    <w:name w:val="heading 4"/>
    <w:basedOn w:val="Normal"/>
    <w:next w:val="Normal"/>
    <w:link w:val="Heading4Char"/>
    <w:unhideWhenUsed/>
    <w:qFormat/>
    <w:rsid w:val="00155195"/>
    <w:pPr>
      <w:keepNext/>
      <w:keepLines/>
      <w:spacing w:before="200"/>
      <w:outlineLvl w:val="3"/>
    </w:pPr>
    <w:rPr>
      <w:rFonts w:asciiTheme="majorHAnsi" w:eastAsiaTheme="majorEastAsia" w:hAnsiTheme="majorHAnsi" w:cstheme="majorBidi"/>
      <w:bCs/>
      <w:i/>
      <w:iCs/>
    </w:rPr>
  </w:style>
  <w:style w:type="paragraph" w:styleId="Heading5">
    <w:name w:val="heading 5"/>
    <w:basedOn w:val="Normal"/>
    <w:next w:val="Normal"/>
    <w:link w:val="Heading5Char"/>
    <w:uiPriority w:val="9"/>
    <w:semiHidden/>
    <w:unhideWhenUsed/>
    <w:qFormat/>
    <w:rsid w:val="00527686"/>
    <w:pPr>
      <w:keepNext/>
      <w:keepLines/>
      <w:spacing w:before="40"/>
      <w:outlineLvl w:val="4"/>
    </w:pPr>
    <w:rPr>
      <w:rFonts w:ascii="Calibri" w:eastAsia="MS Gothic" w:hAnsi="Calibri"/>
      <w:color w:val="365F91"/>
      <w:sz w:val="20"/>
      <w:szCs w:val="20"/>
    </w:rPr>
  </w:style>
  <w:style w:type="paragraph" w:styleId="Heading6">
    <w:name w:val="heading 6"/>
    <w:basedOn w:val="Normal"/>
    <w:next w:val="Normal"/>
    <w:link w:val="Heading6Char"/>
    <w:uiPriority w:val="9"/>
    <w:semiHidden/>
    <w:unhideWhenUsed/>
    <w:qFormat/>
    <w:rsid w:val="00527686"/>
    <w:pPr>
      <w:keepNext/>
      <w:keepLines/>
      <w:spacing w:before="40"/>
      <w:outlineLvl w:val="5"/>
    </w:pPr>
    <w:rPr>
      <w:rFonts w:ascii="Calibri" w:eastAsia="MS Gothic" w:hAnsi="Calibri"/>
      <w:color w:val="243F60"/>
      <w:sz w:val="20"/>
      <w:szCs w:val="20"/>
    </w:rPr>
  </w:style>
  <w:style w:type="paragraph" w:styleId="Heading7">
    <w:name w:val="heading 7"/>
    <w:basedOn w:val="Normal"/>
    <w:next w:val="Normal"/>
    <w:link w:val="Heading7Char"/>
    <w:uiPriority w:val="9"/>
    <w:semiHidden/>
    <w:unhideWhenUsed/>
    <w:qFormat/>
    <w:rsid w:val="00527686"/>
    <w:pPr>
      <w:keepNext/>
      <w:keepLines/>
      <w:spacing w:before="40"/>
      <w:outlineLvl w:val="6"/>
    </w:pPr>
    <w:rPr>
      <w:rFonts w:ascii="Calibri" w:eastAsia="MS Gothic" w:hAnsi="Calibri"/>
      <w:i/>
      <w:iCs/>
      <w:color w:val="243F60"/>
      <w:sz w:val="20"/>
      <w:szCs w:val="20"/>
    </w:rPr>
  </w:style>
  <w:style w:type="paragraph" w:styleId="Heading8">
    <w:name w:val="heading 8"/>
    <w:basedOn w:val="Normal"/>
    <w:next w:val="Normal"/>
    <w:link w:val="Heading8Char"/>
    <w:uiPriority w:val="9"/>
    <w:semiHidden/>
    <w:unhideWhenUsed/>
    <w:qFormat/>
    <w:rsid w:val="00527686"/>
    <w:pPr>
      <w:keepNext/>
      <w:keepLines/>
      <w:spacing w:before="40"/>
      <w:outlineLvl w:val="7"/>
    </w:pPr>
    <w:rPr>
      <w:rFonts w:ascii="Calibri" w:eastAsia="MS Gothic" w:hAnsi="Calibri"/>
      <w:color w:val="272727"/>
      <w:sz w:val="21"/>
      <w:szCs w:val="21"/>
    </w:rPr>
  </w:style>
  <w:style w:type="paragraph" w:styleId="Heading9">
    <w:name w:val="heading 9"/>
    <w:basedOn w:val="Normal"/>
    <w:next w:val="Normal"/>
    <w:link w:val="Heading9Char"/>
    <w:uiPriority w:val="9"/>
    <w:semiHidden/>
    <w:unhideWhenUsed/>
    <w:qFormat/>
    <w:rsid w:val="00527686"/>
    <w:pPr>
      <w:keepNext/>
      <w:keepLines/>
      <w:spacing w:before="40"/>
      <w:outlineLvl w:val="8"/>
    </w:pPr>
    <w:rPr>
      <w:rFonts w:ascii="Calibri" w:eastAsia="MS Gothic" w:hAnsi="Calibri"/>
      <w:i/>
      <w:iCs/>
      <w:color w:val="272727"/>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719C1"/>
    <w:rPr>
      <w:rFonts w:asciiTheme="minorHAnsi" w:eastAsiaTheme="majorEastAsia" w:hAnsiTheme="minorHAnsi" w:cstheme="majorBidi"/>
      <w:b/>
      <w:bCs/>
      <w:noProof/>
      <w:color w:val="365F91" w:themeColor="accent1" w:themeShade="BF"/>
      <w:sz w:val="24"/>
      <w:szCs w:val="24"/>
      <w:u w:val="single"/>
      <w:lang w:val="sq-AL"/>
    </w:rPr>
  </w:style>
  <w:style w:type="character" w:customStyle="1" w:styleId="Heading2Char">
    <w:name w:val="Heading 2 Char"/>
    <w:basedOn w:val="DefaultParagraphFont"/>
    <w:link w:val="Heading2"/>
    <w:uiPriority w:val="9"/>
    <w:rsid w:val="002334F6"/>
    <w:rPr>
      <w:rFonts w:asciiTheme="minorHAnsi" w:eastAsiaTheme="majorEastAsia" w:hAnsiTheme="minorHAnsi" w:cstheme="majorBidi"/>
      <w:b/>
      <w:bCs/>
      <w:noProof/>
      <w:color w:val="4F81BD" w:themeColor="accent1"/>
      <w:sz w:val="28"/>
      <w:szCs w:val="24"/>
      <w:lang w:val="sq-AL"/>
    </w:rPr>
  </w:style>
  <w:style w:type="character" w:customStyle="1" w:styleId="Heading3Char">
    <w:name w:val="Heading 3 Char"/>
    <w:basedOn w:val="DefaultParagraphFont"/>
    <w:link w:val="Heading3"/>
    <w:rsid w:val="006F52BB"/>
    <w:rPr>
      <w:rFonts w:asciiTheme="minorHAnsi" w:eastAsiaTheme="majorEastAsia" w:hAnsiTheme="minorHAnsi" w:cstheme="majorBidi"/>
      <w:bCs/>
      <w:i/>
      <w:sz w:val="24"/>
      <w:szCs w:val="24"/>
      <w:u w:val="single"/>
      <w:lang w:val="sq-AL"/>
    </w:rPr>
  </w:style>
  <w:style w:type="character" w:customStyle="1" w:styleId="Heading4Char">
    <w:name w:val="Heading 4 Char"/>
    <w:basedOn w:val="DefaultParagraphFont"/>
    <w:link w:val="Heading4"/>
    <w:rsid w:val="00155195"/>
    <w:rPr>
      <w:rFonts w:asciiTheme="majorHAnsi" w:eastAsiaTheme="majorEastAsia" w:hAnsiTheme="majorHAnsi" w:cstheme="majorBidi"/>
      <w:bCs/>
      <w:i/>
      <w:iCs/>
      <w:sz w:val="24"/>
      <w:szCs w:val="24"/>
    </w:rPr>
  </w:style>
  <w:style w:type="paragraph" w:customStyle="1" w:styleId="Default">
    <w:name w:val="Default"/>
    <w:rsid w:val="00EA2E05"/>
    <w:pPr>
      <w:autoSpaceDE w:val="0"/>
      <w:autoSpaceDN w:val="0"/>
      <w:adjustRightInd w:val="0"/>
    </w:pPr>
    <w:rPr>
      <w:rFonts w:eastAsia="Batang"/>
      <w:color w:val="000000"/>
      <w:sz w:val="24"/>
      <w:szCs w:val="24"/>
      <w:lang w:eastAsia="ko-KR"/>
    </w:rPr>
  </w:style>
  <w:style w:type="paragraph" w:styleId="BalloonText">
    <w:name w:val="Balloon Text"/>
    <w:basedOn w:val="Normal"/>
    <w:link w:val="BalloonTextChar"/>
    <w:uiPriority w:val="99"/>
    <w:rsid w:val="00CA3188"/>
    <w:rPr>
      <w:rFonts w:ascii="Tahoma" w:hAnsi="Tahoma" w:cs="Tahoma"/>
      <w:sz w:val="16"/>
      <w:szCs w:val="16"/>
    </w:rPr>
  </w:style>
  <w:style w:type="character" w:customStyle="1" w:styleId="BalloonTextChar">
    <w:name w:val="Balloon Text Char"/>
    <w:basedOn w:val="DefaultParagraphFont"/>
    <w:link w:val="BalloonText"/>
    <w:uiPriority w:val="99"/>
    <w:rsid w:val="00CA3188"/>
    <w:rPr>
      <w:rFonts w:ascii="Tahoma" w:eastAsia="Times New Roman" w:hAnsi="Tahoma" w:cs="Tahoma"/>
      <w:sz w:val="16"/>
      <w:szCs w:val="16"/>
    </w:rPr>
  </w:style>
  <w:style w:type="paragraph" w:styleId="ListParagraph">
    <w:name w:val="List Paragraph"/>
    <w:aliases w:val="List Paragraph (numbered (a)),Normal 1,List Paragraph 1,Akapit z listą BS,Bullets,List Paragraph1,Bullet1,NumberedParas,Dot pt,F5 List Paragraph,List Paragraph Char Char Char,Indicator Text,Numbered Para 1,Bullet 1,Bullet Points"/>
    <w:basedOn w:val="Normal"/>
    <w:link w:val="ListParagraphChar"/>
    <w:qFormat/>
    <w:rsid w:val="0076649E"/>
    <w:pPr>
      <w:ind w:left="720"/>
      <w:contextualSpacing/>
    </w:pPr>
  </w:style>
  <w:style w:type="character" w:customStyle="1" w:styleId="ListParagraphChar">
    <w:name w:val="List Paragraph Char"/>
    <w:aliases w:val="List Paragraph (numbered (a)) Char,Normal 1 Char,List Paragraph 1 Char,Akapit z listą BS Char,Bullets Char,List Paragraph1 Char,Bullet1 Char,NumberedParas Char,Dot pt Char,F5 List Paragraph Char,List Paragraph Char Char Char Char"/>
    <w:link w:val="ListParagraph"/>
    <w:qFormat/>
    <w:locked/>
    <w:rsid w:val="004C12C9"/>
    <w:rPr>
      <w:rFonts w:eastAsia="Times New Roman"/>
      <w:sz w:val="24"/>
      <w:szCs w:val="24"/>
    </w:rPr>
  </w:style>
  <w:style w:type="paragraph" w:styleId="Subtitle">
    <w:name w:val="Subtitle"/>
    <w:basedOn w:val="Normal"/>
    <w:next w:val="Normal"/>
    <w:link w:val="SubtitleChar"/>
    <w:qFormat/>
    <w:rsid w:val="00476597"/>
    <w:pPr>
      <w:numPr>
        <w:ilvl w:val="1"/>
      </w:numPr>
    </w:pPr>
    <w:rPr>
      <w:rFonts w:eastAsiaTheme="majorEastAsia" w:cstheme="majorBidi"/>
      <w:i/>
      <w:iCs/>
      <w:spacing w:val="15"/>
    </w:rPr>
  </w:style>
  <w:style w:type="character" w:customStyle="1" w:styleId="SubtitleChar">
    <w:name w:val="Subtitle Char"/>
    <w:basedOn w:val="DefaultParagraphFont"/>
    <w:link w:val="Subtitle"/>
    <w:rsid w:val="00476597"/>
    <w:rPr>
      <w:rFonts w:eastAsiaTheme="majorEastAsia" w:cstheme="majorBidi"/>
      <w:i/>
      <w:iCs/>
      <w:spacing w:val="15"/>
      <w:sz w:val="24"/>
      <w:szCs w:val="24"/>
    </w:rPr>
  </w:style>
  <w:style w:type="paragraph" w:styleId="FootnoteText">
    <w:name w:val="footnote text"/>
    <w:aliases w:val="single space,fn,FOOTNOTES,Fußnotentext Char,ADB,Footnote text,ft,Footnote Text Char1,Footnote Text Char2 Char,Footnote Text Char1 Char Char,Footnote Text Char2 Char Char Char,Footnote Text Char1 Char,Footn,footnote text,Fußnote,Geneva 9,f"/>
    <w:basedOn w:val="Normal"/>
    <w:link w:val="FootnoteTextChar"/>
    <w:uiPriority w:val="99"/>
    <w:unhideWhenUsed/>
    <w:rsid w:val="00CD61BB"/>
    <w:pPr>
      <w:spacing w:after="200" w:line="276" w:lineRule="auto"/>
    </w:pPr>
    <w:rPr>
      <w:rFonts w:ascii="Calibri" w:eastAsia="Calibri" w:hAnsi="Calibri"/>
      <w:sz w:val="20"/>
      <w:szCs w:val="20"/>
      <w:lang w:val="sq-AL"/>
    </w:rPr>
  </w:style>
  <w:style w:type="character" w:customStyle="1" w:styleId="FootnoteTextChar">
    <w:name w:val="Footnote Text Char"/>
    <w:aliases w:val="single space Char,fn Char,FOOTNOTES Char,Fußnotentext Char Char,ADB Char,Footnote text Char,ft Char,Footnote Text Char1 Char1,Footnote Text Char2 Char Char,Footnote Text Char1 Char Char Char,Footnote Text Char2 Char Char Char Char"/>
    <w:basedOn w:val="DefaultParagraphFont"/>
    <w:link w:val="FootnoteText"/>
    <w:uiPriority w:val="99"/>
    <w:rsid w:val="00CD61BB"/>
    <w:rPr>
      <w:rFonts w:ascii="Calibri" w:eastAsia="Calibri" w:hAnsi="Calibri"/>
      <w:lang w:val="sq-AL"/>
    </w:rPr>
  </w:style>
  <w:style w:type="character" w:styleId="FootnoteReference">
    <w:name w:val="footnote reference"/>
    <w:aliases w:val="ftref,BVI fnr,16 Point,Superscript 6 Point,fr,Footnote symbol,Footnote Reference Arial,nota pié di pagina,Footnote reference number,Times 10 Point,Exposant 3 Point,EN Footnote Reference,note TESI,Footnote Reference Char Char Char"/>
    <w:uiPriority w:val="99"/>
    <w:unhideWhenUsed/>
    <w:rsid w:val="00CD61BB"/>
    <w:rPr>
      <w:vertAlign w:val="superscript"/>
    </w:rPr>
  </w:style>
  <w:style w:type="paragraph" w:styleId="Header">
    <w:name w:val="header"/>
    <w:basedOn w:val="Normal"/>
    <w:link w:val="HeaderChar"/>
    <w:uiPriority w:val="99"/>
    <w:rsid w:val="00AC402A"/>
    <w:pPr>
      <w:tabs>
        <w:tab w:val="center" w:pos="4680"/>
        <w:tab w:val="right" w:pos="9360"/>
      </w:tabs>
    </w:pPr>
  </w:style>
  <w:style w:type="character" w:customStyle="1" w:styleId="HeaderChar">
    <w:name w:val="Header Char"/>
    <w:basedOn w:val="DefaultParagraphFont"/>
    <w:link w:val="Header"/>
    <w:uiPriority w:val="99"/>
    <w:rsid w:val="00AC402A"/>
    <w:rPr>
      <w:rFonts w:eastAsia="Times New Roman"/>
      <w:sz w:val="24"/>
      <w:szCs w:val="24"/>
    </w:rPr>
  </w:style>
  <w:style w:type="paragraph" w:styleId="Footer">
    <w:name w:val="footer"/>
    <w:basedOn w:val="Normal"/>
    <w:link w:val="FooterChar"/>
    <w:uiPriority w:val="99"/>
    <w:rsid w:val="00AC402A"/>
    <w:pPr>
      <w:tabs>
        <w:tab w:val="center" w:pos="4680"/>
        <w:tab w:val="right" w:pos="9360"/>
      </w:tabs>
    </w:pPr>
  </w:style>
  <w:style w:type="character" w:customStyle="1" w:styleId="FooterChar">
    <w:name w:val="Footer Char"/>
    <w:basedOn w:val="DefaultParagraphFont"/>
    <w:link w:val="Footer"/>
    <w:uiPriority w:val="99"/>
    <w:rsid w:val="00AC402A"/>
    <w:rPr>
      <w:rFonts w:eastAsia="Times New Roman"/>
      <w:sz w:val="24"/>
      <w:szCs w:val="24"/>
    </w:rPr>
  </w:style>
  <w:style w:type="paragraph" w:styleId="EndnoteText">
    <w:name w:val="endnote text"/>
    <w:basedOn w:val="Normal"/>
    <w:link w:val="EndnoteTextChar"/>
    <w:rsid w:val="00AC402A"/>
    <w:rPr>
      <w:sz w:val="20"/>
      <w:szCs w:val="20"/>
    </w:rPr>
  </w:style>
  <w:style w:type="character" w:customStyle="1" w:styleId="EndnoteTextChar">
    <w:name w:val="Endnote Text Char"/>
    <w:basedOn w:val="DefaultParagraphFont"/>
    <w:link w:val="EndnoteText"/>
    <w:rsid w:val="00AC402A"/>
    <w:rPr>
      <w:rFonts w:eastAsia="Times New Roman"/>
    </w:rPr>
  </w:style>
  <w:style w:type="character" w:styleId="EndnoteReference">
    <w:name w:val="endnote reference"/>
    <w:basedOn w:val="DefaultParagraphFont"/>
    <w:rsid w:val="00AC402A"/>
    <w:rPr>
      <w:vertAlign w:val="superscript"/>
    </w:rPr>
  </w:style>
  <w:style w:type="paragraph" w:styleId="TOCHeading">
    <w:name w:val="TOC Heading"/>
    <w:basedOn w:val="Heading1"/>
    <w:next w:val="Normal"/>
    <w:uiPriority w:val="39"/>
    <w:unhideWhenUsed/>
    <w:qFormat/>
    <w:rsid w:val="00887C97"/>
    <w:pPr>
      <w:spacing w:line="276" w:lineRule="auto"/>
      <w:outlineLvl w:val="9"/>
    </w:pPr>
    <w:rPr>
      <w:rFonts w:asciiTheme="majorHAnsi" w:hAnsiTheme="majorHAnsi"/>
      <w:sz w:val="28"/>
    </w:rPr>
  </w:style>
  <w:style w:type="paragraph" w:styleId="TOC1">
    <w:name w:val="toc 1"/>
    <w:basedOn w:val="Normal"/>
    <w:next w:val="Normal"/>
    <w:autoRedefine/>
    <w:uiPriority w:val="39"/>
    <w:qFormat/>
    <w:rsid w:val="0016694D"/>
    <w:pPr>
      <w:tabs>
        <w:tab w:val="left" w:pos="480"/>
        <w:tab w:val="right" w:leader="dot" w:pos="9450"/>
      </w:tabs>
      <w:spacing w:before="240" w:line="360" w:lineRule="auto"/>
    </w:pPr>
    <w:rPr>
      <w:b/>
      <w:noProof/>
      <w:sz w:val="20"/>
      <w:szCs w:val="20"/>
    </w:rPr>
  </w:style>
  <w:style w:type="paragraph" w:styleId="TOC2">
    <w:name w:val="toc 2"/>
    <w:basedOn w:val="Normal"/>
    <w:next w:val="Normal"/>
    <w:autoRedefine/>
    <w:uiPriority w:val="39"/>
    <w:qFormat/>
    <w:rsid w:val="0016694D"/>
    <w:pPr>
      <w:tabs>
        <w:tab w:val="left" w:pos="880"/>
        <w:tab w:val="right" w:leader="dot" w:pos="9450"/>
      </w:tabs>
      <w:spacing w:after="100"/>
      <w:ind w:left="240" w:right="-360"/>
    </w:pPr>
  </w:style>
  <w:style w:type="paragraph" w:styleId="TOC3">
    <w:name w:val="toc 3"/>
    <w:basedOn w:val="Normal"/>
    <w:next w:val="Normal"/>
    <w:autoRedefine/>
    <w:uiPriority w:val="39"/>
    <w:qFormat/>
    <w:rsid w:val="00887C97"/>
    <w:pPr>
      <w:spacing w:after="100"/>
      <w:ind w:left="480"/>
    </w:pPr>
  </w:style>
  <w:style w:type="character" w:styleId="Hyperlink">
    <w:name w:val="Hyperlink"/>
    <w:basedOn w:val="DefaultParagraphFont"/>
    <w:uiPriority w:val="99"/>
    <w:unhideWhenUsed/>
    <w:rsid w:val="00887C97"/>
    <w:rPr>
      <w:color w:val="0000FF" w:themeColor="hyperlink"/>
      <w:u w:val="single"/>
    </w:rPr>
  </w:style>
  <w:style w:type="paragraph" w:styleId="TOC4">
    <w:name w:val="toc 4"/>
    <w:basedOn w:val="Normal"/>
    <w:next w:val="Normal"/>
    <w:autoRedefine/>
    <w:uiPriority w:val="39"/>
    <w:rsid w:val="00236654"/>
    <w:pPr>
      <w:spacing w:after="100"/>
      <w:ind w:left="720"/>
    </w:pPr>
  </w:style>
  <w:style w:type="paragraph" w:styleId="NormalWeb">
    <w:name w:val="Normal (Web)"/>
    <w:basedOn w:val="Normal"/>
    <w:uiPriority w:val="99"/>
    <w:rsid w:val="000F540A"/>
    <w:pPr>
      <w:spacing w:before="100" w:beforeAutospacing="1" w:after="100" w:afterAutospacing="1"/>
    </w:pPr>
  </w:style>
  <w:style w:type="paragraph" w:styleId="NoSpacing">
    <w:name w:val="No Spacing"/>
    <w:uiPriority w:val="1"/>
    <w:qFormat/>
    <w:rsid w:val="000F540A"/>
    <w:rPr>
      <w:rFonts w:asciiTheme="minorHAnsi" w:hAnsiTheme="minorHAnsi" w:cstheme="minorBidi"/>
      <w:sz w:val="22"/>
      <w:szCs w:val="22"/>
    </w:rPr>
  </w:style>
  <w:style w:type="character" w:customStyle="1" w:styleId="MessageHeaderLabel">
    <w:name w:val="Message Header Label"/>
    <w:uiPriority w:val="99"/>
    <w:rsid w:val="004C12C9"/>
    <w:rPr>
      <w:rFonts w:ascii="Arial Black" w:hAnsi="Arial Black" w:cs="Arial Black"/>
      <w:spacing w:val="-10"/>
      <w:sz w:val="18"/>
      <w:szCs w:val="18"/>
    </w:rPr>
  </w:style>
  <w:style w:type="character" w:customStyle="1" w:styleId="hps">
    <w:name w:val="hps"/>
    <w:basedOn w:val="DefaultParagraphFont"/>
    <w:uiPriority w:val="99"/>
    <w:rsid w:val="00CE3733"/>
  </w:style>
  <w:style w:type="table" w:customStyle="1" w:styleId="TableGridLight1">
    <w:name w:val="Table Grid Light1"/>
    <w:basedOn w:val="TableNormal"/>
    <w:uiPriority w:val="40"/>
    <w:rsid w:val="00CE3733"/>
    <w:rPr>
      <w:rFonts w:asciiTheme="minorHAnsi" w:hAnsiTheme="minorHAnsi" w:cstheme="minorBidi"/>
      <w:sz w:val="22"/>
      <w:szCs w:val="22"/>
    </w:rPr>
    <w:tblPr>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style>
  <w:style w:type="table" w:styleId="TableGrid">
    <w:name w:val="Table Grid"/>
    <w:basedOn w:val="TableNormal"/>
    <w:uiPriority w:val="59"/>
    <w:rsid w:val="00B03E7D"/>
    <w:rPr>
      <w:rFonts w:asciiTheme="minorHAnsi" w:hAnsiTheme="minorHAnsi" w:cstheme="minorBid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
    <w:name w:val="annotation reference"/>
    <w:basedOn w:val="DefaultParagraphFont"/>
    <w:uiPriority w:val="99"/>
    <w:semiHidden/>
    <w:unhideWhenUsed/>
    <w:rsid w:val="005965FC"/>
    <w:rPr>
      <w:sz w:val="16"/>
      <w:szCs w:val="16"/>
    </w:rPr>
  </w:style>
  <w:style w:type="paragraph" w:styleId="CommentText">
    <w:name w:val="annotation text"/>
    <w:basedOn w:val="Normal"/>
    <w:link w:val="CommentTextChar"/>
    <w:uiPriority w:val="99"/>
    <w:semiHidden/>
    <w:unhideWhenUsed/>
    <w:rsid w:val="005965FC"/>
    <w:rPr>
      <w:sz w:val="20"/>
      <w:szCs w:val="20"/>
    </w:rPr>
  </w:style>
  <w:style w:type="character" w:customStyle="1" w:styleId="CommentTextChar">
    <w:name w:val="Comment Text Char"/>
    <w:basedOn w:val="DefaultParagraphFont"/>
    <w:link w:val="CommentText"/>
    <w:uiPriority w:val="99"/>
    <w:semiHidden/>
    <w:rsid w:val="005965FC"/>
    <w:rPr>
      <w:rFonts w:eastAsia="Times New Roman"/>
    </w:rPr>
  </w:style>
  <w:style w:type="character" w:styleId="Strong">
    <w:name w:val="Strong"/>
    <w:basedOn w:val="DefaultParagraphFont"/>
    <w:uiPriority w:val="22"/>
    <w:qFormat/>
    <w:rsid w:val="00F67B4E"/>
    <w:rPr>
      <w:b/>
      <w:bCs/>
    </w:rPr>
  </w:style>
  <w:style w:type="table" w:customStyle="1" w:styleId="GridTable1Light1">
    <w:name w:val="Grid Table 1 Light1"/>
    <w:basedOn w:val="TableNormal"/>
    <w:uiPriority w:val="46"/>
    <w:rsid w:val="00291EF6"/>
    <w:rPr>
      <w:rFonts w:asciiTheme="minorHAnsi" w:hAnsiTheme="minorHAnsi" w:cstheme="minorBidi"/>
      <w:sz w:val="22"/>
      <w:szCs w:val="22"/>
    </w:rPr>
    <w:tblPr>
      <w:tblStyleRowBandSize w:val="1"/>
      <w:tblStyleColBandSize w:val="1"/>
      <w:tblInd w:w="0" w:type="dxa"/>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CellMar>
        <w:top w:w="0" w:type="dxa"/>
        <w:left w:w="108" w:type="dxa"/>
        <w:bottom w:w="0" w:type="dxa"/>
        <w:right w:w="108" w:type="dxa"/>
      </w:tblCellMar>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styleId="Caption">
    <w:name w:val="caption"/>
    <w:basedOn w:val="Normal"/>
    <w:next w:val="Normal"/>
    <w:uiPriority w:val="35"/>
    <w:unhideWhenUsed/>
    <w:qFormat/>
    <w:rsid w:val="004719C1"/>
    <w:pPr>
      <w:spacing w:after="200"/>
    </w:pPr>
    <w:rPr>
      <w:b/>
      <w:bCs/>
      <w:color w:val="4F81BD" w:themeColor="accent1"/>
      <w:sz w:val="18"/>
      <w:szCs w:val="18"/>
    </w:rPr>
  </w:style>
  <w:style w:type="paragraph" w:styleId="TableofFigures">
    <w:name w:val="table of figures"/>
    <w:basedOn w:val="Normal"/>
    <w:next w:val="Normal"/>
    <w:uiPriority w:val="99"/>
    <w:unhideWhenUsed/>
    <w:rsid w:val="00070183"/>
  </w:style>
  <w:style w:type="table" w:customStyle="1" w:styleId="GridTable4-Accent11">
    <w:name w:val="Grid Table 4 - Accent 11"/>
    <w:basedOn w:val="TableNormal"/>
    <w:uiPriority w:val="49"/>
    <w:rsid w:val="00562780"/>
    <w:rPr>
      <w:rFonts w:asciiTheme="minorHAnsi" w:eastAsiaTheme="minorEastAsia" w:hAnsiTheme="minorHAnsi" w:cstheme="minorBidi"/>
      <w:sz w:val="24"/>
      <w:szCs w:val="24"/>
    </w:rPr>
    <w:tblPr>
      <w:tblStyleRowBandSize w:val="1"/>
      <w:tblStyleColBandSize w:val="1"/>
      <w:tblInd w:w="0" w:type="dxa"/>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ListTable4-Accent51">
    <w:name w:val="List Table 4 - Accent 51"/>
    <w:basedOn w:val="TableNormal"/>
    <w:uiPriority w:val="49"/>
    <w:rsid w:val="001720EB"/>
    <w:tblPr>
      <w:tblStyleRowBandSize w:val="1"/>
      <w:tblStyleColBandSize w:val="1"/>
      <w:tblInd w:w="0" w:type="dxa"/>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paragraph" w:customStyle="1" w:styleId="Heading51">
    <w:name w:val="Heading 51"/>
    <w:basedOn w:val="Normal"/>
    <w:next w:val="Normal"/>
    <w:uiPriority w:val="9"/>
    <w:semiHidden/>
    <w:unhideWhenUsed/>
    <w:qFormat/>
    <w:rsid w:val="00527686"/>
    <w:pPr>
      <w:keepNext/>
      <w:keepLines/>
      <w:spacing w:before="40"/>
      <w:ind w:left="3600" w:hanging="360"/>
      <w:outlineLvl w:val="4"/>
    </w:pPr>
    <w:rPr>
      <w:rFonts w:ascii="Calibri" w:eastAsia="MS Gothic" w:hAnsi="Calibri"/>
      <w:color w:val="365F91"/>
    </w:rPr>
  </w:style>
  <w:style w:type="paragraph" w:customStyle="1" w:styleId="Heading61">
    <w:name w:val="Heading 61"/>
    <w:basedOn w:val="Normal"/>
    <w:next w:val="Normal"/>
    <w:uiPriority w:val="9"/>
    <w:semiHidden/>
    <w:unhideWhenUsed/>
    <w:qFormat/>
    <w:rsid w:val="00527686"/>
    <w:pPr>
      <w:keepNext/>
      <w:keepLines/>
      <w:spacing w:before="40"/>
      <w:ind w:left="4320" w:hanging="360"/>
      <w:outlineLvl w:val="5"/>
    </w:pPr>
    <w:rPr>
      <w:rFonts w:ascii="Calibri" w:eastAsia="MS Gothic" w:hAnsi="Calibri"/>
      <w:color w:val="243F60"/>
    </w:rPr>
  </w:style>
  <w:style w:type="paragraph" w:customStyle="1" w:styleId="Heading71">
    <w:name w:val="Heading 71"/>
    <w:basedOn w:val="Normal"/>
    <w:next w:val="Normal"/>
    <w:uiPriority w:val="9"/>
    <w:semiHidden/>
    <w:unhideWhenUsed/>
    <w:qFormat/>
    <w:rsid w:val="00527686"/>
    <w:pPr>
      <w:keepNext/>
      <w:keepLines/>
      <w:spacing w:before="40"/>
      <w:ind w:left="5040" w:hanging="360"/>
      <w:outlineLvl w:val="6"/>
    </w:pPr>
    <w:rPr>
      <w:rFonts w:ascii="Calibri" w:eastAsia="MS Gothic" w:hAnsi="Calibri"/>
      <w:i/>
      <w:iCs/>
      <w:color w:val="243F60"/>
    </w:rPr>
  </w:style>
  <w:style w:type="paragraph" w:customStyle="1" w:styleId="Heading81">
    <w:name w:val="Heading 81"/>
    <w:basedOn w:val="Normal"/>
    <w:next w:val="Normal"/>
    <w:uiPriority w:val="9"/>
    <w:semiHidden/>
    <w:unhideWhenUsed/>
    <w:qFormat/>
    <w:rsid w:val="00527686"/>
    <w:pPr>
      <w:keepNext/>
      <w:keepLines/>
      <w:spacing w:before="40"/>
      <w:ind w:left="5760" w:hanging="360"/>
      <w:outlineLvl w:val="7"/>
    </w:pPr>
    <w:rPr>
      <w:rFonts w:ascii="Calibri" w:eastAsia="MS Gothic" w:hAnsi="Calibri"/>
      <w:color w:val="272727"/>
      <w:sz w:val="21"/>
      <w:szCs w:val="21"/>
    </w:rPr>
  </w:style>
  <w:style w:type="paragraph" w:customStyle="1" w:styleId="Heading91">
    <w:name w:val="Heading 91"/>
    <w:basedOn w:val="Normal"/>
    <w:next w:val="Normal"/>
    <w:uiPriority w:val="9"/>
    <w:semiHidden/>
    <w:unhideWhenUsed/>
    <w:qFormat/>
    <w:rsid w:val="00527686"/>
    <w:pPr>
      <w:keepNext/>
      <w:keepLines/>
      <w:spacing w:before="40"/>
      <w:ind w:left="6480" w:hanging="360"/>
      <w:outlineLvl w:val="8"/>
    </w:pPr>
    <w:rPr>
      <w:rFonts w:ascii="Calibri" w:eastAsia="MS Gothic" w:hAnsi="Calibri"/>
      <w:i/>
      <w:iCs/>
      <w:color w:val="272727"/>
      <w:sz w:val="21"/>
      <w:szCs w:val="21"/>
    </w:rPr>
  </w:style>
  <w:style w:type="numbering" w:customStyle="1" w:styleId="NoList1">
    <w:name w:val="No List1"/>
    <w:next w:val="NoList"/>
    <w:uiPriority w:val="99"/>
    <w:semiHidden/>
    <w:unhideWhenUsed/>
    <w:rsid w:val="00527686"/>
  </w:style>
  <w:style w:type="character" w:customStyle="1" w:styleId="tlid-translation">
    <w:name w:val="tlid-translation"/>
    <w:basedOn w:val="DefaultParagraphFont"/>
    <w:rsid w:val="00527686"/>
  </w:style>
  <w:style w:type="paragraph" w:customStyle="1" w:styleId="Normal1">
    <w:name w:val="Normal1"/>
    <w:basedOn w:val="Normal"/>
    <w:rsid w:val="00527686"/>
    <w:rPr>
      <w:rFonts w:eastAsia="Cambria"/>
    </w:rPr>
  </w:style>
  <w:style w:type="paragraph" w:customStyle="1" w:styleId="Quote1">
    <w:name w:val="Quote1"/>
    <w:basedOn w:val="Normal"/>
    <w:next w:val="Normal"/>
    <w:uiPriority w:val="29"/>
    <w:qFormat/>
    <w:rsid w:val="00527686"/>
    <w:rPr>
      <w:i/>
      <w:iCs/>
      <w:color w:val="000000"/>
    </w:rPr>
  </w:style>
  <w:style w:type="character" w:customStyle="1" w:styleId="QuoteChar">
    <w:name w:val="Quote Char"/>
    <w:basedOn w:val="DefaultParagraphFont"/>
    <w:link w:val="Quote"/>
    <w:uiPriority w:val="29"/>
    <w:rsid w:val="00527686"/>
    <w:rPr>
      <w:rFonts w:ascii="Times New Roman" w:eastAsia="Times New Roman" w:hAnsi="Times New Roman" w:cs="Times New Roman"/>
      <w:i/>
      <w:iCs/>
      <w:color w:val="000000"/>
    </w:rPr>
  </w:style>
  <w:style w:type="character" w:customStyle="1" w:styleId="Heading5Char">
    <w:name w:val="Heading 5 Char"/>
    <w:basedOn w:val="DefaultParagraphFont"/>
    <w:link w:val="Heading5"/>
    <w:uiPriority w:val="9"/>
    <w:semiHidden/>
    <w:rsid w:val="00527686"/>
    <w:rPr>
      <w:rFonts w:ascii="Calibri" w:eastAsia="MS Gothic" w:hAnsi="Calibri" w:cs="Times New Roman"/>
      <w:color w:val="365F91"/>
    </w:rPr>
  </w:style>
  <w:style w:type="character" w:customStyle="1" w:styleId="Heading6Char">
    <w:name w:val="Heading 6 Char"/>
    <w:basedOn w:val="DefaultParagraphFont"/>
    <w:link w:val="Heading6"/>
    <w:uiPriority w:val="9"/>
    <w:semiHidden/>
    <w:rsid w:val="00527686"/>
    <w:rPr>
      <w:rFonts w:ascii="Calibri" w:eastAsia="MS Gothic" w:hAnsi="Calibri" w:cs="Times New Roman"/>
      <w:color w:val="243F60"/>
    </w:rPr>
  </w:style>
  <w:style w:type="character" w:customStyle="1" w:styleId="Heading7Char">
    <w:name w:val="Heading 7 Char"/>
    <w:basedOn w:val="DefaultParagraphFont"/>
    <w:link w:val="Heading7"/>
    <w:uiPriority w:val="9"/>
    <w:semiHidden/>
    <w:rsid w:val="00527686"/>
    <w:rPr>
      <w:rFonts w:ascii="Calibri" w:eastAsia="MS Gothic" w:hAnsi="Calibri" w:cs="Times New Roman"/>
      <w:i/>
      <w:iCs/>
      <w:color w:val="243F60"/>
    </w:rPr>
  </w:style>
  <w:style w:type="character" w:customStyle="1" w:styleId="Heading8Char">
    <w:name w:val="Heading 8 Char"/>
    <w:basedOn w:val="DefaultParagraphFont"/>
    <w:link w:val="Heading8"/>
    <w:uiPriority w:val="9"/>
    <w:semiHidden/>
    <w:rsid w:val="00527686"/>
    <w:rPr>
      <w:rFonts w:ascii="Calibri" w:eastAsia="MS Gothic" w:hAnsi="Calibri" w:cs="Times New Roman"/>
      <w:color w:val="272727"/>
      <w:sz w:val="21"/>
      <w:szCs w:val="21"/>
    </w:rPr>
  </w:style>
  <w:style w:type="character" w:customStyle="1" w:styleId="Heading9Char">
    <w:name w:val="Heading 9 Char"/>
    <w:basedOn w:val="DefaultParagraphFont"/>
    <w:link w:val="Heading9"/>
    <w:uiPriority w:val="9"/>
    <w:semiHidden/>
    <w:rsid w:val="00527686"/>
    <w:rPr>
      <w:rFonts w:ascii="Calibri" w:eastAsia="MS Gothic" w:hAnsi="Calibri" w:cs="Times New Roman"/>
      <w:i/>
      <w:iCs/>
      <w:color w:val="272727"/>
      <w:sz w:val="21"/>
      <w:szCs w:val="21"/>
    </w:rPr>
  </w:style>
  <w:style w:type="table" w:customStyle="1" w:styleId="TableGrid1">
    <w:name w:val="Table Grid1"/>
    <w:basedOn w:val="TableNormal"/>
    <w:next w:val="TableGrid"/>
    <w:uiPriority w:val="59"/>
    <w:rsid w:val="00527686"/>
    <w:rPr>
      <w:rFonts w:ascii="Cambria" w:eastAsia="MS Mincho" w:hAnsi="Cambria"/>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CommentSubject">
    <w:name w:val="annotation subject"/>
    <w:basedOn w:val="CommentText"/>
    <w:next w:val="CommentText"/>
    <w:link w:val="CommentSubjectChar"/>
    <w:uiPriority w:val="99"/>
    <w:semiHidden/>
    <w:unhideWhenUsed/>
    <w:rsid w:val="00527686"/>
    <w:rPr>
      <w:rFonts w:ascii="Cambria" w:eastAsia="MS Mincho" w:hAnsi="Cambria"/>
      <w:b/>
      <w:bCs/>
    </w:rPr>
  </w:style>
  <w:style w:type="character" w:customStyle="1" w:styleId="CommentSubjectChar">
    <w:name w:val="Comment Subject Char"/>
    <w:basedOn w:val="CommentTextChar"/>
    <w:link w:val="CommentSubject"/>
    <w:uiPriority w:val="99"/>
    <w:semiHidden/>
    <w:rsid w:val="00527686"/>
    <w:rPr>
      <w:rFonts w:ascii="Cambria" w:eastAsia="MS Mincho" w:hAnsi="Cambria"/>
      <w:b/>
      <w:bCs/>
    </w:rPr>
  </w:style>
  <w:style w:type="table" w:customStyle="1" w:styleId="GridTable4-Accent111">
    <w:name w:val="Grid Table 4 - Accent 111"/>
    <w:basedOn w:val="TableNormal"/>
    <w:uiPriority w:val="49"/>
    <w:rsid w:val="00527686"/>
    <w:rPr>
      <w:rFonts w:ascii="Cambria" w:eastAsia="MS Mincho" w:hAnsi="Cambria"/>
      <w:sz w:val="24"/>
      <w:szCs w:val="24"/>
    </w:rPr>
    <w:tblPr>
      <w:tblStyleRowBandSize w:val="1"/>
      <w:tblStyleColBandSize w:val="1"/>
      <w:tblInd w:w="0" w:type="dxa"/>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CellMar>
        <w:top w:w="0" w:type="dxa"/>
        <w:left w:w="108" w:type="dxa"/>
        <w:bottom w:w="0" w:type="dxa"/>
        <w:right w:w="108" w:type="dxa"/>
      </w:tblCellMar>
    </w:tblPr>
    <w:tblStylePr w:type="firstRow">
      <w:rPr>
        <w:b/>
        <w:bCs/>
        <w:color w:val="FFFFFF"/>
      </w:rPr>
      <w:tblPr/>
      <w:tcPr>
        <w:tcBorders>
          <w:top w:val="single" w:sz="4" w:space="0" w:color="4F81BD"/>
          <w:left w:val="single" w:sz="4" w:space="0" w:color="4F81BD"/>
          <w:bottom w:val="single" w:sz="4" w:space="0" w:color="4F81BD"/>
          <w:right w:val="single" w:sz="4" w:space="0" w:color="4F81BD"/>
          <w:insideH w:val="nil"/>
          <w:insideV w:val="nil"/>
        </w:tcBorders>
        <w:shd w:val="clear" w:color="auto" w:fill="4F81BD"/>
      </w:tcPr>
    </w:tblStylePr>
    <w:tblStylePr w:type="lastRow">
      <w:rPr>
        <w:b/>
        <w:bCs/>
      </w:rPr>
      <w:tblPr/>
      <w:tcPr>
        <w:tcBorders>
          <w:top w:val="double" w:sz="4" w:space="0" w:color="4F81BD"/>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table" w:customStyle="1" w:styleId="ListTable3-Accent51">
    <w:name w:val="List Table 3 - Accent 51"/>
    <w:basedOn w:val="TableNormal"/>
    <w:next w:val="ListTable3-Accent52"/>
    <w:uiPriority w:val="48"/>
    <w:rsid w:val="00527686"/>
    <w:tblPr>
      <w:tblStyleRowBandSize w:val="1"/>
      <w:tblStyleColBandSize w:val="1"/>
      <w:tblInd w:w="0" w:type="dxa"/>
      <w:tblBorders>
        <w:top w:val="single" w:sz="4" w:space="0" w:color="4BACC6"/>
        <w:left w:val="single" w:sz="4" w:space="0" w:color="4BACC6"/>
        <w:bottom w:val="single" w:sz="4" w:space="0" w:color="4BACC6"/>
        <w:right w:val="single" w:sz="4" w:space="0" w:color="4BACC6"/>
      </w:tblBorders>
      <w:tblCellMar>
        <w:top w:w="0" w:type="dxa"/>
        <w:left w:w="108" w:type="dxa"/>
        <w:bottom w:w="0" w:type="dxa"/>
        <w:right w:w="108" w:type="dxa"/>
      </w:tblCellMar>
    </w:tblPr>
    <w:tblStylePr w:type="firstRow">
      <w:rPr>
        <w:b/>
        <w:bCs/>
        <w:color w:val="FFFFFF"/>
      </w:rPr>
      <w:tblPr/>
      <w:tcPr>
        <w:shd w:val="clear" w:color="auto" w:fill="4BACC6"/>
      </w:tcPr>
    </w:tblStylePr>
    <w:tblStylePr w:type="lastRow">
      <w:rPr>
        <w:b/>
        <w:bCs/>
      </w:rPr>
      <w:tblPr/>
      <w:tcPr>
        <w:tcBorders>
          <w:top w:val="double" w:sz="4" w:space="0" w:color="4BACC6"/>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4BACC6"/>
          <w:right w:val="single" w:sz="4" w:space="0" w:color="4BACC6"/>
        </w:tcBorders>
      </w:tcPr>
    </w:tblStylePr>
    <w:tblStylePr w:type="band1Horz">
      <w:tblPr/>
      <w:tcPr>
        <w:tcBorders>
          <w:top w:val="single" w:sz="4" w:space="0" w:color="4BACC6"/>
          <w:bottom w:val="single" w:sz="4" w:space="0" w:color="4BACC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left w:val="nil"/>
        </w:tcBorders>
      </w:tcPr>
    </w:tblStylePr>
    <w:tblStylePr w:type="swCell">
      <w:tblPr/>
      <w:tcPr>
        <w:tcBorders>
          <w:top w:val="double" w:sz="4" w:space="0" w:color="4BACC6"/>
          <w:right w:val="nil"/>
        </w:tcBorders>
      </w:tcPr>
    </w:tblStylePr>
  </w:style>
  <w:style w:type="table" w:customStyle="1" w:styleId="ListTable3-Accent52">
    <w:name w:val="List Table 3 - Accent 52"/>
    <w:basedOn w:val="TableNormal"/>
    <w:uiPriority w:val="48"/>
    <w:rsid w:val="00527686"/>
    <w:rPr>
      <w:rFonts w:ascii="Cambria" w:eastAsia="MS Mincho" w:hAnsi="Cambria"/>
      <w:sz w:val="24"/>
      <w:szCs w:val="24"/>
    </w:rPr>
    <w:tblPr>
      <w:tblStyleRowBandSize w:val="1"/>
      <w:tblStyleColBandSize w:val="1"/>
      <w:tblInd w:w="0" w:type="dxa"/>
      <w:tblBorders>
        <w:top w:val="single" w:sz="4" w:space="0" w:color="4BACC6"/>
        <w:left w:val="single" w:sz="4" w:space="0" w:color="4BACC6"/>
        <w:bottom w:val="single" w:sz="4" w:space="0" w:color="4BACC6"/>
        <w:right w:val="single" w:sz="4" w:space="0" w:color="4BACC6"/>
      </w:tblBorders>
      <w:tblCellMar>
        <w:top w:w="0" w:type="dxa"/>
        <w:left w:w="108" w:type="dxa"/>
        <w:bottom w:w="0" w:type="dxa"/>
        <w:right w:w="108" w:type="dxa"/>
      </w:tblCellMar>
    </w:tblPr>
    <w:tblStylePr w:type="firstRow">
      <w:rPr>
        <w:b/>
        <w:bCs/>
        <w:color w:val="FFFFFF"/>
      </w:rPr>
      <w:tblPr/>
      <w:tcPr>
        <w:shd w:val="clear" w:color="auto" w:fill="4BACC6"/>
      </w:tcPr>
    </w:tblStylePr>
    <w:tblStylePr w:type="lastRow">
      <w:rPr>
        <w:b/>
        <w:bCs/>
      </w:rPr>
      <w:tblPr/>
      <w:tcPr>
        <w:tcBorders>
          <w:top w:val="double" w:sz="4" w:space="0" w:color="4BACC6"/>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4BACC6"/>
          <w:right w:val="single" w:sz="4" w:space="0" w:color="4BACC6"/>
        </w:tcBorders>
      </w:tcPr>
    </w:tblStylePr>
    <w:tblStylePr w:type="band1Horz">
      <w:tblPr/>
      <w:tcPr>
        <w:tcBorders>
          <w:top w:val="single" w:sz="4" w:space="0" w:color="4BACC6"/>
          <w:bottom w:val="single" w:sz="4" w:space="0" w:color="4BACC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left w:val="nil"/>
        </w:tcBorders>
      </w:tcPr>
    </w:tblStylePr>
    <w:tblStylePr w:type="swCell">
      <w:tblPr/>
      <w:tcPr>
        <w:tcBorders>
          <w:top w:val="double" w:sz="4" w:space="0" w:color="4BACC6"/>
          <w:right w:val="nil"/>
        </w:tcBorders>
      </w:tcPr>
    </w:tblStylePr>
  </w:style>
  <w:style w:type="table" w:customStyle="1" w:styleId="TableGridLight11">
    <w:name w:val="Table Grid Light11"/>
    <w:basedOn w:val="TableNormal"/>
    <w:uiPriority w:val="40"/>
    <w:rsid w:val="00527686"/>
    <w:rPr>
      <w:rFonts w:ascii="Cambria" w:hAnsi="Cambria"/>
      <w:sz w:val="22"/>
      <w:szCs w:val="22"/>
    </w:rPr>
    <w:tblPr>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style>
  <w:style w:type="paragraph" w:customStyle="1" w:styleId="Title1">
    <w:name w:val="Title1"/>
    <w:basedOn w:val="Normal"/>
    <w:next w:val="Normal"/>
    <w:uiPriority w:val="10"/>
    <w:qFormat/>
    <w:rsid w:val="00527686"/>
    <w:pPr>
      <w:pBdr>
        <w:top w:val="nil"/>
        <w:left w:val="nil"/>
        <w:bottom w:val="single" w:sz="8" w:space="4" w:color="4F81BD"/>
        <w:right w:val="nil"/>
        <w:between w:val="nil"/>
        <w:bar w:val="nil"/>
      </w:pBdr>
      <w:spacing w:after="300"/>
      <w:contextualSpacing/>
    </w:pPr>
    <w:rPr>
      <w:rFonts w:ascii="Calibri" w:eastAsia="MS Gothic" w:hAnsi="Calibri"/>
      <w:color w:val="17365D"/>
      <w:spacing w:val="5"/>
      <w:kern w:val="28"/>
      <w:sz w:val="52"/>
      <w:szCs w:val="52"/>
      <w:bdr w:val="nil"/>
      <w:lang w:val="hr-HR"/>
    </w:rPr>
  </w:style>
  <w:style w:type="character" w:customStyle="1" w:styleId="TitleChar">
    <w:name w:val="Title Char"/>
    <w:basedOn w:val="DefaultParagraphFont"/>
    <w:link w:val="Title"/>
    <w:uiPriority w:val="10"/>
    <w:rsid w:val="00527686"/>
    <w:rPr>
      <w:rFonts w:ascii="Calibri" w:eastAsia="MS Gothic" w:hAnsi="Calibri" w:cs="Times New Roman"/>
      <w:color w:val="17365D"/>
      <w:spacing w:val="5"/>
      <w:kern w:val="28"/>
      <w:sz w:val="52"/>
      <w:szCs w:val="52"/>
      <w:bdr w:val="nil"/>
      <w:lang w:val="hr-HR"/>
    </w:rPr>
  </w:style>
  <w:style w:type="table" w:customStyle="1" w:styleId="PlainTable11">
    <w:name w:val="Plain Table 11"/>
    <w:basedOn w:val="TableNormal"/>
    <w:uiPriority w:val="41"/>
    <w:rsid w:val="00527686"/>
    <w:tblPr>
      <w:tblStyleRowBandSize w:val="1"/>
      <w:tblStyleColBandSize w:val="1"/>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paragraph" w:styleId="Revision">
    <w:name w:val="Revision"/>
    <w:hidden/>
    <w:uiPriority w:val="99"/>
    <w:semiHidden/>
    <w:rsid w:val="00527686"/>
    <w:rPr>
      <w:rFonts w:eastAsia="Times New Roman"/>
      <w:sz w:val="24"/>
      <w:szCs w:val="24"/>
    </w:rPr>
  </w:style>
  <w:style w:type="table" w:customStyle="1" w:styleId="ListTable3-Accent11">
    <w:name w:val="List Table 3 - Accent 11"/>
    <w:basedOn w:val="TableNormal"/>
    <w:uiPriority w:val="48"/>
    <w:rsid w:val="00527686"/>
    <w:rPr>
      <w:rFonts w:ascii="Cambria" w:eastAsia="MS Mincho" w:hAnsi="Cambria"/>
      <w:sz w:val="24"/>
      <w:szCs w:val="24"/>
    </w:rPr>
    <w:tblPr>
      <w:tblStyleRowBandSize w:val="1"/>
      <w:tblStyleColBandSize w:val="1"/>
      <w:tblInd w:w="0" w:type="dxa"/>
      <w:tblBorders>
        <w:top w:val="single" w:sz="4" w:space="0" w:color="4F81BD"/>
        <w:left w:val="single" w:sz="4" w:space="0" w:color="4F81BD"/>
        <w:bottom w:val="single" w:sz="4" w:space="0" w:color="4F81BD"/>
        <w:right w:val="single" w:sz="4" w:space="0" w:color="4F81BD"/>
      </w:tblBorders>
      <w:tblCellMar>
        <w:top w:w="0" w:type="dxa"/>
        <w:left w:w="108" w:type="dxa"/>
        <w:bottom w:w="0" w:type="dxa"/>
        <w:right w:w="108" w:type="dxa"/>
      </w:tblCellMar>
    </w:tblPr>
    <w:tblStylePr w:type="firstRow">
      <w:rPr>
        <w:b/>
        <w:bCs/>
        <w:color w:val="FFFFFF"/>
      </w:rPr>
      <w:tblPr/>
      <w:tcPr>
        <w:shd w:val="clear" w:color="auto" w:fill="4F81BD"/>
      </w:tcPr>
    </w:tblStylePr>
    <w:tblStylePr w:type="lastRow">
      <w:rPr>
        <w:b/>
        <w:bCs/>
      </w:rPr>
      <w:tblPr/>
      <w:tcPr>
        <w:tcBorders>
          <w:top w:val="double" w:sz="4" w:space="0" w:color="4F81BD"/>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4F81BD"/>
          <w:right w:val="single" w:sz="4" w:space="0" w:color="4F81BD"/>
        </w:tcBorders>
      </w:tcPr>
    </w:tblStylePr>
    <w:tblStylePr w:type="band1Horz">
      <w:tblPr/>
      <w:tcPr>
        <w:tcBorders>
          <w:top w:val="single" w:sz="4" w:space="0" w:color="4F81BD"/>
          <w:bottom w:val="single" w:sz="4" w:space="0" w:color="4F81BD"/>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left w:val="nil"/>
        </w:tcBorders>
      </w:tcPr>
    </w:tblStylePr>
    <w:tblStylePr w:type="swCell">
      <w:tblPr/>
      <w:tcPr>
        <w:tcBorders>
          <w:top w:val="double" w:sz="4" w:space="0" w:color="4F81BD"/>
          <w:right w:val="nil"/>
        </w:tcBorders>
      </w:tcPr>
    </w:tblStylePr>
  </w:style>
  <w:style w:type="table" w:customStyle="1" w:styleId="GridTable5Dark-Accent11">
    <w:name w:val="Grid Table 5 Dark - Accent 11"/>
    <w:basedOn w:val="TableNormal"/>
    <w:uiPriority w:val="50"/>
    <w:rsid w:val="00527686"/>
    <w:rPr>
      <w:rFonts w:ascii="Cambria" w:eastAsia="MS Mincho" w:hAnsi="Cambria"/>
      <w:sz w:val="24"/>
      <w:szCs w:val="24"/>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DBE5F1"/>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F81BD"/>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F81BD"/>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F81BD"/>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F81BD"/>
      </w:tcPr>
    </w:tblStylePr>
    <w:tblStylePr w:type="band1Vert">
      <w:tblPr/>
      <w:tcPr>
        <w:shd w:val="clear" w:color="auto" w:fill="B8CCE4"/>
      </w:tcPr>
    </w:tblStylePr>
    <w:tblStylePr w:type="band1Horz">
      <w:tblPr/>
      <w:tcPr>
        <w:shd w:val="clear" w:color="auto" w:fill="B8CCE4"/>
      </w:tcPr>
    </w:tblStylePr>
  </w:style>
  <w:style w:type="table" w:customStyle="1" w:styleId="GridTable1Light-Accent11">
    <w:name w:val="Grid Table 1 Light - Accent 11"/>
    <w:basedOn w:val="TableNormal"/>
    <w:uiPriority w:val="46"/>
    <w:rsid w:val="00527686"/>
    <w:rPr>
      <w:rFonts w:ascii="Cambria" w:eastAsia="MS Mincho" w:hAnsi="Cambria"/>
      <w:sz w:val="24"/>
      <w:szCs w:val="24"/>
    </w:rPr>
    <w:tblPr>
      <w:tblStyleRowBandSize w:val="1"/>
      <w:tblStyleColBandSize w:val="1"/>
      <w:tblInd w:w="0" w:type="dxa"/>
      <w:tblBorders>
        <w:top w:val="single" w:sz="4" w:space="0" w:color="B8CCE4"/>
        <w:left w:val="single" w:sz="4" w:space="0" w:color="B8CCE4"/>
        <w:bottom w:val="single" w:sz="4" w:space="0" w:color="B8CCE4"/>
        <w:right w:val="single" w:sz="4" w:space="0" w:color="B8CCE4"/>
        <w:insideH w:val="single" w:sz="4" w:space="0" w:color="B8CCE4"/>
        <w:insideV w:val="single" w:sz="4" w:space="0" w:color="B8CCE4"/>
      </w:tblBorders>
      <w:tblCellMar>
        <w:top w:w="0" w:type="dxa"/>
        <w:left w:w="108" w:type="dxa"/>
        <w:bottom w:w="0" w:type="dxa"/>
        <w:right w:w="108" w:type="dxa"/>
      </w:tblCellMar>
    </w:tblPr>
    <w:tblStylePr w:type="firstRow">
      <w:rPr>
        <w:b/>
        <w:bCs/>
      </w:rPr>
      <w:tblPr/>
      <w:tcPr>
        <w:tcBorders>
          <w:bottom w:val="single" w:sz="12" w:space="0" w:color="95B3D7"/>
        </w:tcBorders>
      </w:tcPr>
    </w:tblStylePr>
    <w:tblStylePr w:type="lastRow">
      <w:rPr>
        <w:b/>
        <w:bCs/>
      </w:rPr>
      <w:tblPr/>
      <w:tcPr>
        <w:tcBorders>
          <w:top w:val="double" w:sz="2" w:space="0" w:color="95B3D7"/>
        </w:tcBorders>
      </w:tcPr>
    </w:tblStylePr>
    <w:tblStylePr w:type="firstCol">
      <w:rPr>
        <w:b/>
        <w:bCs/>
      </w:rPr>
    </w:tblStylePr>
    <w:tblStylePr w:type="lastCol">
      <w:rPr>
        <w:b/>
        <w:bCs/>
      </w:rPr>
    </w:tblStylePr>
  </w:style>
  <w:style w:type="table" w:customStyle="1" w:styleId="GridTable4-Accent51">
    <w:name w:val="Grid Table 4 - Accent 51"/>
    <w:basedOn w:val="TableNormal"/>
    <w:uiPriority w:val="49"/>
    <w:rsid w:val="00527686"/>
    <w:rPr>
      <w:rFonts w:ascii="Cambria" w:eastAsia="MS Mincho" w:hAnsi="Cambria"/>
      <w:sz w:val="24"/>
      <w:szCs w:val="24"/>
    </w:rPr>
    <w:tblPr>
      <w:tblStyleRowBandSize w:val="1"/>
      <w:tblStyleColBandSize w:val="1"/>
      <w:tblInd w:w="0" w:type="dxa"/>
      <w:tblBorders>
        <w:top w:val="single" w:sz="4" w:space="0" w:color="92CDDC"/>
        <w:left w:val="single" w:sz="4" w:space="0" w:color="92CDDC"/>
        <w:bottom w:val="single" w:sz="4" w:space="0" w:color="92CDDC"/>
        <w:right w:val="single" w:sz="4" w:space="0" w:color="92CDDC"/>
        <w:insideH w:val="single" w:sz="4" w:space="0" w:color="92CDDC"/>
        <w:insideV w:val="single" w:sz="4" w:space="0" w:color="92CDDC"/>
      </w:tblBorders>
      <w:tblCellMar>
        <w:top w:w="0" w:type="dxa"/>
        <w:left w:w="108" w:type="dxa"/>
        <w:bottom w:w="0" w:type="dxa"/>
        <w:right w:w="108" w:type="dxa"/>
      </w:tblCellMar>
    </w:tblPr>
    <w:tblStylePr w:type="firstRow">
      <w:rPr>
        <w:b/>
        <w:bCs/>
        <w:color w:val="FFFFFF"/>
      </w:rPr>
      <w:tblPr/>
      <w:tcPr>
        <w:tcBorders>
          <w:top w:val="single" w:sz="4" w:space="0" w:color="4BACC6"/>
          <w:left w:val="single" w:sz="4" w:space="0" w:color="4BACC6"/>
          <w:bottom w:val="single" w:sz="4" w:space="0" w:color="4BACC6"/>
          <w:right w:val="single" w:sz="4" w:space="0" w:color="4BACC6"/>
          <w:insideH w:val="nil"/>
          <w:insideV w:val="nil"/>
        </w:tcBorders>
        <w:shd w:val="clear" w:color="auto" w:fill="4BACC6"/>
      </w:tcPr>
    </w:tblStylePr>
    <w:tblStylePr w:type="lastRow">
      <w:rPr>
        <w:b/>
        <w:bCs/>
      </w:rPr>
      <w:tblPr/>
      <w:tcPr>
        <w:tcBorders>
          <w:top w:val="double" w:sz="4" w:space="0" w:color="4BACC6"/>
        </w:tcBorders>
      </w:tcPr>
    </w:tblStylePr>
    <w:tblStylePr w:type="firstCol">
      <w:rPr>
        <w:b/>
        <w:bCs/>
      </w:rPr>
    </w:tblStylePr>
    <w:tblStylePr w:type="lastCol">
      <w:rPr>
        <w:b/>
        <w:bCs/>
      </w:rPr>
    </w:tblStylePr>
    <w:tblStylePr w:type="band1Vert">
      <w:tblPr/>
      <w:tcPr>
        <w:shd w:val="clear" w:color="auto" w:fill="DAEEF3"/>
      </w:tcPr>
    </w:tblStylePr>
    <w:tblStylePr w:type="band1Horz">
      <w:tblPr/>
      <w:tcPr>
        <w:shd w:val="clear" w:color="auto" w:fill="DAEEF3"/>
      </w:tcPr>
    </w:tblStylePr>
  </w:style>
  <w:style w:type="character" w:customStyle="1" w:styleId="Heading4Char1">
    <w:name w:val="Heading 4 Char1"/>
    <w:basedOn w:val="DefaultParagraphFont"/>
    <w:uiPriority w:val="9"/>
    <w:semiHidden/>
    <w:rsid w:val="00527686"/>
    <w:rPr>
      <w:rFonts w:ascii="Calibri" w:eastAsia="MS Gothic" w:hAnsi="Calibri" w:cs="Times New Roman"/>
      <w:i/>
      <w:iCs/>
      <w:color w:val="365F91"/>
    </w:rPr>
  </w:style>
  <w:style w:type="table" w:customStyle="1" w:styleId="TableGridLight111">
    <w:name w:val="Table Grid Light111"/>
    <w:basedOn w:val="TableNormal"/>
    <w:next w:val="TableNormal"/>
    <w:uiPriority w:val="40"/>
    <w:rsid w:val="00527686"/>
    <w:rPr>
      <w:rFonts w:ascii="Cambria" w:hAnsi="Cambria"/>
      <w:sz w:val="22"/>
      <w:szCs w:val="22"/>
    </w:rPr>
    <w:tblPr>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style>
  <w:style w:type="table" w:customStyle="1" w:styleId="TableGridLight12">
    <w:name w:val="Table Grid Light12"/>
    <w:basedOn w:val="TableNormal"/>
    <w:next w:val="TableNormal"/>
    <w:uiPriority w:val="40"/>
    <w:rsid w:val="00527686"/>
    <w:rPr>
      <w:rFonts w:ascii="Cambria" w:hAnsi="Cambria"/>
      <w:sz w:val="22"/>
      <w:szCs w:val="22"/>
    </w:rPr>
    <w:tblPr>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style>
  <w:style w:type="table" w:customStyle="1" w:styleId="TableGridLight13">
    <w:name w:val="Table Grid Light13"/>
    <w:basedOn w:val="TableNormal"/>
    <w:next w:val="TableNormal"/>
    <w:uiPriority w:val="40"/>
    <w:rsid w:val="00527686"/>
    <w:rPr>
      <w:rFonts w:ascii="Cambria" w:hAnsi="Cambria"/>
      <w:sz w:val="22"/>
      <w:szCs w:val="22"/>
    </w:rPr>
    <w:tblPr>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style>
  <w:style w:type="table" w:customStyle="1" w:styleId="TableGridLight14">
    <w:name w:val="Table Grid Light14"/>
    <w:basedOn w:val="TableNormal"/>
    <w:next w:val="TableNormal"/>
    <w:uiPriority w:val="40"/>
    <w:rsid w:val="00527686"/>
    <w:rPr>
      <w:rFonts w:ascii="Cambria" w:hAnsi="Cambria"/>
      <w:sz w:val="22"/>
      <w:szCs w:val="22"/>
    </w:rPr>
    <w:tblPr>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style>
  <w:style w:type="table" w:customStyle="1" w:styleId="TableGridLight15">
    <w:name w:val="Table Grid Light15"/>
    <w:basedOn w:val="TableNormal"/>
    <w:next w:val="TableNormal"/>
    <w:uiPriority w:val="40"/>
    <w:rsid w:val="00527686"/>
    <w:rPr>
      <w:rFonts w:ascii="Cambria" w:hAnsi="Cambria"/>
      <w:sz w:val="22"/>
      <w:szCs w:val="22"/>
    </w:rPr>
    <w:tblPr>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style>
  <w:style w:type="paragraph" w:styleId="Quote">
    <w:name w:val="Quote"/>
    <w:basedOn w:val="Normal"/>
    <w:next w:val="Normal"/>
    <w:link w:val="QuoteChar"/>
    <w:uiPriority w:val="29"/>
    <w:qFormat/>
    <w:rsid w:val="00527686"/>
    <w:pPr>
      <w:spacing w:before="200" w:after="160"/>
      <w:ind w:left="864" w:right="864"/>
      <w:jc w:val="center"/>
    </w:pPr>
    <w:rPr>
      <w:i/>
      <w:iCs/>
      <w:color w:val="000000"/>
      <w:sz w:val="20"/>
      <w:szCs w:val="20"/>
    </w:rPr>
  </w:style>
  <w:style w:type="character" w:customStyle="1" w:styleId="QuoteChar1">
    <w:name w:val="Quote Char1"/>
    <w:basedOn w:val="DefaultParagraphFont"/>
    <w:uiPriority w:val="29"/>
    <w:rsid w:val="00527686"/>
    <w:rPr>
      <w:rFonts w:eastAsia="Times New Roman"/>
      <w:i/>
      <w:iCs/>
      <w:color w:val="404040" w:themeColor="text1" w:themeTint="BF"/>
      <w:sz w:val="24"/>
      <w:szCs w:val="24"/>
    </w:rPr>
  </w:style>
  <w:style w:type="character" w:customStyle="1" w:styleId="Heading5Char1">
    <w:name w:val="Heading 5 Char1"/>
    <w:basedOn w:val="DefaultParagraphFont"/>
    <w:semiHidden/>
    <w:rsid w:val="00527686"/>
    <w:rPr>
      <w:rFonts w:asciiTheme="majorHAnsi" w:eastAsiaTheme="majorEastAsia" w:hAnsiTheme="majorHAnsi" w:cstheme="majorBidi"/>
      <w:color w:val="365F91" w:themeColor="accent1" w:themeShade="BF"/>
      <w:sz w:val="24"/>
      <w:szCs w:val="24"/>
    </w:rPr>
  </w:style>
  <w:style w:type="character" w:customStyle="1" w:styleId="Heading6Char1">
    <w:name w:val="Heading 6 Char1"/>
    <w:basedOn w:val="DefaultParagraphFont"/>
    <w:semiHidden/>
    <w:rsid w:val="00527686"/>
    <w:rPr>
      <w:rFonts w:asciiTheme="majorHAnsi" w:eastAsiaTheme="majorEastAsia" w:hAnsiTheme="majorHAnsi" w:cstheme="majorBidi"/>
      <w:color w:val="243F60" w:themeColor="accent1" w:themeShade="7F"/>
      <w:sz w:val="24"/>
      <w:szCs w:val="24"/>
    </w:rPr>
  </w:style>
  <w:style w:type="character" w:customStyle="1" w:styleId="Heading7Char1">
    <w:name w:val="Heading 7 Char1"/>
    <w:basedOn w:val="DefaultParagraphFont"/>
    <w:semiHidden/>
    <w:rsid w:val="00527686"/>
    <w:rPr>
      <w:rFonts w:asciiTheme="majorHAnsi" w:eastAsiaTheme="majorEastAsia" w:hAnsiTheme="majorHAnsi" w:cstheme="majorBidi"/>
      <w:i/>
      <w:iCs/>
      <w:color w:val="243F60" w:themeColor="accent1" w:themeShade="7F"/>
      <w:sz w:val="24"/>
      <w:szCs w:val="24"/>
    </w:rPr>
  </w:style>
  <w:style w:type="character" w:customStyle="1" w:styleId="Heading8Char1">
    <w:name w:val="Heading 8 Char1"/>
    <w:basedOn w:val="DefaultParagraphFont"/>
    <w:semiHidden/>
    <w:rsid w:val="00527686"/>
    <w:rPr>
      <w:rFonts w:asciiTheme="majorHAnsi" w:eastAsiaTheme="majorEastAsia" w:hAnsiTheme="majorHAnsi" w:cstheme="majorBidi"/>
      <w:color w:val="272727" w:themeColor="text1" w:themeTint="D8"/>
      <w:sz w:val="21"/>
      <w:szCs w:val="21"/>
    </w:rPr>
  </w:style>
  <w:style w:type="character" w:customStyle="1" w:styleId="Heading9Char1">
    <w:name w:val="Heading 9 Char1"/>
    <w:basedOn w:val="DefaultParagraphFont"/>
    <w:semiHidden/>
    <w:rsid w:val="00527686"/>
    <w:rPr>
      <w:rFonts w:asciiTheme="majorHAnsi" w:eastAsiaTheme="majorEastAsia" w:hAnsiTheme="majorHAnsi" w:cstheme="majorBidi"/>
      <w:i/>
      <w:iCs/>
      <w:color w:val="272727" w:themeColor="text1" w:themeTint="D8"/>
      <w:sz w:val="21"/>
      <w:szCs w:val="21"/>
    </w:rPr>
  </w:style>
  <w:style w:type="paragraph" w:styleId="Title">
    <w:name w:val="Title"/>
    <w:basedOn w:val="Normal"/>
    <w:next w:val="Normal"/>
    <w:link w:val="TitleChar"/>
    <w:uiPriority w:val="10"/>
    <w:qFormat/>
    <w:rsid w:val="00527686"/>
    <w:pPr>
      <w:contextualSpacing/>
    </w:pPr>
    <w:rPr>
      <w:rFonts w:ascii="Calibri" w:eastAsia="MS Gothic" w:hAnsi="Calibri"/>
      <w:color w:val="17365D"/>
      <w:spacing w:val="5"/>
      <w:kern w:val="28"/>
      <w:sz w:val="52"/>
      <w:szCs w:val="52"/>
      <w:bdr w:val="nil"/>
      <w:lang w:val="hr-HR"/>
    </w:rPr>
  </w:style>
  <w:style w:type="character" w:customStyle="1" w:styleId="TitleChar1">
    <w:name w:val="Title Char1"/>
    <w:basedOn w:val="DefaultParagraphFont"/>
    <w:rsid w:val="00527686"/>
    <w:rPr>
      <w:rFonts w:asciiTheme="majorHAnsi" w:eastAsiaTheme="majorEastAsia" w:hAnsiTheme="majorHAnsi" w:cstheme="majorBidi"/>
      <w:spacing w:val="-10"/>
      <w:kern w:val="28"/>
      <w:sz w:val="56"/>
      <w:szCs w:val="56"/>
    </w:rPr>
  </w:style>
  <w:style w:type="table" w:customStyle="1" w:styleId="GridTable1Light-Accent51">
    <w:name w:val="Grid Table 1 Light - Accent 51"/>
    <w:basedOn w:val="TableNormal"/>
    <w:uiPriority w:val="46"/>
    <w:rsid w:val="00527686"/>
    <w:tblPr>
      <w:tblStyleRowBandSize w:val="1"/>
      <w:tblStyleColBandSize w:val="1"/>
      <w:tblInd w:w="0" w:type="dxa"/>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CellMar>
        <w:top w:w="0" w:type="dxa"/>
        <w:left w:w="108" w:type="dxa"/>
        <w:bottom w:w="0" w:type="dxa"/>
        <w:right w:w="108" w:type="dxa"/>
      </w:tblCellMar>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customStyle="1" w:styleId="GridTable1Light-Accent12">
    <w:name w:val="Grid Table 1 Light - Accent 12"/>
    <w:basedOn w:val="TableNormal"/>
    <w:uiPriority w:val="46"/>
    <w:rsid w:val="00DB4505"/>
    <w:rPr>
      <w:rFonts w:eastAsia="MS Mincho"/>
    </w:rPr>
    <w:tblPr>
      <w:tblStyleRowBandSize w:val="1"/>
      <w:tblStyleColBandSize w:val="1"/>
      <w:tblInd w:w="0" w:type="dxa"/>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CellMar>
        <w:top w:w="0" w:type="dxa"/>
        <w:left w:w="108" w:type="dxa"/>
        <w:bottom w:w="0" w:type="dxa"/>
        <w:right w:w="108" w:type="dxa"/>
      </w:tblCellMar>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customStyle="1" w:styleId="GridTable7Colorful-Accent11">
    <w:name w:val="Grid Table 7 Colorful - Accent 11"/>
    <w:basedOn w:val="TableNormal"/>
    <w:uiPriority w:val="52"/>
    <w:rsid w:val="006D7EC7"/>
    <w:rPr>
      <w:rFonts w:eastAsia="MS Mincho"/>
      <w:color w:val="365F91" w:themeColor="accent1" w:themeShade="BF"/>
    </w:rPr>
    <w:tblPr>
      <w:tblStyleRowBandSize w:val="1"/>
      <w:tblStyleColBandSize w:val="1"/>
      <w:tblInd w:w="0" w:type="dxa"/>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customStyle="1" w:styleId="GridTable4-Accent52">
    <w:name w:val="Grid Table 4 - Accent 52"/>
    <w:basedOn w:val="TableNormal"/>
    <w:uiPriority w:val="49"/>
    <w:rsid w:val="006D7EC7"/>
    <w:tblPr>
      <w:tblStyleRowBandSize w:val="1"/>
      <w:tblStyleColBandSize w:val="1"/>
      <w:tblInd w:w="0" w:type="dxa"/>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customStyle="1" w:styleId="GridTable1Light2">
    <w:name w:val="Grid Table 1 Light2"/>
    <w:basedOn w:val="TableNormal"/>
    <w:uiPriority w:val="46"/>
    <w:rsid w:val="00B13AAA"/>
    <w:rPr>
      <w:rFonts w:asciiTheme="minorHAnsi" w:eastAsia="MS Mincho" w:hAnsiTheme="minorHAnsi" w:cstheme="minorBidi"/>
      <w:sz w:val="22"/>
      <w:szCs w:val="22"/>
    </w:rPr>
    <w:tblPr>
      <w:tblStyleRowBandSize w:val="1"/>
      <w:tblStyleColBandSize w:val="1"/>
      <w:tblInd w:w="0" w:type="dxa"/>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CellMar>
        <w:top w:w="0" w:type="dxa"/>
        <w:left w:w="108" w:type="dxa"/>
        <w:bottom w:w="0" w:type="dxa"/>
        <w:right w:w="108" w:type="dxa"/>
      </w:tblCellMar>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customStyle="1" w:styleId="TableGridLight16">
    <w:name w:val="Table Grid Light16"/>
    <w:basedOn w:val="TableNormal"/>
    <w:uiPriority w:val="40"/>
    <w:rsid w:val="006308E8"/>
    <w:rPr>
      <w:rFonts w:asciiTheme="minorHAnsi" w:hAnsiTheme="minorHAnsi" w:cstheme="minorBidi"/>
      <w:sz w:val="22"/>
      <w:szCs w:val="22"/>
    </w:rPr>
    <w:tblPr>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style>
  <w:style w:type="table" w:customStyle="1" w:styleId="ListTable3-Accent521">
    <w:name w:val="List Table 3 - Accent 521"/>
    <w:basedOn w:val="TableNormal"/>
    <w:uiPriority w:val="48"/>
    <w:rsid w:val="006308E8"/>
    <w:rPr>
      <w:rFonts w:ascii="Cambria" w:eastAsia="MS Mincho" w:hAnsi="Cambria"/>
      <w:sz w:val="24"/>
      <w:szCs w:val="24"/>
    </w:rPr>
    <w:tblPr>
      <w:tblStyleRowBandSize w:val="1"/>
      <w:tblStyleColBandSize w:val="1"/>
      <w:tblInd w:w="0" w:type="dxa"/>
      <w:tblBorders>
        <w:top w:val="single" w:sz="4" w:space="0" w:color="4BACC6"/>
        <w:left w:val="single" w:sz="4" w:space="0" w:color="4BACC6"/>
        <w:bottom w:val="single" w:sz="4" w:space="0" w:color="4BACC6"/>
        <w:right w:val="single" w:sz="4" w:space="0" w:color="4BACC6"/>
      </w:tblBorders>
      <w:tblCellMar>
        <w:top w:w="0" w:type="dxa"/>
        <w:left w:w="108" w:type="dxa"/>
        <w:bottom w:w="0" w:type="dxa"/>
        <w:right w:w="108" w:type="dxa"/>
      </w:tblCellMar>
    </w:tblPr>
    <w:tblStylePr w:type="firstRow">
      <w:rPr>
        <w:b/>
        <w:bCs/>
        <w:color w:val="FFFFFF"/>
      </w:rPr>
      <w:tblPr/>
      <w:tcPr>
        <w:shd w:val="clear" w:color="auto" w:fill="4BACC6"/>
      </w:tcPr>
    </w:tblStylePr>
    <w:tblStylePr w:type="lastRow">
      <w:rPr>
        <w:b/>
        <w:bCs/>
      </w:rPr>
      <w:tblPr/>
      <w:tcPr>
        <w:tcBorders>
          <w:top w:val="double" w:sz="4" w:space="0" w:color="4BACC6"/>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4BACC6"/>
          <w:right w:val="single" w:sz="4" w:space="0" w:color="4BACC6"/>
        </w:tcBorders>
      </w:tcPr>
    </w:tblStylePr>
    <w:tblStylePr w:type="band1Horz">
      <w:tblPr/>
      <w:tcPr>
        <w:tcBorders>
          <w:top w:val="single" w:sz="4" w:space="0" w:color="4BACC6"/>
          <w:bottom w:val="single" w:sz="4" w:space="0" w:color="4BACC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left w:val="nil"/>
        </w:tcBorders>
      </w:tcPr>
    </w:tblStylePr>
    <w:tblStylePr w:type="swCell">
      <w:tblPr/>
      <w:tcPr>
        <w:tcBorders>
          <w:top w:val="double" w:sz="4" w:space="0" w:color="4BACC6"/>
          <w:right w:val="nil"/>
        </w:tcBorders>
      </w:tcPr>
    </w:tblStylePr>
  </w:style>
  <w:style w:type="table" w:customStyle="1" w:styleId="ListTable3-Accent522">
    <w:name w:val="List Table 3 - Accent 522"/>
    <w:basedOn w:val="TableNormal"/>
    <w:uiPriority w:val="48"/>
    <w:rsid w:val="006308E8"/>
    <w:rPr>
      <w:rFonts w:ascii="Cambria" w:eastAsia="MS Mincho" w:hAnsi="Cambria"/>
      <w:sz w:val="24"/>
      <w:szCs w:val="24"/>
    </w:rPr>
    <w:tblPr>
      <w:tblStyleRowBandSize w:val="1"/>
      <w:tblStyleColBandSize w:val="1"/>
      <w:tblInd w:w="0" w:type="dxa"/>
      <w:tblBorders>
        <w:top w:val="single" w:sz="4" w:space="0" w:color="4BACC6"/>
        <w:left w:val="single" w:sz="4" w:space="0" w:color="4BACC6"/>
        <w:bottom w:val="single" w:sz="4" w:space="0" w:color="4BACC6"/>
        <w:right w:val="single" w:sz="4" w:space="0" w:color="4BACC6"/>
      </w:tblBorders>
      <w:tblCellMar>
        <w:top w:w="0" w:type="dxa"/>
        <w:left w:w="108" w:type="dxa"/>
        <w:bottom w:w="0" w:type="dxa"/>
        <w:right w:w="108" w:type="dxa"/>
      </w:tblCellMar>
    </w:tblPr>
    <w:tblStylePr w:type="firstRow">
      <w:rPr>
        <w:b/>
        <w:bCs/>
        <w:color w:val="FFFFFF"/>
      </w:rPr>
      <w:tblPr/>
      <w:tcPr>
        <w:shd w:val="clear" w:color="auto" w:fill="4BACC6"/>
      </w:tcPr>
    </w:tblStylePr>
    <w:tblStylePr w:type="lastRow">
      <w:rPr>
        <w:b/>
        <w:bCs/>
      </w:rPr>
      <w:tblPr/>
      <w:tcPr>
        <w:tcBorders>
          <w:top w:val="double" w:sz="4" w:space="0" w:color="4BACC6"/>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4BACC6"/>
          <w:right w:val="single" w:sz="4" w:space="0" w:color="4BACC6"/>
        </w:tcBorders>
      </w:tcPr>
    </w:tblStylePr>
    <w:tblStylePr w:type="band1Horz">
      <w:tblPr/>
      <w:tcPr>
        <w:tcBorders>
          <w:top w:val="single" w:sz="4" w:space="0" w:color="4BACC6"/>
          <w:bottom w:val="single" w:sz="4" w:space="0" w:color="4BACC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left w:val="nil"/>
        </w:tcBorders>
      </w:tcPr>
    </w:tblStylePr>
    <w:tblStylePr w:type="swCell">
      <w:tblPr/>
      <w:tcPr>
        <w:tcBorders>
          <w:top w:val="double" w:sz="4" w:space="0" w:color="4BACC6"/>
          <w:right w:val="nil"/>
        </w:tcBorders>
      </w:tcPr>
    </w:tblStylePr>
  </w:style>
  <w:style w:type="table" w:customStyle="1" w:styleId="ListTable3-Accent523">
    <w:name w:val="List Table 3 - Accent 523"/>
    <w:basedOn w:val="TableNormal"/>
    <w:uiPriority w:val="48"/>
    <w:rsid w:val="006308E8"/>
    <w:rPr>
      <w:rFonts w:ascii="Cambria" w:eastAsia="MS Mincho" w:hAnsi="Cambria"/>
      <w:sz w:val="24"/>
      <w:szCs w:val="24"/>
    </w:rPr>
    <w:tblPr>
      <w:tblStyleRowBandSize w:val="1"/>
      <w:tblStyleColBandSize w:val="1"/>
      <w:tblInd w:w="0" w:type="dxa"/>
      <w:tblBorders>
        <w:top w:val="single" w:sz="4" w:space="0" w:color="4BACC6"/>
        <w:left w:val="single" w:sz="4" w:space="0" w:color="4BACC6"/>
        <w:bottom w:val="single" w:sz="4" w:space="0" w:color="4BACC6"/>
        <w:right w:val="single" w:sz="4" w:space="0" w:color="4BACC6"/>
      </w:tblBorders>
      <w:tblCellMar>
        <w:top w:w="0" w:type="dxa"/>
        <w:left w:w="108" w:type="dxa"/>
        <w:bottom w:w="0" w:type="dxa"/>
        <w:right w:w="108" w:type="dxa"/>
      </w:tblCellMar>
    </w:tblPr>
    <w:tblStylePr w:type="firstRow">
      <w:rPr>
        <w:b/>
        <w:bCs/>
        <w:color w:val="FFFFFF"/>
      </w:rPr>
      <w:tblPr/>
      <w:tcPr>
        <w:shd w:val="clear" w:color="auto" w:fill="4BACC6"/>
      </w:tcPr>
    </w:tblStylePr>
    <w:tblStylePr w:type="lastRow">
      <w:rPr>
        <w:b/>
        <w:bCs/>
      </w:rPr>
      <w:tblPr/>
      <w:tcPr>
        <w:tcBorders>
          <w:top w:val="double" w:sz="4" w:space="0" w:color="4BACC6"/>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4BACC6"/>
          <w:right w:val="single" w:sz="4" w:space="0" w:color="4BACC6"/>
        </w:tcBorders>
      </w:tcPr>
    </w:tblStylePr>
    <w:tblStylePr w:type="band1Horz">
      <w:tblPr/>
      <w:tcPr>
        <w:tcBorders>
          <w:top w:val="single" w:sz="4" w:space="0" w:color="4BACC6"/>
          <w:bottom w:val="single" w:sz="4" w:space="0" w:color="4BACC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left w:val="nil"/>
        </w:tcBorders>
      </w:tcPr>
    </w:tblStylePr>
    <w:tblStylePr w:type="swCell">
      <w:tblPr/>
      <w:tcPr>
        <w:tcBorders>
          <w:top w:val="double" w:sz="4" w:space="0" w:color="4BACC6"/>
          <w:right w:val="nil"/>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553300">
      <w:bodyDiv w:val="1"/>
      <w:marLeft w:val="0"/>
      <w:marRight w:val="0"/>
      <w:marTop w:val="0"/>
      <w:marBottom w:val="0"/>
      <w:divBdr>
        <w:top w:val="none" w:sz="0" w:space="0" w:color="auto"/>
        <w:left w:val="none" w:sz="0" w:space="0" w:color="auto"/>
        <w:bottom w:val="none" w:sz="0" w:space="0" w:color="auto"/>
        <w:right w:val="none" w:sz="0" w:space="0" w:color="auto"/>
      </w:divBdr>
    </w:div>
    <w:div w:id="92478611">
      <w:bodyDiv w:val="1"/>
      <w:marLeft w:val="0"/>
      <w:marRight w:val="0"/>
      <w:marTop w:val="0"/>
      <w:marBottom w:val="0"/>
      <w:divBdr>
        <w:top w:val="none" w:sz="0" w:space="0" w:color="auto"/>
        <w:left w:val="none" w:sz="0" w:space="0" w:color="auto"/>
        <w:bottom w:val="none" w:sz="0" w:space="0" w:color="auto"/>
        <w:right w:val="none" w:sz="0" w:space="0" w:color="auto"/>
      </w:divBdr>
    </w:div>
    <w:div w:id="179397677">
      <w:bodyDiv w:val="1"/>
      <w:marLeft w:val="0"/>
      <w:marRight w:val="0"/>
      <w:marTop w:val="0"/>
      <w:marBottom w:val="0"/>
      <w:divBdr>
        <w:top w:val="none" w:sz="0" w:space="0" w:color="auto"/>
        <w:left w:val="none" w:sz="0" w:space="0" w:color="auto"/>
        <w:bottom w:val="none" w:sz="0" w:space="0" w:color="auto"/>
        <w:right w:val="none" w:sz="0" w:space="0" w:color="auto"/>
      </w:divBdr>
    </w:div>
    <w:div w:id="242960594">
      <w:bodyDiv w:val="1"/>
      <w:marLeft w:val="0"/>
      <w:marRight w:val="0"/>
      <w:marTop w:val="0"/>
      <w:marBottom w:val="0"/>
      <w:divBdr>
        <w:top w:val="none" w:sz="0" w:space="0" w:color="auto"/>
        <w:left w:val="none" w:sz="0" w:space="0" w:color="auto"/>
        <w:bottom w:val="none" w:sz="0" w:space="0" w:color="auto"/>
        <w:right w:val="none" w:sz="0" w:space="0" w:color="auto"/>
      </w:divBdr>
    </w:div>
    <w:div w:id="281302082">
      <w:bodyDiv w:val="1"/>
      <w:marLeft w:val="0"/>
      <w:marRight w:val="0"/>
      <w:marTop w:val="0"/>
      <w:marBottom w:val="0"/>
      <w:divBdr>
        <w:top w:val="none" w:sz="0" w:space="0" w:color="auto"/>
        <w:left w:val="none" w:sz="0" w:space="0" w:color="auto"/>
        <w:bottom w:val="none" w:sz="0" w:space="0" w:color="auto"/>
        <w:right w:val="none" w:sz="0" w:space="0" w:color="auto"/>
      </w:divBdr>
    </w:div>
    <w:div w:id="350648787">
      <w:bodyDiv w:val="1"/>
      <w:marLeft w:val="0"/>
      <w:marRight w:val="0"/>
      <w:marTop w:val="0"/>
      <w:marBottom w:val="0"/>
      <w:divBdr>
        <w:top w:val="none" w:sz="0" w:space="0" w:color="auto"/>
        <w:left w:val="none" w:sz="0" w:space="0" w:color="auto"/>
        <w:bottom w:val="none" w:sz="0" w:space="0" w:color="auto"/>
        <w:right w:val="none" w:sz="0" w:space="0" w:color="auto"/>
      </w:divBdr>
    </w:div>
    <w:div w:id="472870282">
      <w:bodyDiv w:val="1"/>
      <w:marLeft w:val="0"/>
      <w:marRight w:val="0"/>
      <w:marTop w:val="0"/>
      <w:marBottom w:val="0"/>
      <w:divBdr>
        <w:top w:val="none" w:sz="0" w:space="0" w:color="auto"/>
        <w:left w:val="none" w:sz="0" w:space="0" w:color="auto"/>
        <w:bottom w:val="none" w:sz="0" w:space="0" w:color="auto"/>
        <w:right w:val="none" w:sz="0" w:space="0" w:color="auto"/>
      </w:divBdr>
    </w:div>
    <w:div w:id="504365511">
      <w:bodyDiv w:val="1"/>
      <w:marLeft w:val="0"/>
      <w:marRight w:val="0"/>
      <w:marTop w:val="0"/>
      <w:marBottom w:val="0"/>
      <w:divBdr>
        <w:top w:val="none" w:sz="0" w:space="0" w:color="auto"/>
        <w:left w:val="none" w:sz="0" w:space="0" w:color="auto"/>
        <w:bottom w:val="none" w:sz="0" w:space="0" w:color="auto"/>
        <w:right w:val="none" w:sz="0" w:space="0" w:color="auto"/>
      </w:divBdr>
    </w:div>
    <w:div w:id="605620984">
      <w:bodyDiv w:val="1"/>
      <w:marLeft w:val="0"/>
      <w:marRight w:val="0"/>
      <w:marTop w:val="0"/>
      <w:marBottom w:val="0"/>
      <w:divBdr>
        <w:top w:val="none" w:sz="0" w:space="0" w:color="auto"/>
        <w:left w:val="none" w:sz="0" w:space="0" w:color="auto"/>
        <w:bottom w:val="none" w:sz="0" w:space="0" w:color="auto"/>
        <w:right w:val="none" w:sz="0" w:space="0" w:color="auto"/>
      </w:divBdr>
    </w:div>
    <w:div w:id="680546287">
      <w:bodyDiv w:val="1"/>
      <w:marLeft w:val="0"/>
      <w:marRight w:val="0"/>
      <w:marTop w:val="0"/>
      <w:marBottom w:val="0"/>
      <w:divBdr>
        <w:top w:val="none" w:sz="0" w:space="0" w:color="auto"/>
        <w:left w:val="none" w:sz="0" w:space="0" w:color="auto"/>
        <w:bottom w:val="none" w:sz="0" w:space="0" w:color="auto"/>
        <w:right w:val="none" w:sz="0" w:space="0" w:color="auto"/>
      </w:divBdr>
    </w:div>
    <w:div w:id="711541834">
      <w:bodyDiv w:val="1"/>
      <w:marLeft w:val="0"/>
      <w:marRight w:val="0"/>
      <w:marTop w:val="0"/>
      <w:marBottom w:val="0"/>
      <w:divBdr>
        <w:top w:val="none" w:sz="0" w:space="0" w:color="auto"/>
        <w:left w:val="none" w:sz="0" w:space="0" w:color="auto"/>
        <w:bottom w:val="none" w:sz="0" w:space="0" w:color="auto"/>
        <w:right w:val="none" w:sz="0" w:space="0" w:color="auto"/>
      </w:divBdr>
    </w:div>
    <w:div w:id="766313720">
      <w:bodyDiv w:val="1"/>
      <w:marLeft w:val="0"/>
      <w:marRight w:val="0"/>
      <w:marTop w:val="0"/>
      <w:marBottom w:val="0"/>
      <w:divBdr>
        <w:top w:val="none" w:sz="0" w:space="0" w:color="auto"/>
        <w:left w:val="none" w:sz="0" w:space="0" w:color="auto"/>
        <w:bottom w:val="none" w:sz="0" w:space="0" w:color="auto"/>
        <w:right w:val="none" w:sz="0" w:space="0" w:color="auto"/>
      </w:divBdr>
    </w:div>
    <w:div w:id="789740096">
      <w:bodyDiv w:val="1"/>
      <w:marLeft w:val="0"/>
      <w:marRight w:val="0"/>
      <w:marTop w:val="0"/>
      <w:marBottom w:val="0"/>
      <w:divBdr>
        <w:top w:val="none" w:sz="0" w:space="0" w:color="auto"/>
        <w:left w:val="none" w:sz="0" w:space="0" w:color="auto"/>
        <w:bottom w:val="none" w:sz="0" w:space="0" w:color="auto"/>
        <w:right w:val="none" w:sz="0" w:space="0" w:color="auto"/>
      </w:divBdr>
    </w:div>
    <w:div w:id="855584910">
      <w:bodyDiv w:val="1"/>
      <w:marLeft w:val="0"/>
      <w:marRight w:val="0"/>
      <w:marTop w:val="0"/>
      <w:marBottom w:val="0"/>
      <w:divBdr>
        <w:top w:val="none" w:sz="0" w:space="0" w:color="auto"/>
        <w:left w:val="none" w:sz="0" w:space="0" w:color="auto"/>
        <w:bottom w:val="none" w:sz="0" w:space="0" w:color="auto"/>
        <w:right w:val="none" w:sz="0" w:space="0" w:color="auto"/>
      </w:divBdr>
    </w:div>
    <w:div w:id="1033649556">
      <w:bodyDiv w:val="1"/>
      <w:marLeft w:val="0"/>
      <w:marRight w:val="0"/>
      <w:marTop w:val="0"/>
      <w:marBottom w:val="0"/>
      <w:divBdr>
        <w:top w:val="none" w:sz="0" w:space="0" w:color="auto"/>
        <w:left w:val="none" w:sz="0" w:space="0" w:color="auto"/>
        <w:bottom w:val="none" w:sz="0" w:space="0" w:color="auto"/>
        <w:right w:val="none" w:sz="0" w:space="0" w:color="auto"/>
      </w:divBdr>
    </w:div>
    <w:div w:id="1074666893">
      <w:bodyDiv w:val="1"/>
      <w:marLeft w:val="0"/>
      <w:marRight w:val="0"/>
      <w:marTop w:val="0"/>
      <w:marBottom w:val="0"/>
      <w:divBdr>
        <w:top w:val="none" w:sz="0" w:space="0" w:color="auto"/>
        <w:left w:val="none" w:sz="0" w:space="0" w:color="auto"/>
        <w:bottom w:val="none" w:sz="0" w:space="0" w:color="auto"/>
        <w:right w:val="none" w:sz="0" w:space="0" w:color="auto"/>
      </w:divBdr>
    </w:div>
    <w:div w:id="1142236599">
      <w:bodyDiv w:val="1"/>
      <w:marLeft w:val="0"/>
      <w:marRight w:val="0"/>
      <w:marTop w:val="0"/>
      <w:marBottom w:val="0"/>
      <w:divBdr>
        <w:top w:val="none" w:sz="0" w:space="0" w:color="auto"/>
        <w:left w:val="none" w:sz="0" w:space="0" w:color="auto"/>
        <w:bottom w:val="none" w:sz="0" w:space="0" w:color="auto"/>
        <w:right w:val="none" w:sz="0" w:space="0" w:color="auto"/>
      </w:divBdr>
    </w:div>
    <w:div w:id="1225524160">
      <w:bodyDiv w:val="1"/>
      <w:marLeft w:val="0"/>
      <w:marRight w:val="0"/>
      <w:marTop w:val="0"/>
      <w:marBottom w:val="0"/>
      <w:divBdr>
        <w:top w:val="none" w:sz="0" w:space="0" w:color="auto"/>
        <w:left w:val="none" w:sz="0" w:space="0" w:color="auto"/>
        <w:bottom w:val="none" w:sz="0" w:space="0" w:color="auto"/>
        <w:right w:val="none" w:sz="0" w:space="0" w:color="auto"/>
      </w:divBdr>
    </w:div>
    <w:div w:id="1277564277">
      <w:bodyDiv w:val="1"/>
      <w:marLeft w:val="0"/>
      <w:marRight w:val="0"/>
      <w:marTop w:val="0"/>
      <w:marBottom w:val="0"/>
      <w:divBdr>
        <w:top w:val="none" w:sz="0" w:space="0" w:color="auto"/>
        <w:left w:val="none" w:sz="0" w:space="0" w:color="auto"/>
        <w:bottom w:val="none" w:sz="0" w:space="0" w:color="auto"/>
        <w:right w:val="none" w:sz="0" w:space="0" w:color="auto"/>
      </w:divBdr>
    </w:div>
    <w:div w:id="1367873379">
      <w:bodyDiv w:val="1"/>
      <w:marLeft w:val="0"/>
      <w:marRight w:val="0"/>
      <w:marTop w:val="0"/>
      <w:marBottom w:val="0"/>
      <w:divBdr>
        <w:top w:val="none" w:sz="0" w:space="0" w:color="auto"/>
        <w:left w:val="none" w:sz="0" w:space="0" w:color="auto"/>
        <w:bottom w:val="none" w:sz="0" w:space="0" w:color="auto"/>
        <w:right w:val="none" w:sz="0" w:space="0" w:color="auto"/>
      </w:divBdr>
    </w:div>
    <w:div w:id="1429614223">
      <w:bodyDiv w:val="1"/>
      <w:marLeft w:val="0"/>
      <w:marRight w:val="0"/>
      <w:marTop w:val="0"/>
      <w:marBottom w:val="0"/>
      <w:divBdr>
        <w:top w:val="none" w:sz="0" w:space="0" w:color="auto"/>
        <w:left w:val="none" w:sz="0" w:space="0" w:color="auto"/>
        <w:bottom w:val="none" w:sz="0" w:space="0" w:color="auto"/>
        <w:right w:val="none" w:sz="0" w:space="0" w:color="auto"/>
      </w:divBdr>
    </w:div>
    <w:div w:id="1456631641">
      <w:bodyDiv w:val="1"/>
      <w:marLeft w:val="0"/>
      <w:marRight w:val="0"/>
      <w:marTop w:val="0"/>
      <w:marBottom w:val="0"/>
      <w:divBdr>
        <w:top w:val="none" w:sz="0" w:space="0" w:color="auto"/>
        <w:left w:val="none" w:sz="0" w:space="0" w:color="auto"/>
        <w:bottom w:val="none" w:sz="0" w:space="0" w:color="auto"/>
        <w:right w:val="none" w:sz="0" w:space="0" w:color="auto"/>
      </w:divBdr>
    </w:div>
    <w:div w:id="1738631158">
      <w:bodyDiv w:val="1"/>
      <w:marLeft w:val="0"/>
      <w:marRight w:val="0"/>
      <w:marTop w:val="0"/>
      <w:marBottom w:val="0"/>
      <w:divBdr>
        <w:top w:val="none" w:sz="0" w:space="0" w:color="auto"/>
        <w:left w:val="none" w:sz="0" w:space="0" w:color="auto"/>
        <w:bottom w:val="none" w:sz="0" w:space="0" w:color="auto"/>
        <w:right w:val="none" w:sz="0" w:space="0" w:color="auto"/>
      </w:divBdr>
    </w:div>
    <w:div w:id="1743023422">
      <w:bodyDiv w:val="1"/>
      <w:marLeft w:val="0"/>
      <w:marRight w:val="0"/>
      <w:marTop w:val="0"/>
      <w:marBottom w:val="0"/>
      <w:divBdr>
        <w:top w:val="none" w:sz="0" w:space="0" w:color="auto"/>
        <w:left w:val="none" w:sz="0" w:space="0" w:color="auto"/>
        <w:bottom w:val="none" w:sz="0" w:space="0" w:color="auto"/>
        <w:right w:val="none" w:sz="0" w:space="0" w:color="auto"/>
      </w:divBdr>
    </w:div>
    <w:div w:id="1798183540">
      <w:bodyDiv w:val="1"/>
      <w:marLeft w:val="0"/>
      <w:marRight w:val="0"/>
      <w:marTop w:val="0"/>
      <w:marBottom w:val="0"/>
      <w:divBdr>
        <w:top w:val="none" w:sz="0" w:space="0" w:color="auto"/>
        <w:left w:val="none" w:sz="0" w:space="0" w:color="auto"/>
        <w:bottom w:val="none" w:sz="0" w:space="0" w:color="auto"/>
        <w:right w:val="none" w:sz="0" w:space="0" w:color="auto"/>
      </w:divBdr>
      <w:divsChild>
        <w:div w:id="408158981">
          <w:marLeft w:val="0"/>
          <w:marRight w:val="0"/>
          <w:marTop w:val="0"/>
          <w:marBottom w:val="0"/>
          <w:divBdr>
            <w:top w:val="none" w:sz="0" w:space="0" w:color="auto"/>
            <w:left w:val="none" w:sz="0" w:space="0" w:color="auto"/>
            <w:bottom w:val="none" w:sz="0" w:space="0" w:color="auto"/>
            <w:right w:val="none" w:sz="0" w:space="0" w:color="auto"/>
          </w:divBdr>
        </w:div>
        <w:div w:id="1600601018">
          <w:marLeft w:val="0"/>
          <w:marRight w:val="0"/>
          <w:marTop w:val="0"/>
          <w:marBottom w:val="0"/>
          <w:divBdr>
            <w:top w:val="none" w:sz="0" w:space="0" w:color="auto"/>
            <w:left w:val="none" w:sz="0" w:space="0" w:color="auto"/>
            <w:bottom w:val="none" w:sz="0" w:space="0" w:color="auto"/>
            <w:right w:val="none" w:sz="0" w:space="0" w:color="auto"/>
          </w:divBdr>
        </w:div>
        <w:div w:id="1698891052">
          <w:marLeft w:val="0"/>
          <w:marRight w:val="0"/>
          <w:marTop w:val="0"/>
          <w:marBottom w:val="0"/>
          <w:divBdr>
            <w:top w:val="none" w:sz="0" w:space="0" w:color="auto"/>
            <w:left w:val="none" w:sz="0" w:space="0" w:color="auto"/>
            <w:bottom w:val="none" w:sz="0" w:space="0" w:color="auto"/>
            <w:right w:val="none" w:sz="0" w:space="0" w:color="auto"/>
          </w:divBdr>
        </w:div>
        <w:div w:id="2002930170">
          <w:marLeft w:val="0"/>
          <w:marRight w:val="0"/>
          <w:marTop w:val="0"/>
          <w:marBottom w:val="0"/>
          <w:divBdr>
            <w:top w:val="none" w:sz="0" w:space="0" w:color="auto"/>
            <w:left w:val="none" w:sz="0" w:space="0" w:color="auto"/>
            <w:bottom w:val="none" w:sz="0" w:space="0" w:color="auto"/>
            <w:right w:val="none" w:sz="0" w:space="0" w:color="auto"/>
          </w:divBdr>
        </w:div>
      </w:divsChild>
    </w:div>
    <w:div w:id="1932198397">
      <w:bodyDiv w:val="1"/>
      <w:marLeft w:val="0"/>
      <w:marRight w:val="0"/>
      <w:marTop w:val="0"/>
      <w:marBottom w:val="0"/>
      <w:divBdr>
        <w:top w:val="none" w:sz="0" w:space="0" w:color="auto"/>
        <w:left w:val="none" w:sz="0" w:space="0" w:color="auto"/>
        <w:bottom w:val="none" w:sz="0" w:space="0" w:color="auto"/>
        <w:right w:val="none" w:sz="0" w:space="0" w:color="auto"/>
      </w:divBdr>
    </w:div>
    <w:div w:id="1977640142">
      <w:bodyDiv w:val="1"/>
      <w:marLeft w:val="0"/>
      <w:marRight w:val="0"/>
      <w:marTop w:val="0"/>
      <w:marBottom w:val="0"/>
      <w:divBdr>
        <w:top w:val="none" w:sz="0" w:space="0" w:color="auto"/>
        <w:left w:val="none" w:sz="0" w:space="0" w:color="auto"/>
        <w:bottom w:val="none" w:sz="0" w:space="0" w:color="auto"/>
        <w:right w:val="none" w:sz="0" w:space="0" w:color="auto"/>
      </w:divBdr>
      <w:divsChild>
        <w:div w:id="709644162">
          <w:marLeft w:val="0"/>
          <w:marRight w:val="0"/>
          <w:marTop w:val="0"/>
          <w:marBottom w:val="0"/>
          <w:divBdr>
            <w:top w:val="none" w:sz="0" w:space="0" w:color="auto"/>
            <w:left w:val="none" w:sz="0" w:space="0" w:color="auto"/>
            <w:bottom w:val="none" w:sz="0" w:space="0" w:color="auto"/>
            <w:right w:val="none" w:sz="0" w:space="0" w:color="auto"/>
          </w:divBdr>
        </w:div>
        <w:div w:id="1162937723">
          <w:marLeft w:val="0"/>
          <w:marRight w:val="0"/>
          <w:marTop w:val="0"/>
          <w:marBottom w:val="0"/>
          <w:divBdr>
            <w:top w:val="none" w:sz="0" w:space="0" w:color="auto"/>
            <w:left w:val="none" w:sz="0" w:space="0" w:color="auto"/>
            <w:bottom w:val="none" w:sz="0" w:space="0" w:color="auto"/>
            <w:right w:val="none" w:sz="0" w:space="0" w:color="auto"/>
          </w:divBdr>
        </w:div>
        <w:div w:id="1163593441">
          <w:marLeft w:val="0"/>
          <w:marRight w:val="0"/>
          <w:marTop w:val="0"/>
          <w:marBottom w:val="0"/>
          <w:divBdr>
            <w:top w:val="none" w:sz="0" w:space="0" w:color="auto"/>
            <w:left w:val="none" w:sz="0" w:space="0" w:color="auto"/>
            <w:bottom w:val="none" w:sz="0" w:space="0" w:color="auto"/>
            <w:right w:val="none" w:sz="0" w:space="0" w:color="auto"/>
          </w:divBdr>
        </w:div>
        <w:div w:id="1259948859">
          <w:marLeft w:val="0"/>
          <w:marRight w:val="0"/>
          <w:marTop w:val="0"/>
          <w:marBottom w:val="0"/>
          <w:divBdr>
            <w:top w:val="none" w:sz="0" w:space="0" w:color="auto"/>
            <w:left w:val="none" w:sz="0" w:space="0" w:color="auto"/>
            <w:bottom w:val="none" w:sz="0" w:space="0" w:color="auto"/>
            <w:right w:val="none" w:sz="0" w:space="0" w:color="auto"/>
          </w:divBdr>
        </w:div>
      </w:divsChild>
    </w:div>
    <w:div w:id="21199085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4.emf"/><Relationship Id="rId21" Type="http://schemas.openxmlformats.org/officeDocument/2006/relationships/chart" Target="charts/chart9.xml"/><Relationship Id="rId42" Type="http://schemas.openxmlformats.org/officeDocument/2006/relationships/image" Target="media/image20.png"/><Relationship Id="rId47" Type="http://schemas.openxmlformats.org/officeDocument/2006/relationships/chart" Target="charts/chart17.xml"/><Relationship Id="rId63" Type="http://schemas.openxmlformats.org/officeDocument/2006/relationships/chart" Target="charts/chart30.xml"/><Relationship Id="rId68" Type="http://schemas.openxmlformats.org/officeDocument/2006/relationships/image" Target="media/image27.png"/><Relationship Id="rId84" Type="http://schemas.openxmlformats.org/officeDocument/2006/relationships/header" Target="header3.xml"/><Relationship Id="rId16" Type="http://schemas.openxmlformats.org/officeDocument/2006/relationships/chart" Target="charts/chart5.xml"/><Relationship Id="rId11" Type="http://schemas.openxmlformats.org/officeDocument/2006/relationships/header" Target="header1.xml"/><Relationship Id="rId32" Type="http://schemas.openxmlformats.org/officeDocument/2006/relationships/image" Target="media/image10.png"/><Relationship Id="rId37" Type="http://schemas.openxmlformats.org/officeDocument/2006/relationships/image" Target="media/image15.png"/><Relationship Id="rId53" Type="http://schemas.openxmlformats.org/officeDocument/2006/relationships/chart" Target="charts/chart23.xml"/><Relationship Id="rId58" Type="http://schemas.openxmlformats.org/officeDocument/2006/relationships/chart" Target="charts/chart27.xml"/><Relationship Id="rId74" Type="http://schemas.openxmlformats.org/officeDocument/2006/relationships/image" Target="media/image32.emf"/><Relationship Id="rId79" Type="http://schemas.openxmlformats.org/officeDocument/2006/relationships/image" Target="media/image37.emf"/><Relationship Id="rId5" Type="http://schemas.openxmlformats.org/officeDocument/2006/relationships/webSettings" Target="webSettings.xml"/><Relationship Id="rId19" Type="http://schemas.openxmlformats.org/officeDocument/2006/relationships/chart" Target="charts/chart7.xml"/><Relationship Id="rId14" Type="http://schemas.openxmlformats.org/officeDocument/2006/relationships/chart" Target="charts/chart3.xml"/><Relationship Id="rId22" Type="http://schemas.openxmlformats.org/officeDocument/2006/relationships/chart" Target="charts/chart10.xml"/><Relationship Id="rId27" Type="http://schemas.openxmlformats.org/officeDocument/2006/relationships/image" Target="media/image5.png"/><Relationship Id="rId30" Type="http://schemas.openxmlformats.org/officeDocument/2006/relationships/image" Target="media/image8.png"/><Relationship Id="rId35" Type="http://schemas.openxmlformats.org/officeDocument/2006/relationships/image" Target="media/image13.png"/><Relationship Id="rId43" Type="http://schemas.openxmlformats.org/officeDocument/2006/relationships/chart" Target="charts/chart13.xml"/><Relationship Id="rId48" Type="http://schemas.openxmlformats.org/officeDocument/2006/relationships/chart" Target="charts/chart18.xml"/><Relationship Id="rId56" Type="http://schemas.openxmlformats.org/officeDocument/2006/relationships/chart" Target="charts/chart26.xml"/><Relationship Id="rId64" Type="http://schemas.openxmlformats.org/officeDocument/2006/relationships/chart" Target="charts/chart31.xml"/><Relationship Id="rId69" Type="http://schemas.openxmlformats.org/officeDocument/2006/relationships/chart" Target="charts/chart32.xml"/><Relationship Id="rId77" Type="http://schemas.openxmlformats.org/officeDocument/2006/relationships/image" Target="media/image35.emf"/><Relationship Id="rId8" Type="http://schemas.openxmlformats.org/officeDocument/2006/relationships/image" Target="media/image1.png"/><Relationship Id="rId51" Type="http://schemas.openxmlformats.org/officeDocument/2006/relationships/chart" Target="charts/chart21.xml"/><Relationship Id="rId72" Type="http://schemas.openxmlformats.org/officeDocument/2006/relationships/image" Target="media/image30.emf"/><Relationship Id="rId80" Type="http://schemas.openxmlformats.org/officeDocument/2006/relationships/image" Target="media/image38.emf"/><Relationship Id="rId85" Type="http://schemas.openxmlformats.org/officeDocument/2006/relationships/fontTable" Target="fontTable.xml"/><Relationship Id="rId3" Type="http://schemas.openxmlformats.org/officeDocument/2006/relationships/styles" Target="styles.xml"/><Relationship Id="rId12" Type="http://schemas.openxmlformats.org/officeDocument/2006/relationships/chart" Target="charts/chart1.xml"/><Relationship Id="rId17" Type="http://schemas.openxmlformats.org/officeDocument/2006/relationships/image" Target="media/image2.png"/><Relationship Id="rId25" Type="http://schemas.openxmlformats.org/officeDocument/2006/relationships/image" Target="media/image3.emf"/><Relationship Id="rId33" Type="http://schemas.openxmlformats.org/officeDocument/2006/relationships/image" Target="media/image11.png"/><Relationship Id="rId38" Type="http://schemas.openxmlformats.org/officeDocument/2006/relationships/image" Target="media/image16.png"/><Relationship Id="rId46" Type="http://schemas.openxmlformats.org/officeDocument/2006/relationships/chart" Target="charts/chart16.xml"/><Relationship Id="rId59" Type="http://schemas.openxmlformats.org/officeDocument/2006/relationships/image" Target="media/image22.emf"/><Relationship Id="rId67" Type="http://schemas.openxmlformats.org/officeDocument/2006/relationships/image" Target="media/image26.png"/><Relationship Id="rId20" Type="http://schemas.openxmlformats.org/officeDocument/2006/relationships/chart" Target="charts/chart8.xml"/><Relationship Id="rId41" Type="http://schemas.openxmlformats.org/officeDocument/2006/relationships/image" Target="media/image19.png"/><Relationship Id="rId54" Type="http://schemas.openxmlformats.org/officeDocument/2006/relationships/chart" Target="charts/chart24.xml"/><Relationship Id="rId62" Type="http://schemas.openxmlformats.org/officeDocument/2006/relationships/image" Target="media/image23.emf"/><Relationship Id="rId70" Type="http://schemas.openxmlformats.org/officeDocument/2006/relationships/image" Target="media/image28.emf"/><Relationship Id="rId75" Type="http://schemas.openxmlformats.org/officeDocument/2006/relationships/image" Target="media/image33.png"/><Relationship Id="rId83"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chart" Target="charts/chart4.xml"/><Relationship Id="rId23" Type="http://schemas.openxmlformats.org/officeDocument/2006/relationships/chart" Target="charts/chart11.xml"/><Relationship Id="rId28" Type="http://schemas.openxmlformats.org/officeDocument/2006/relationships/image" Target="media/image6.png"/><Relationship Id="rId36" Type="http://schemas.openxmlformats.org/officeDocument/2006/relationships/image" Target="media/image14.png"/><Relationship Id="rId49" Type="http://schemas.openxmlformats.org/officeDocument/2006/relationships/chart" Target="charts/chart19.xml"/><Relationship Id="rId57" Type="http://schemas.openxmlformats.org/officeDocument/2006/relationships/image" Target="media/image21.emf"/><Relationship Id="rId10" Type="http://schemas.openxmlformats.org/officeDocument/2006/relationships/footer" Target="footer2.xml"/><Relationship Id="rId31" Type="http://schemas.openxmlformats.org/officeDocument/2006/relationships/image" Target="media/image9.png"/><Relationship Id="rId44" Type="http://schemas.openxmlformats.org/officeDocument/2006/relationships/chart" Target="charts/chart14.xml"/><Relationship Id="rId52" Type="http://schemas.openxmlformats.org/officeDocument/2006/relationships/chart" Target="charts/chart22.xml"/><Relationship Id="rId60" Type="http://schemas.openxmlformats.org/officeDocument/2006/relationships/chart" Target="charts/chart28.xml"/><Relationship Id="rId65" Type="http://schemas.openxmlformats.org/officeDocument/2006/relationships/image" Target="media/image24.png"/><Relationship Id="rId73" Type="http://schemas.openxmlformats.org/officeDocument/2006/relationships/image" Target="media/image31.png"/><Relationship Id="rId78" Type="http://schemas.openxmlformats.org/officeDocument/2006/relationships/image" Target="media/image36.emf"/><Relationship Id="rId81" Type="http://schemas.openxmlformats.org/officeDocument/2006/relationships/image" Target="media/image39.emf"/><Relationship Id="rId86"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oter" Target="footer1.xml"/><Relationship Id="rId13" Type="http://schemas.openxmlformats.org/officeDocument/2006/relationships/chart" Target="charts/chart2.xml"/><Relationship Id="rId18" Type="http://schemas.openxmlformats.org/officeDocument/2006/relationships/chart" Target="charts/chart6.xml"/><Relationship Id="rId39" Type="http://schemas.openxmlformats.org/officeDocument/2006/relationships/image" Target="media/image17.png"/><Relationship Id="rId34" Type="http://schemas.openxmlformats.org/officeDocument/2006/relationships/image" Target="media/image12.png"/><Relationship Id="rId50" Type="http://schemas.openxmlformats.org/officeDocument/2006/relationships/chart" Target="charts/chart20.xml"/><Relationship Id="rId55" Type="http://schemas.openxmlformats.org/officeDocument/2006/relationships/chart" Target="charts/chart25.xml"/><Relationship Id="rId76" Type="http://schemas.openxmlformats.org/officeDocument/2006/relationships/image" Target="media/image34.emf"/><Relationship Id="rId7" Type="http://schemas.openxmlformats.org/officeDocument/2006/relationships/endnotes" Target="endnotes.xml"/><Relationship Id="rId71" Type="http://schemas.openxmlformats.org/officeDocument/2006/relationships/image" Target="media/image29.emf"/><Relationship Id="rId2" Type="http://schemas.openxmlformats.org/officeDocument/2006/relationships/numbering" Target="numbering.xml"/><Relationship Id="rId29" Type="http://schemas.openxmlformats.org/officeDocument/2006/relationships/image" Target="media/image7.png"/><Relationship Id="rId24" Type="http://schemas.openxmlformats.org/officeDocument/2006/relationships/chart" Target="charts/chart12.xml"/><Relationship Id="rId40" Type="http://schemas.openxmlformats.org/officeDocument/2006/relationships/image" Target="media/image18.png"/><Relationship Id="rId45" Type="http://schemas.openxmlformats.org/officeDocument/2006/relationships/chart" Target="charts/chart15.xml"/><Relationship Id="rId66" Type="http://schemas.openxmlformats.org/officeDocument/2006/relationships/image" Target="media/image25.png"/><Relationship Id="rId61" Type="http://schemas.openxmlformats.org/officeDocument/2006/relationships/chart" Target="charts/chart29.xml"/><Relationship Id="rId82" Type="http://schemas.openxmlformats.org/officeDocument/2006/relationships/image" Target="media/image40.emf"/></Relationships>
</file>

<file path=word/charts/_rels/chart1.xml.rels><?xml version="1.0" encoding="UTF-8" standalone="yes"?>
<Relationships xmlns="http://schemas.openxmlformats.org/package/2006/relationships"><Relationship Id="rId1" Type="http://schemas.openxmlformats.org/officeDocument/2006/relationships/oleObject" Target="NULL" TargetMode="External"/></Relationships>
</file>

<file path=word/charts/_rels/chart2.xml.rels><?xml version="1.0" encoding="UTF-8" standalone="yes"?>
<Relationships xmlns="http://schemas.openxmlformats.org/package/2006/relationships"><Relationship Id="rId2" Type="http://schemas.openxmlformats.org/officeDocument/2006/relationships/package" Target="../embeddings/Microsoft_Excel_Worksheet1.xlsx"/><Relationship Id="rId1" Type="http://schemas.openxmlformats.org/officeDocument/2006/relationships/themeOverride" Target="../theme/themeOverride1.xml"/></Relationships>
</file>

<file path=word/charts/_rels/chart3.xml.rels><?xml version="1.0" encoding="UTF-8" standalone="yes"?>
<Relationships xmlns="http://schemas.openxmlformats.org/package/2006/relationships"><Relationship Id="rId2" Type="http://schemas.openxmlformats.org/officeDocument/2006/relationships/package" Target="../embeddings/Microsoft_Excel_Worksheet2.xlsx"/><Relationship Id="rId1" Type="http://schemas.openxmlformats.org/officeDocument/2006/relationships/themeOverride" Target="../theme/themeOverride2.xml"/></Relationships>
</file>

<file path=word/charts/_rels/chart4.xml.rels><?xml version="1.0" encoding="UTF-8" standalone="yes"?>
<Relationships xmlns="http://schemas.openxmlformats.org/package/2006/relationships"><Relationship Id="rId2" Type="http://schemas.openxmlformats.org/officeDocument/2006/relationships/package" Target="../embeddings/Microsoft_Excel_Worksheet3.xlsx"/><Relationship Id="rId1" Type="http://schemas.openxmlformats.org/officeDocument/2006/relationships/themeOverride" Target="../theme/themeOverride3.xml"/></Relationships>
</file>

<file path=word/charts/_rels/chart5.xml.rels><?xml version="1.0" encoding="UTF-8" standalone="yes"?>
<Relationships xmlns="http://schemas.openxmlformats.org/package/2006/relationships"><Relationship Id="rId2" Type="http://schemas.openxmlformats.org/officeDocument/2006/relationships/package" Target="../embeddings/Microsoft_Excel_Worksheet4.xlsx"/><Relationship Id="rId1" Type="http://schemas.openxmlformats.org/officeDocument/2006/relationships/themeOverride" Target="../theme/themeOverride4.xml"/></Relationships>
</file>

<file path=word/charts/_rels/chart6.xml.rels><?xml version="1.0" encoding="UTF-8" standalone="yes"?>
<Relationships xmlns="http://schemas.openxmlformats.org/package/2006/relationships"><Relationship Id="rId2" Type="http://schemas.openxmlformats.org/officeDocument/2006/relationships/package" Target="../embeddings/Microsoft_Excel_Worksheet5.xlsx"/><Relationship Id="rId1" Type="http://schemas.openxmlformats.org/officeDocument/2006/relationships/themeOverride" Target="../theme/themeOverride5.xml"/></Relationships>
</file>

<file path=word/charts/_rels/chart7.xml.rels><?xml version="1.0" encoding="UTF-8" standalone="yes"?>
<Relationships xmlns="http://schemas.openxmlformats.org/package/2006/relationships"><Relationship Id="rId2" Type="http://schemas.openxmlformats.org/officeDocument/2006/relationships/package" Target="../embeddings/Microsoft_Excel_Worksheet6.xlsx"/><Relationship Id="rId1" Type="http://schemas.openxmlformats.org/officeDocument/2006/relationships/themeOverride" Target="../theme/themeOverride6.xml"/></Relationships>
</file>

<file path=word/charts/_rels/chart8.xml.rels><?xml version="1.0" encoding="UTF-8" standalone="yes"?>
<Relationships xmlns="http://schemas.openxmlformats.org/package/2006/relationships"><Relationship Id="rId2" Type="http://schemas.openxmlformats.org/officeDocument/2006/relationships/package" Target="../embeddings/Microsoft_Excel_Worksheet7.xlsx"/><Relationship Id="rId1" Type="http://schemas.openxmlformats.org/officeDocument/2006/relationships/themeOverride" Target="../theme/themeOverride7.xml"/></Relationships>
</file>

<file path=word/charts/_rels/chart9.xml.rels><?xml version="1.0" encoding="UTF-8" standalone="yes"?>
<Relationships xmlns="http://schemas.openxmlformats.org/package/2006/relationships"><Relationship Id="rId2" Type="http://schemas.openxmlformats.org/officeDocument/2006/relationships/package" Target="../embeddings/Microsoft_Excel_Worksheet8.xlsx"/><Relationship Id="rId1" Type="http://schemas.openxmlformats.org/officeDocument/2006/relationships/themeOverride" Target="../theme/themeOverride8.xml"/></Relationships>
</file>

<file path=word/charts/_rels/chart10.xml.rels><?xml version="1.0" encoding="UTF-8" standalone="yes"?>
<Relationships xmlns="http://schemas.openxmlformats.org/package/2006/relationships"><Relationship Id="rId2" Type="http://schemas.openxmlformats.org/officeDocument/2006/relationships/package" Target="../embeddings/Microsoft_Excel_Worksheet9.xlsx"/><Relationship Id="rId1" Type="http://schemas.openxmlformats.org/officeDocument/2006/relationships/themeOverride" Target="../theme/themeOverride9.xml"/></Relationships>
</file>

<file path=word/charts/_rels/chart11.xml.rels><?xml version="1.0" encoding="UTF-8" standalone="yes"?>
<Relationships xmlns="http://schemas.openxmlformats.org/package/2006/relationships"><Relationship Id="rId2" Type="http://schemas.openxmlformats.org/officeDocument/2006/relationships/package" Target="../embeddings/Microsoft_Excel_Worksheet10.xlsx"/><Relationship Id="rId1" Type="http://schemas.openxmlformats.org/officeDocument/2006/relationships/themeOverride" Target="../theme/themeOverride10.xml"/></Relationships>
</file>

<file path=word/charts/_rels/chart12.xml.rels><?xml version="1.0" encoding="UTF-8" standalone="yes"?>
<Relationships xmlns="http://schemas.openxmlformats.org/package/2006/relationships"><Relationship Id="rId2" Type="http://schemas.openxmlformats.org/officeDocument/2006/relationships/package" Target="../embeddings/Microsoft_Excel_Worksheet11.xlsx"/><Relationship Id="rId1" Type="http://schemas.openxmlformats.org/officeDocument/2006/relationships/themeOverride" Target="../theme/themeOverride11.xml"/></Relationships>
</file>

<file path=word/charts/_rels/chart13.xml.rels><?xml version="1.0" encoding="UTF-8" standalone="yes"?>
<Relationships xmlns="http://schemas.openxmlformats.org/package/2006/relationships"><Relationship Id="rId1" Type="http://schemas.openxmlformats.org/officeDocument/2006/relationships/oleObject" Target="NULL" TargetMode="External"/></Relationships>
</file>

<file path=word/charts/_rels/chart14.xml.rels><?xml version="1.0" encoding="UTF-8" standalone="yes"?>
<Relationships xmlns="http://schemas.openxmlformats.org/package/2006/relationships"><Relationship Id="rId2" Type="http://schemas.openxmlformats.org/officeDocument/2006/relationships/oleObject" Target="NULL" TargetMode="External"/><Relationship Id="rId1" Type="http://schemas.openxmlformats.org/officeDocument/2006/relationships/themeOverride" Target="../theme/themeOverride12.xml"/></Relationships>
</file>

<file path=word/charts/_rels/chart15.xml.rels><?xml version="1.0" encoding="UTF-8" standalone="yes"?>
<Relationships xmlns="http://schemas.openxmlformats.org/package/2006/relationships"><Relationship Id="rId2" Type="http://schemas.openxmlformats.org/officeDocument/2006/relationships/oleObject" Target="NULL" TargetMode="External"/><Relationship Id="rId1" Type="http://schemas.openxmlformats.org/officeDocument/2006/relationships/themeOverride" Target="../theme/themeOverride13.xml"/></Relationships>
</file>

<file path=word/charts/_rels/chart16.xml.rels><?xml version="1.0" encoding="UTF-8" standalone="yes"?>
<Relationships xmlns="http://schemas.openxmlformats.org/package/2006/relationships"><Relationship Id="rId2" Type="http://schemas.openxmlformats.org/officeDocument/2006/relationships/oleObject" Target="NULL" TargetMode="External"/><Relationship Id="rId1" Type="http://schemas.openxmlformats.org/officeDocument/2006/relationships/themeOverride" Target="../theme/themeOverride14.xml"/></Relationships>
</file>

<file path=word/charts/_rels/chart17.xml.rels><?xml version="1.0" encoding="UTF-8" standalone="yes"?>
<Relationships xmlns="http://schemas.openxmlformats.org/package/2006/relationships"><Relationship Id="rId2" Type="http://schemas.openxmlformats.org/officeDocument/2006/relationships/oleObject" Target="NULL" TargetMode="External"/><Relationship Id="rId1" Type="http://schemas.openxmlformats.org/officeDocument/2006/relationships/themeOverride" Target="../theme/themeOverride15.xml"/></Relationships>
</file>

<file path=word/charts/_rels/chart18.xml.rels><?xml version="1.0" encoding="UTF-8" standalone="yes"?>
<Relationships xmlns="http://schemas.openxmlformats.org/package/2006/relationships"><Relationship Id="rId2" Type="http://schemas.openxmlformats.org/officeDocument/2006/relationships/oleObject" Target="NULL" TargetMode="External"/><Relationship Id="rId1" Type="http://schemas.openxmlformats.org/officeDocument/2006/relationships/themeOverride" Target="../theme/themeOverride16.xml"/></Relationships>
</file>

<file path=word/charts/_rels/chart19.xml.rels><?xml version="1.0" encoding="UTF-8" standalone="yes"?>
<Relationships xmlns="http://schemas.openxmlformats.org/package/2006/relationships"><Relationship Id="rId2" Type="http://schemas.openxmlformats.org/officeDocument/2006/relationships/oleObject" Target="NULL" TargetMode="External"/><Relationship Id="rId1" Type="http://schemas.openxmlformats.org/officeDocument/2006/relationships/themeOverride" Target="../theme/themeOverride17.xml"/></Relationships>
</file>

<file path=word/charts/_rels/chart20.xml.rels><?xml version="1.0" encoding="UTF-8" standalone="yes"?>
<Relationships xmlns="http://schemas.openxmlformats.org/package/2006/relationships"><Relationship Id="rId1" Type="http://schemas.openxmlformats.org/officeDocument/2006/relationships/oleObject" Target="NULL" TargetMode="External"/></Relationships>
</file>

<file path=word/charts/_rels/chart21.xml.rels><?xml version="1.0" encoding="UTF-8" standalone="yes"?>
<Relationships xmlns="http://schemas.openxmlformats.org/package/2006/relationships"><Relationship Id="rId2" Type="http://schemas.openxmlformats.org/officeDocument/2006/relationships/package" Target="../embeddings/Microsoft_Excel_Worksheet12.xlsx"/><Relationship Id="rId1" Type="http://schemas.openxmlformats.org/officeDocument/2006/relationships/themeOverride" Target="../theme/themeOverride18.xml"/></Relationships>
</file>

<file path=word/charts/_rels/chart22.xml.rels><?xml version="1.0" encoding="UTF-8" standalone="yes"?>
<Relationships xmlns="http://schemas.openxmlformats.org/package/2006/relationships"><Relationship Id="rId2" Type="http://schemas.openxmlformats.org/officeDocument/2006/relationships/oleObject" Target="NULL" TargetMode="External"/><Relationship Id="rId1" Type="http://schemas.openxmlformats.org/officeDocument/2006/relationships/themeOverride" Target="../theme/themeOverride19.xml"/></Relationships>
</file>

<file path=word/charts/_rels/chart23.xml.rels><?xml version="1.0" encoding="UTF-8" standalone="yes"?>
<Relationships xmlns="http://schemas.openxmlformats.org/package/2006/relationships"><Relationship Id="rId2" Type="http://schemas.openxmlformats.org/officeDocument/2006/relationships/oleObject" Target="NULL" TargetMode="External"/><Relationship Id="rId1" Type="http://schemas.openxmlformats.org/officeDocument/2006/relationships/themeOverride" Target="../theme/themeOverride20.xml"/></Relationships>
</file>

<file path=word/charts/_rels/chart24.xml.rels><?xml version="1.0" encoding="UTF-8" standalone="yes"?>
<Relationships xmlns="http://schemas.openxmlformats.org/package/2006/relationships"><Relationship Id="rId2" Type="http://schemas.openxmlformats.org/officeDocument/2006/relationships/oleObject" Target="NULL" TargetMode="External"/><Relationship Id="rId1" Type="http://schemas.openxmlformats.org/officeDocument/2006/relationships/themeOverride" Target="../theme/themeOverride21.xml"/></Relationships>
</file>

<file path=word/charts/_rels/chart25.xml.rels><?xml version="1.0" encoding="UTF-8" standalone="yes"?>
<Relationships xmlns="http://schemas.openxmlformats.org/package/2006/relationships"><Relationship Id="rId2" Type="http://schemas.openxmlformats.org/officeDocument/2006/relationships/oleObject" Target="NULL" TargetMode="External"/><Relationship Id="rId1" Type="http://schemas.openxmlformats.org/officeDocument/2006/relationships/themeOverride" Target="../theme/themeOverride22.xml"/></Relationships>
</file>

<file path=word/charts/_rels/chart26.xml.rels><?xml version="1.0" encoding="UTF-8" standalone="yes"?>
<Relationships xmlns="http://schemas.openxmlformats.org/package/2006/relationships"><Relationship Id="rId2" Type="http://schemas.openxmlformats.org/officeDocument/2006/relationships/oleObject" Target="NULL" TargetMode="External"/><Relationship Id="rId1" Type="http://schemas.openxmlformats.org/officeDocument/2006/relationships/themeOverride" Target="../theme/themeOverride23.xml"/></Relationships>
</file>

<file path=word/charts/_rels/chart27.xml.rels><?xml version="1.0" encoding="UTF-8" standalone="yes"?>
<Relationships xmlns="http://schemas.openxmlformats.org/package/2006/relationships"><Relationship Id="rId2" Type="http://schemas.openxmlformats.org/officeDocument/2006/relationships/package" Target="../embeddings/Microsoft_Excel_Worksheet13.xlsx"/><Relationship Id="rId1" Type="http://schemas.openxmlformats.org/officeDocument/2006/relationships/themeOverride" Target="../theme/themeOverride24.xml"/></Relationships>
</file>

<file path=word/charts/_rels/chart28.xml.rels><?xml version="1.0" encoding="UTF-8" standalone="yes"?>
<Relationships xmlns="http://schemas.openxmlformats.org/package/2006/relationships"><Relationship Id="rId2" Type="http://schemas.openxmlformats.org/officeDocument/2006/relationships/oleObject" Target="NULL" TargetMode="External"/><Relationship Id="rId1" Type="http://schemas.openxmlformats.org/officeDocument/2006/relationships/themeOverride" Target="../theme/themeOverride25.xml"/></Relationships>
</file>

<file path=word/charts/_rels/chart29.xml.rels><?xml version="1.0" encoding="UTF-8" standalone="yes"?>
<Relationships xmlns="http://schemas.openxmlformats.org/package/2006/relationships"><Relationship Id="rId1" Type="http://schemas.openxmlformats.org/officeDocument/2006/relationships/oleObject" Target="NULL" TargetMode="External"/></Relationships>
</file>

<file path=word/charts/_rels/chart30.xml.rels><?xml version="1.0" encoding="UTF-8" standalone="yes"?>
<Relationships xmlns="http://schemas.openxmlformats.org/package/2006/relationships"><Relationship Id="rId2" Type="http://schemas.openxmlformats.org/officeDocument/2006/relationships/package" Target="../embeddings/Microsoft_Excel_Worksheet14.xlsx"/><Relationship Id="rId1" Type="http://schemas.openxmlformats.org/officeDocument/2006/relationships/themeOverride" Target="../theme/themeOverride26.xml"/></Relationships>
</file>

<file path=word/charts/_rels/chart31.xml.rels><?xml version="1.0" encoding="UTF-8" standalone="yes"?>
<Relationships xmlns="http://schemas.openxmlformats.org/package/2006/relationships"><Relationship Id="rId1" Type="http://schemas.openxmlformats.org/officeDocument/2006/relationships/oleObject" Target="NULL" TargetMode="External"/></Relationships>
</file>

<file path=word/charts/_rels/chart32.xml.rels><?xml version="1.0" encoding="UTF-8" standalone="yes"?>
<Relationships xmlns="http://schemas.openxmlformats.org/package/2006/relationships"><Relationship Id="rId2" Type="http://schemas.openxmlformats.org/officeDocument/2006/relationships/package" Target="../embeddings/Microsoft_Excel_Worksheet15.xlsx"/><Relationship Id="rId1" Type="http://schemas.openxmlformats.org/officeDocument/2006/relationships/themeOverride" Target="../theme/themeOverride27.xm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7.4271817221268563E-2"/>
          <c:y val="3.4350947688762165E-2"/>
          <c:w val="0.90889144740846273"/>
          <c:h val="0.72969855667666306"/>
        </c:manualLayout>
      </c:layout>
      <c:barChart>
        <c:barDir val="col"/>
        <c:grouping val="stacked"/>
        <c:varyColors val="0"/>
        <c:ser>
          <c:idx val="0"/>
          <c:order val="0"/>
          <c:tx>
            <c:strRef>
              <c:f>'Tatimet+Doganat'!$B$3</c:f>
              <c:strCache>
                <c:ptCount val="1"/>
                <c:pt idx="0">
                  <c:v>Realizimi Total</c:v>
                </c:pt>
              </c:strCache>
            </c:strRef>
          </c:tx>
          <c:spPr>
            <a:solidFill>
              <a:schemeClr val="bg1"/>
            </a:solidFill>
            <a:ln>
              <a:noFill/>
            </a:ln>
            <a:effectLst/>
          </c:spPr>
          <c:invertIfNegative val="0"/>
          <c:dPt>
            <c:idx val="0"/>
            <c:invertIfNegative val="0"/>
            <c:bubble3D val="0"/>
            <c:spPr>
              <a:solidFill>
                <a:schemeClr val="accent1"/>
              </a:solidFill>
              <a:ln>
                <a:noFill/>
              </a:ln>
              <a:effectLst/>
            </c:spPr>
            <c:extLst xmlns:c16r2="http://schemas.microsoft.com/office/drawing/2015/06/chart">
              <c:ext xmlns:c16="http://schemas.microsoft.com/office/drawing/2014/chart" uri="{C3380CC4-5D6E-409C-BE32-E72D297353CC}">
                <c16:uniqueId val="{00000001-958B-433F-9D13-7B2AB5AEEF68}"/>
              </c:ext>
            </c:extLst>
          </c:dPt>
          <c:dPt>
            <c:idx val="10"/>
            <c:invertIfNegative val="0"/>
            <c:bubble3D val="0"/>
            <c:spPr>
              <a:solidFill>
                <a:schemeClr val="accent4">
                  <a:lumMod val="75000"/>
                </a:schemeClr>
              </a:solidFill>
              <a:ln>
                <a:noFill/>
              </a:ln>
              <a:effectLst/>
            </c:spPr>
            <c:extLst xmlns:c16r2="http://schemas.microsoft.com/office/drawing/2015/06/chart">
              <c:ext xmlns:c16="http://schemas.microsoft.com/office/drawing/2014/chart" uri="{C3380CC4-5D6E-409C-BE32-E72D297353CC}">
                <c16:uniqueId val="{00000003-958B-433F-9D13-7B2AB5AEEF68}"/>
              </c:ext>
            </c:extLst>
          </c:dPt>
          <c:dPt>
            <c:idx val="11"/>
            <c:invertIfNegative val="0"/>
            <c:bubble3D val="0"/>
            <c:spPr>
              <a:solidFill>
                <a:schemeClr val="accent6"/>
              </a:solidFill>
              <a:ln>
                <a:noFill/>
              </a:ln>
              <a:effectLst/>
            </c:spPr>
            <c:extLst xmlns:c16r2="http://schemas.microsoft.com/office/drawing/2015/06/chart">
              <c:ext xmlns:c16="http://schemas.microsoft.com/office/drawing/2014/chart" uri="{C3380CC4-5D6E-409C-BE32-E72D297353CC}">
                <c16:uniqueId val="{00000005-958B-433F-9D13-7B2AB5AEEF68}"/>
              </c:ext>
            </c:extLst>
          </c:dPt>
          <c:dLbls>
            <c:dLbl>
              <c:idx val="0"/>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1-958B-433F-9D13-7B2AB5AEEF68}"/>
                </c:ext>
                <c:ext xmlns:c15="http://schemas.microsoft.com/office/drawing/2012/chart" uri="{CE6537A1-D6FC-4f65-9D91-7224C49458BB}"/>
              </c:extLst>
            </c:dLbl>
            <c:dLbl>
              <c:idx val="10"/>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3-958B-433F-9D13-7B2AB5AEEF68}"/>
                </c:ext>
                <c:ext xmlns:c15="http://schemas.microsoft.com/office/drawing/2012/chart" uri="{CE6537A1-D6FC-4f65-9D91-7224C49458BB}"/>
              </c:extLst>
            </c:dLbl>
            <c:dLbl>
              <c:idx val="11"/>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5-958B-433F-9D13-7B2AB5AEEF68}"/>
                </c:ext>
                <c:ext xmlns:c15="http://schemas.microsoft.com/office/drawing/2012/chart" uri="{CE6537A1-D6FC-4f65-9D91-7224C49458BB}"/>
              </c:extLst>
            </c:dLbl>
            <c:spPr>
              <a:noFill/>
              <a:ln>
                <a:noFill/>
              </a:ln>
              <a:effectLst/>
            </c:spPr>
            <c:txPr>
              <a:bodyPr wrap="square" lIns="38100" tIns="19050" rIns="38100" bIns="19050" anchor="ctr">
                <a:spAutoFit/>
              </a:bodyPr>
              <a:lstStyle/>
              <a:p>
                <a:pPr>
                  <a:defRPr sz="800"/>
                </a:pPr>
                <a:endParaRPr lang="en-US"/>
              </a:p>
            </c:txPr>
            <c:showLegendKey val="0"/>
            <c:showVal val="0"/>
            <c:showCatName val="0"/>
            <c:showSerName val="0"/>
            <c:showPercent val="0"/>
            <c:showBubbleSize val="0"/>
            <c:extLst xmlns:c16r2="http://schemas.microsoft.com/office/drawing/2015/06/chart">
              <c:ext xmlns:c15="http://schemas.microsoft.com/office/drawing/2012/chart" uri="{CE6537A1-D6FC-4f65-9D91-7224C49458BB}">
                <c15:showLeaderLines val="1"/>
              </c:ext>
            </c:extLst>
          </c:dLbls>
          <c:cat>
            <c:strRef>
              <c:f>'Tatimet+Doganat'!$A$4:$A$15</c:f>
              <c:strCache>
                <c:ptCount val="12"/>
                <c:pt idx="0">
                  <c:v>Fakt 2019</c:v>
                </c:pt>
                <c:pt idx="1">
                  <c:v>TVSH import</c:v>
                </c:pt>
                <c:pt idx="2">
                  <c:v>TVSH Neto</c:v>
                </c:pt>
                <c:pt idx="3">
                  <c:v>Tatim Fitimi</c:v>
                </c:pt>
                <c:pt idx="4">
                  <c:v>Akciza</c:v>
                </c:pt>
                <c:pt idx="5">
                  <c:v>TAP</c:v>
                </c:pt>
                <c:pt idx="6">
                  <c:v>T. Nacionale</c:v>
                </c:pt>
                <c:pt idx="7">
                  <c:v>R. Minerare</c:v>
                </c:pt>
                <c:pt idx="8">
                  <c:v>T. Doganore</c:v>
                </c:pt>
                <c:pt idx="9">
                  <c:v>Kontributet </c:v>
                </c:pt>
                <c:pt idx="10">
                  <c:v>Fakt 2020</c:v>
                </c:pt>
                <c:pt idx="11">
                  <c:v>Plan 2020</c:v>
                </c:pt>
              </c:strCache>
            </c:strRef>
          </c:cat>
          <c:val>
            <c:numRef>
              <c:f>'Tatimet+Doganat'!$B$4:$B$15</c:f>
              <c:numCache>
                <c:formatCode>_(* #,##0_);_(* \(#,##0\);_(* "-"??_);_(@_)</c:formatCode>
                <c:ptCount val="12"/>
                <c:pt idx="0">
                  <c:v>163767</c:v>
                </c:pt>
                <c:pt idx="1">
                  <c:v>157293</c:v>
                </c:pt>
                <c:pt idx="2">
                  <c:v>156436</c:v>
                </c:pt>
                <c:pt idx="3">
                  <c:v>150194</c:v>
                </c:pt>
                <c:pt idx="4">
                  <c:v>148927</c:v>
                </c:pt>
                <c:pt idx="5">
                  <c:v>144056</c:v>
                </c:pt>
                <c:pt idx="6">
                  <c:v>141491</c:v>
                </c:pt>
                <c:pt idx="7">
                  <c:v>141075</c:v>
                </c:pt>
                <c:pt idx="8">
                  <c:v>140794</c:v>
                </c:pt>
                <c:pt idx="9">
                  <c:v>138263</c:v>
                </c:pt>
                <c:pt idx="10">
                  <c:v>141704</c:v>
                </c:pt>
                <c:pt idx="11">
                  <c:v>153730</c:v>
                </c:pt>
              </c:numCache>
            </c:numRef>
          </c:val>
          <c:extLst xmlns:c16r2="http://schemas.microsoft.com/office/drawing/2015/06/chart">
            <c:ext xmlns:c16="http://schemas.microsoft.com/office/drawing/2014/chart" uri="{C3380CC4-5D6E-409C-BE32-E72D297353CC}">
              <c16:uniqueId val="{00000006-958B-433F-9D13-7B2AB5AEEF68}"/>
            </c:ext>
          </c:extLst>
        </c:ser>
        <c:ser>
          <c:idx val="1"/>
          <c:order val="1"/>
          <c:tx>
            <c:strRef>
              <c:f>'Tatimet+Doganat'!$C$3</c:f>
              <c:strCache>
                <c:ptCount val="1"/>
                <c:pt idx="0">
                  <c:v>Rënie</c:v>
                </c:pt>
              </c:strCache>
            </c:strRef>
          </c:tx>
          <c:spPr>
            <a:solidFill>
              <a:srgbClr val="C00000"/>
            </a:solidFill>
            <a:ln>
              <a:noFill/>
            </a:ln>
            <a:effectLst/>
          </c:spPr>
          <c:invertIfNegative val="0"/>
          <c:cat>
            <c:strRef>
              <c:f>'Tatimet+Doganat'!$A$4:$A$15</c:f>
              <c:strCache>
                <c:ptCount val="12"/>
                <c:pt idx="0">
                  <c:v>Fakt 2019</c:v>
                </c:pt>
                <c:pt idx="1">
                  <c:v>TVSH import</c:v>
                </c:pt>
                <c:pt idx="2">
                  <c:v>TVSH Neto</c:v>
                </c:pt>
                <c:pt idx="3">
                  <c:v>Tatim Fitimi</c:v>
                </c:pt>
                <c:pt idx="4">
                  <c:v>Akciza</c:v>
                </c:pt>
                <c:pt idx="5">
                  <c:v>TAP</c:v>
                </c:pt>
                <c:pt idx="6">
                  <c:v>T. Nacionale</c:v>
                </c:pt>
                <c:pt idx="7">
                  <c:v>R. Minerare</c:v>
                </c:pt>
                <c:pt idx="8">
                  <c:v>T. Doganore</c:v>
                </c:pt>
                <c:pt idx="9">
                  <c:v>Kontributet </c:v>
                </c:pt>
                <c:pt idx="10">
                  <c:v>Fakt 2020</c:v>
                </c:pt>
                <c:pt idx="11">
                  <c:v>Plan 2020</c:v>
                </c:pt>
              </c:strCache>
            </c:strRef>
          </c:cat>
          <c:val>
            <c:numRef>
              <c:f>'Tatimet+Doganat'!$C$4:$C$15</c:f>
              <c:numCache>
                <c:formatCode>_(* #,##0_);_(* \(#,##0\);_(* "-"??_);_(@_)</c:formatCode>
                <c:ptCount val="12"/>
                <c:pt idx="0">
                  <c:v>0</c:v>
                </c:pt>
                <c:pt idx="1">
                  <c:v>6474</c:v>
                </c:pt>
                <c:pt idx="2">
                  <c:v>857</c:v>
                </c:pt>
                <c:pt idx="3">
                  <c:v>6242</c:v>
                </c:pt>
                <c:pt idx="4">
                  <c:v>1267</c:v>
                </c:pt>
                <c:pt idx="5">
                  <c:v>4871</c:v>
                </c:pt>
                <c:pt idx="6">
                  <c:v>2565</c:v>
                </c:pt>
                <c:pt idx="7">
                  <c:v>416</c:v>
                </c:pt>
                <c:pt idx="8">
                  <c:v>281</c:v>
                </c:pt>
                <c:pt idx="9">
                  <c:v>2531</c:v>
                </c:pt>
              </c:numCache>
            </c:numRef>
          </c:val>
          <c:extLst xmlns:c16r2="http://schemas.microsoft.com/office/drawing/2015/06/chart">
            <c:ext xmlns:c16="http://schemas.microsoft.com/office/drawing/2014/chart" uri="{C3380CC4-5D6E-409C-BE32-E72D297353CC}">
              <c16:uniqueId val="{00000007-958B-433F-9D13-7B2AB5AEEF68}"/>
            </c:ext>
          </c:extLst>
        </c:ser>
        <c:ser>
          <c:idx val="2"/>
          <c:order val="2"/>
          <c:tx>
            <c:strRef>
              <c:f>'Tatimet+Doganat'!$D$3</c:f>
              <c:strCache>
                <c:ptCount val="1"/>
                <c:pt idx="0">
                  <c:v>Rritje</c:v>
                </c:pt>
              </c:strCache>
            </c:strRef>
          </c:tx>
          <c:spPr>
            <a:solidFill>
              <a:srgbClr val="002060"/>
            </a:solidFill>
            <a:ln>
              <a:noFill/>
            </a:ln>
            <a:effectLst/>
          </c:spPr>
          <c:invertIfNegative val="0"/>
          <c:cat>
            <c:strRef>
              <c:f>'Tatimet+Doganat'!$A$4:$A$15</c:f>
              <c:strCache>
                <c:ptCount val="12"/>
                <c:pt idx="0">
                  <c:v>Fakt 2019</c:v>
                </c:pt>
                <c:pt idx="1">
                  <c:v>TVSH import</c:v>
                </c:pt>
                <c:pt idx="2">
                  <c:v>TVSH Neto</c:v>
                </c:pt>
                <c:pt idx="3">
                  <c:v>Tatim Fitimi</c:v>
                </c:pt>
                <c:pt idx="4">
                  <c:v>Akciza</c:v>
                </c:pt>
                <c:pt idx="5">
                  <c:v>TAP</c:v>
                </c:pt>
                <c:pt idx="6">
                  <c:v>T. Nacionale</c:v>
                </c:pt>
                <c:pt idx="7">
                  <c:v>R. Minerare</c:v>
                </c:pt>
                <c:pt idx="8">
                  <c:v>T. Doganore</c:v>
                </c:pt>
                <c:pt idx="9">
                  <c:v>Kontributet </c:v>
                </c:pt>
                <c:pt idx="10">
                  <c:v>Fakt 2020</c:v>
                </c:pt>
                <c:pt idx="11">
                  <c:v>Plan 2020</c:v>
                </c:pt>
              </c:strCache>
            </c:strRef>
          </c:cat>
          <c:val>
            <c:numRef>
              <c:f>'Tatimet+Doganat'!$D$4:$D$15</c:f>
              <c:numCache>
                <c:formatCode>General</c:formatCode>
                <c:ptCount val="12"/>
                <c:pt idx="2" formatCode="_(* #,##0_);_(* \(#,##0\);_(* &quot;-&quot;??_);_(@_)">
                  <c:v>0</c:v>
                </c:pt>
                <c:pt idx="6" formatCode="_(* #,##0_);_(* \(#,##0\);_(* &quot;-&quot;??_);_(@_)">
                  <c:v>0</c:v>
                </c:pt>
              </c:numCache>
            </c:numRef>
          </c:val>
          <c:extLst xmlns:c16r2="http://schemas.microsoft.com/office/drawing/2015/06/chart">
            <c:ext xmlns:c16="http://schemas.microsoft.com/office/drawing/2014/chart" uri="{C3380CC4-5D6E-409C-BE32-E72D297353CC}">
              <c16:uniqueId val="{00000008-958B-433F-9D13-7B2AB5AEEF68}"/>
            </c:ext>
          </c:extLst>
        </c:ser>
        <c:dLbls>
          <c:showLegendKey val="0"/>
          <c:showVal val="0"/>
          <c:showCatName val="0"/>
          <c:showSerName val="0"/>
          <c:showPercent val="0"/>
          <c:showBubbleSize val="0"/>
        </c:dLbls>
        <c:gapWidth val="50"/>
        <c:overlap val="100"/>
        <c:axId val="-1802621664"/>
        <c:axId val="-1802615136"/>
      </c:barChart>
      <c:catAx>
        <c:axId val="-180262166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802615136"/>
        <c:crosses val="autoZero"/>
        <c:auto val="1"/>
        <c:lblAlgn val="ctr"/>
        <c:lblOffset val="100"/>
        <c:noMultiLvlLbl val="0"/>
      </c:catAx>
      <c:valAx>
        <c:axId val="-1802615136"/>
        <c:scaling>
          <c:orientation val="minMax"/>
          <c:min val="100000"/>
        </c:scaling>
        <c:delete val="0"/>
        <c:axPos val="l"/>
        <c:majorGridlines>
          <c:spPr>
            <a:ln w="9525" cap="flat" cmpd="sng" algn="ctr">
              <a:solidFill>
                <a:schemeClr val="tx1">
                  <a:lumMod val="15000"/>
                  <a:lumOff val="85000"/>
                </a:schemeClr>
              </a:solidFill>
              <a:round/>
            </a:ln>
            <a:effectLst/>
          </c:spPr>
        </c:majorGridlines>
        <c:numFmt formatCode="_(* #,##0_);_(* \(#,##0\);_(* &quot;-&quot;??_);_(@_)"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802621664"/>
        <c:crosses val="autoZero"/>
        <c:crossBetween val="between"/>
      </c:valAx>
      <c:spPr>
        <a:noFill/>
        <a:ln>
          <a:noFill/>
        </a:ln>
        <a:effectLst/>
      </c:spPr>
    </c:plotArea>
    <c:legend>
      <c:legendPos val="b"/>
      <c:legendEntry>
        <c:idx val="0"/>
        <c:delete val="1"/>
      </c:legendEntry>
      <c:legendEntry>
        <c:idx val="2"/>
        <c:delete val="1"/>
      </c:legendEntry>
      <c:layout>
        <c:manualLayout>
          <c:xMode val="edge"/>
          <c:yMode val="edge"/>
          <c:x val="0.82926370185035281"/>
          <c:y val="2.9944527337459927E-2"/>
          <c:w val="0.16786338623559907"/>
          <c:h val="5.834094420133526E-2"/>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barChart>
        <c:barDir val="bar"/>
        <c:grouping val="clustered"/>
        <c:varyColors val="0"/>
        <c:ser>
          <c:idx val="0"/>
          <c:order val="0"/>
          <c:tx>
            <c:strRef>
              <c:f>Sheet1!$C$66</c:f>
              <c:strCache>
                <c:ptCount val="1"/>
                <c:pt idx="0">
                  <c:v>2019</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Sheet1!$B$67:$B$68</c:f>
              <c:strCache>
                <c:ptCount val="2"/>
                <c:pt idx="0">
                  <c:v>Eksport total</c:v>
                </c:pt>
                <c:pt idx="1">
                  <c:v>Import I taksuar</c:v>
                </c:pt>
              </c:strCache>
            </c:strRef>
          </c:cat>
          <c:val>
            <c:numRef>
              <c:f>Sheet1!$C$67:$C$68</c:f>
              <c:numCache>
                <c:formatCode>0</c:formatCode>
                <c:ptCount val="2"/>
                <c:pt idx="0">
                  <c:v>131.411</c:v>
                </c:pt>
                <c:pt idx="1">
                  <c:v>201.65199999999999</c:v>
                </c:pt>
              </c:numCache>
            </c:numRef>
          </c:val>
          <c:extLst xmlns:c16r2="http://schemas.microsoft.com/office/drawing/2015/06/chart">
            <c:ext xmlns:c16="http://schemas.microsoft.com/office/drawing/2014/chart" uri="{C3380CC4-5D6E-409C-BE32-E72D297353CC}">
              <c16:uniqueId val="{00000000-DF86-42B4-9E89-ABA35E77FB13}"/>
            </c:ext>
          </c:extLst>
        </c:ser>
        <c:ser>
          <c:idx val="1"/>
          <c:order val="1"/>
          <c:tx>
            <c:strRef>
              <c:f>Sheet1!$D$66</c:f>
              <c:strCache>
                <c:ptCount val="1"/>
                <c:pt idx="0">
                  <c:v>2020</c:v>
                </c:pt>
              </c:strCache>
            </c:strRef>
          </c:tx>
          <c:spPr>
            <a:solidFill>
              <a:schemeClr val="accent1">
                <a:lumMod val="40000"/>
                <a:lumOff val="60000"/>
              </a:schemeClr>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Sheet1!$B$67:$B$68</c:f>
              <c:strCache>
                <c:ptCount val="2"/>
                <c:pt idx="0">
                  <c:v>Eksport total</c:v>
                </c:pt>
                <c:pt idx="1">
                  <c:v>Import I taksuar</c:v>
                </c:pt>
              </c:strCache>
            </c:strRef>
          </c:cat>
          <c:val>
            <c:numRef>
              <c:f>Sheet1!$D$67:$D$68</c:f>
              <c:numCache>
                <c:formatCode>0</c:formatCode>
                <c:ptCount val="2"/>
                <c:pt idx="0">
                  <c:v>102.166</c:v>
                </c:pt>
                <c:pt idx="1">
                  <c:v>172.363</c:v>
                </c:pt>
              </c:numCache>
            </c:numRef>
          </c:val>
          <c:extLst xmlns:c16r2="http://schemas.microsoft.com/office/drawing/2015/06/chart">
            <c:ext xmlns:c16="http://schemas.microsoft.com/office/drawing/2014/chart" uri="{C3380CC4-5D6E-409C-BE32-E72D297353CC}">
              <c16:uniqueId val="{00000001-DF86-42B4-9E89-ABA35E77FB13}"/>
            </c:ext>
          </c:extLst>
        </c:ser>
        <c:dLbls>
          <c:showLegendKey val="0"/>
          <c:showVal val="0"/>
          <c:showCatName val="0"/>
          <c:showSerName val="0"/>
          <c:showPercent val="0"/>
          <c:showBubbleSize val="0"/>
        </c:dLbls>
        <c:gapWidth val="182"/>
        <c:axId val="-1802619488"/>
        <c:axId val="-1802617856"/>
      </c:barChart>
      <c:catAx>
        <c:axId val="-1802619488"/>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802617856"/>
        <c:crosses val="autoZero"/>
        <c:auto val="1"/>
        <c:lblAlgn val="ctr"/>
        <c:lblOffset val="100"/>
        <c:noMultiLvlLbl val="0"/>
      </c:catAx>
      <c:valAx>
        <c:axId val="-1802617856"/>
        <c:scaling>
          <c:orientation val="minMax"/>
        </c:scaling>
        <c:delete val="0"/>
        <c:axPos val="b"/>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802619488"/>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extLst xmlns:c16r2="http://schemas.microsoft.com/office/drawing/2015/06/char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2">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11081714785651793"/>
          <c:y val="0.17171296296296296"/>
          <c:w val="0.82469291338582662"/>
          <c:h val="0.60854297586967243"/>
        </c:manualLayout>
      </c:layout>
      <c:lineChart>
        <c:grouping val="standard"/>
        <c:varyColors val="0"/>
        <c:ser>
          <c:idx val="0"/>
          <c:order val="0"/>
          <c:tx>
            <c:strRef>
              <c:f>Sheet1!$C$24</c:f>
              <c:strCache>
                <c:ptCount val="1"/>
                <c:pt idx="0">
                  <c:v>Realizim 2019</c:v>
                </c:pt>
              </c:strCache>
            </c:strRef>
          </c:tx>
          <c:spPr>
            <a:ln w="28575" cap="rnd">
              <a:solidFill>
                <a:schemeClr val="accent1"/>
              </a:solidFill>
              <a:round/>
            </a:ln>
            <a:effectLst/>
          </c:spPr>
          <c:marker>
            <c:symbol val="none"/>
          </c:marker>
          <c:cat>
            <c:strRef>
              <c:f>Sheet1!$B$25:$B$36</c:f>
              <c:strCache>
                <c:ptCount val="12"/>
                <c:pt idx="0">
                  <c:v>Janar</c:v>
                </c:pt>
                <c:pt idx="1">
                  <c:v>Shkurt</c:v>
                </c:pt>
                <c:pt idx="2">
                  <c:v>Mars</c:v>
                </c:pt>
                <c:pt idx="3">
                  <c:v>Prill</c:v>
                </c:pt>
                <c:pt idx="4">
                  <c:v>Maj</c:v>
                </c:pt>
                <c:pt idx="5">
                  <c:v>Qershor</c:v>
                </c:pt>
                <c:pt idx="6">
                  <c:v>Korrik</c:v>
                </c:pt>
                <c:pt idx="7">
                  <c:v>Gusht</c:v>
                </c:pt>
                <c:pt idx="8">
                  <c:v>Shtator</c:v>
                </c:pt>
                <c:pt idx="9">
                  <c:v>Tetor</c:v>
                </c:pt>
                <c:pt idx="10">
                  <c:v>Nentor</c:v>
                </c:pt>
                <c:pt idx="11">
                  <c:v>Dhjetor</c:v>
                </c:pt>
              </c:strCache>
            </c:strRef>
          </c:cat>
          <c:val>
            <c:numRef>
              <c:f>Sheet1!$C$25:$C$36</c:f>
              <c:numCache>
                <c:formatCode>#,##0</c:formatCode>
                <c:ptCount val="12"/>
                <c:pt idx="0">
                  <c:v>10404</c:v>
                </c:pt>
                <c:pt idx="1">
                  <c:v>11559</c:v>
                </c:pt>
                <c:pt idx="2">
                  <c:v>13269.229999999996</c:v>
                </c:pt>
                <c:pt idx="3">
                  <c:v>13460.870022000003</c:v>
                </c:pt>
                <c:pt idx="4">
                  <c:v>14107.06721400001</c:v>
                </c:pt>
                <c:pt idx="5">
                  <c:v>13848.192763999992</c:v>
                </c:pt>
                <c:pt idx="6">
                  <c:v>15806.5</c:v>
                </c:pt>
                <c:pt idx="7">
                  <c:v>15562.199999999997</c:v>
                </c:pt>
                <c:pt idx="8">
                  <c:v>12836.990000000005</c:v>
                </c:pt>
                <c:pt idx="9">
                  <c:v>14457.949999999997</c:v>
                </c:pt>
                <c:pt idx="10">
                  <c:v>12820</c:v>
                </c:pt>
                <c:pt idx="11">
                  <c:v>14886.47000000003</c:v>
                </c:pt>
              </c:numCache>
            </c:numRef>
          </c:val>
          <c:smooth val="0"/>
          <c:extLst xmlns:c16r2="http://schemas.microsoft.com/office/drawing/2015/06/chart">
            <c:ext xmlns:c16="http://schemas.microsoft.com/office/drawing/2014/chart" uri="{C3380CC4-5D6E-409C-BE32-E72D297353CC}">
              <c16:uniqueId val="{00000000-FAE6-4C2A-A83D-6CCA36DF4692}"/>
            </c:ext>
          </c:extLst>
        </c:ser>
        <c:ser>
          <c:idx val="1"/>
          <c:order val="1"/>
          <c:tx>
            <c:strRef>
              <c:f>Sheet1!$D$24</c:f>
              <c:strCache>
                <c:ptCount val="1"/>
                <c:pt idx="0">
                  <c:v>Realizim 2020</c:v>
                </c:pt>
              </c:strCache>
            </c:strRef>
          </c:tx>
          <c:spPr>
            <a:ln w="28575" cap="rnd">
              <a:solidFill>
                <a:schemeClr val="accent3"/>
              </a:solidFill>
              <a:round/>
            </a:ln>
            <a:effectLst/>
          </c:spPr>
          <c:marker>
            <c:symbol val="none"/>
          </c:marker>
          <c:cat>
            <c:strRef>
              <c:f>Sheet1!$B$25:$B$36</c:f>
              <c:strCache>
                <c:ptCount val="12"/>
                <c:pt idx="0">
                  <c:v>Janar</c:v>
                </c:pt>
                <c:pt idx="1">
                  <c:v>Shkurt</c:v>
                </c:pt>
                <c:pt idx="2">
                  <c:v>Mars</c:v>
                </c:pt>
                <c:pt idx="3">
                  <c:v>Prill</c:v>
                </c:pt>
                <c:pt idx="4">
                  <c:v>Maj</c:v>
                </c:pt>
                <c:pt idx="5">
                  <c:v>Qershor</c:v>
                </c:pt>
                <c:pt idx="6">
                  <c:v>Korrik</c:v>
                </c:pt>
                <c:pt idx="7">
                  <c:v>Gusht</c:v>
                </c:pt>
                <c:pt idx="8">
                  <c:v>Shtator</c:v>
                </c:pt>
                <c:pt idx="9">
                  <c:v>Tetor</c:v>
                </c:pt>
                <c:pt idx="10">
                  <c:v>Nentor</c:v>
                </c:pt>
                <c:pt idx="11">
                  <c:v>Dhjetor</c:v>
                </c:pt>
              </c:strCache>
            </c:strRef>
          </c:cat>
          <c:val>
            <c:numRef>
              <c:f>Sheet1!$D$25:$D$36</c:f>
              <c:numCache>
                <c:formatCode>#,##0</c:formatCode>
                <c:ptCount val="12"/>
                <c:pt idx="0">
                  <c:v>11529.674000000001</c:v>
                </c:pt>
                <c:pt idx="1">
                  <c:v>12403.58</c:v>
                </c:pt>
                <c:pt idx="2">
                  <c:v>10898.335999999996</c:v>
                </c:pt>
                <c:pt idx="3">
                  <c:v>8938.9910000000091</c:v>
                </c:pt>
                <c:pt idx="4">
                  <c:v>11155.348999999995</c:v>
                </c:pt>
              </c:numCache>
            </c:numRef>
          </c:val>
          <c:smooth val="0"/>
          <c:extLst xmlns:c16r2="http://schemas.microsoft.com/office/drawing/2015/06/chart">
            <c:ext xmlns:c16="http://schemas.microsoft.com/office/drawing/2014/chart" uri="{C3380CC4-5D6E-409C-BE32-E72D297353CC}">
              <c16:uniqueId val="{00000001-FAE6-4C2A-A83D-6CCA36DF4692}"/>
            </c:ext>
          </c:extLst>
        </c:ser>
        <c:ser>
          <c:idx val="2"/>
          <c:order val="2"/>
          <c:tx>
            <c:strRef>
              <c:f>Sheet1!$E$24</c:f>
              <c:strCache>
                <c:ptCount val="1"/>
                <c:pt idx="0">
                  <c:v>Plan 2020</c:v>
                </c:pt>
              </c:strCache>
            </c:strRef>
          </c:tx>
          <c:spPr>
            <a:ln w="28575" cap="rnd">
              <a:solidFill>
                <a:schemeClr val="accent5"/>
              </a:solidFill>
              <a:round/>
            </a:ln>
            <a:effectLst/>
          </c:spPr>
          <c:marker>
            <c:symbol val="none"/>
          </c:marker>
          <c:cat>
            <c:strRef>
              <c:f>Sheet1!$B$25:$B$36</c:f>
              <c:strCache>
                <c:ptCount val="12"/>
                <c:pt idx="0">
                  <c:v>Janar</c:v>
                </c:pt>
                <c:pt idx="1">
                  <c:v>Shkurt</c:v>
                </c:pt>
                <c:pt idx="2">
                  <c:v>Mars</c:v>
                </c:pt>
                <c:pt idx="3">
                  <c:v>Prill</c:v>
                </c:pt>
                <c:pt idx="4">
                  <c:v>Maj</c:v>
                </c:pt>
                <c:pt idx="5">
                  <c:v>Qershor</c:v>
                </c:pt>
                <c:pt idx="6">
                  <c:v>Korrik</c:v>
                </c:pt>
                <c:pt idx="7">
                  <c:v>Gusht</c:v>
                </c:pt>
                <c:pt idx="8">
                  <c:v>Shtator</c:v>
                </c:pt>
                <c:pt idx="9">
                  <c:v>Tetor</c:v>
                </c:pt>
                <c:pt idx="10">
                  <c:v>Nentor</c:v>
                </c:pt>
                <c:pt idx="11">
                  <c:v>Dhjetor</c:v>
                </c:pt>
              </c:strCache>
            </c:strRef>
          </c:cat>
          <c:val>
            <c:numRef>
              <c:f>Sheet1!$E$25:$E$36</c:f>
              <c:numCache>
                <c:formatCode>#,##0</c:formatCode>
                <c:ptCount val="12"/>
                <c:pt idx="0">
                  <c:v>11529.68</c:v>
                </c:pt>
                <c:pt idx="1">
                  <c:v>12404.059999999998</c:v>
                </c:pt>
                <c:pt idx="2">
                  <c:v>10898.450000000004</c:v>
                </c:pt>
                <c:pt idx="3">
                  <c:v>11487.498608351023</c:v>
                </c:pt>
                <c:pt idx="4">
                  <c:v>12238.679435367274</c:v>
                </c:pt>
                <c:pt idx="5">
                  <c:v>14414.086767350476</c:v>
                </c:pt>
                <c:pt idx="6">
                  <c:v>14989.242484129223</c:v>
                </c:pt>
                <c:pt idx="7">
                  <c:v>15092.984259412653</c:v>
                </c:pt>
                <c:pt idx="8">
                  <c:v>14605.322512820858</c:v>
                </c:pt>
                <c:pt idx="9">
                  <c:v>15578.43170633119</c:v>
                </c:pt>
                <c:pt idx="10">
                  <c:v>15143.013308213209</c:v>
                </c:pt>
                <c:pt idx="11">
                  <c:v>15864.644163295685</c:v>
                </c:pt>
              </c:numCache>
            </c:numRef>
          </c:val>
          <c:smooth val="0"/>
          <c:extLst xmlns:c16r2="http://schemas.microsoft.com/office/drawing/2015/06/chart">
            <c:ext xmlns:c16="http://schemas.microsoft.com/office/drawing/2014/chart" uri="{C3380CC4-5D6E-409C-BE32-E72D297353CC}">
              <c16:uniqueId val="{00000002-FAE6-4C2A-A83D-6CCA36DF4692}"/>
            </c:ext>
          </c:extLst>
        </c:ser>
        <c:dLbls>
          <c:showLegendKey val="0"/>
          <c:showVal val="0"/>
          <c:showCatName val="0"/>
          <c:showSerName val="0"/>
          <c:showPercent val="0"/>
          <c:showBubbleSize val="0"/>
        </c:dLbls>
        <c:smooth val="0"/>
        <c:axId val="-1802598816"/>
        <c:axId val="-1802607520"/>
      </c:lineChart>
      <c:catAx>
        <c:axId val="-180259881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800" b="0" i="0" u="none" strike="noStrike" kern="1200" baseline="0">
                <a:solidFill>
                  <a:schemeClr val="tx1">
                    <a:lumMod val="65000"/>
                    <a:lumOff val="35000"/>
                  </a:schemeClr>
                </a:solidFill>
                <a:latin typeface="+mn-lt"/>
                <a:ea typeface="+mn-ea"/>
                <a:cs typeface="+mn-cs"/>
              </a:defRPr>
            </a:pPr>
            <a:endParaRPr lang="en-US"/>
          </a:p>
        </c:txPr>
        <c:crossAx val="-1802607520"/>
        <c:crosses val="autoZero"/>
        <c:auto val="1"/>
        <c:lblAlgn val="ctr"/>
        <c:lblOffset val="100"/>
        <c:noMultiLvlLbl val="0"/>
      </c:catAx>
      <c:valAx>
        <c:axId val="-1802607520"/>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802598816"/>
        <c:crosses val="autoZero"/>
        <c:crossBetween val="between"/>
      </c:valAx>
      <c:spPr>
        <a:solidFill>
          <a:sysClr val="window" lastClr="FFFFFF"/>
        </a:solidFill>
        <a:ln>
          <a:noFill/>
        </a:ln>
        <a:effectLst/>
      </c:spPr>
    </c:plotArea>
    <c:legend>
      <c:legendPos val="b"/>
      <c:layout>
        <c:manualLayout>
          <c:xMode val="edge"/>
          <c:yMode val="edge"/>
          <c:x val="0.15866894899007186"/>
          <c:y val="0.66550123942840467"/>
          <c:w val="0.84133119282419799"/>
          <c:h val="9.0378371527781512E-2"/>
        </c:manualLayout>
      </c:layout>
      <c:overlay val="0"/>
      <c:spPr>
        <a:noFill/>
        <a:ln>
          <a:noFill/>
        </a:ln>
        <a:effectLst/>
      </c:spPr>
      <c:txPr>
        <a:bodyPr rot="0" spcFirstLastPara="1" vertOverflow="ellipsis" vert="horz" wrap="square" anchor="ctr" anchorCtr="1"/>
        <a:lstStyle/>
        <a:p>
          <a:pPr>
            <a:defRPr sz="6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extLst xmlns:c16r2="http://schemas.microsoft.com/office/drawing/2015/06/chart">
      <c:ext xmlns:c16r3="http://schemas.microsoft.com/office/drawing/2017/03/chart" uri="{56B9EC1D-385E-4148-901F-78D8002777C0}">
        <c16r3:dataDisplayOptions16>
          <c16r3:dispNaAsBlank val="1"/>
        </c16r3:dataDisplayOptions16>
      </c:ext>
    </c:extLst>
  </c:chart>
  <c:spPr>
    <a:solidFill>
      <a:schemeClr val="accent1">
        <a:lumMod val="20000"/>
        <a:lumOff val="80000"/>
      </a:schemeClr>
    </a:solidFill>
    <a:ln w="9525" cap="flat" cmpd="sng" algn="ctr">
      <a:solidFill>
        <a:schemeClr val="tx1">
          <a:lumMod val="15000"/>
          <a:lumOff val="85000"/>
        </a:schemeClr>
      </a:solidFill>
      <a:round/>
    </a:ln>
    <a:effectLst/>
  </c:spPr>
  <c:txPr>
    <a:bodyPr/>
    <a:lstStyle/>
    <a:p>
      <a:pPr>
        <a:defRPr/>
      </a:pPr>
      <a:endParaRPr lang="en-US"/>
    </a:p>
  </c:txPr>
  <c:externalData r:id="rId2">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manualLayout>
          <c:layoutTarget val="inner"/>
          <c:xMode val="edge"/>
          <c:yMode val="edge"/>
          <c:x val="0.19443709071249815"/>
          <c:y val="0.13827156909456748"/>
          <c:w val="0.77455515734951741"/>
          <c:h val="0.58397833278809297"/>
        </c:manualLayout>
      </c:layout>
      <c:bar3DChart>
        <c:barDir val="col"/>
        <c:grouping val="clustered"/>
        <c:varyColors val="0"/>
        <c:ser>
          <c:idx val="0"/>
          <c:order val="0"/>
          <c:spPr>
            <a:solidFill>
              <a:schemeClr val="accent1"/>
            </a:solidFill>
            <a:ln>
              <a:noFill/>
            </a:ln>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Sheet1!$C$39:$E$39</c:f>
              <c:strCache>
                <c:ptCount val="3"/>
                <c:pt idx="0">
                  <c:v>Fakt 5M 2019</c:v>
                </c:pt>
                <c:pt idx="1">
                  <c:v>Fakt 5m 2020</c:v>
                </c:pt>
                <c:pt idx="2">
                  <c:v>Plan 2020</c:v>
                </c:pt>
              </c:strCache>
            </c:strRef>
          </c:cat>
          <c:val>
            <c:numRef>
              <c:f>Sheet1!$C$40:$E$40</c:f>
              <c:numCache>
                <c:formatCode>#,##0</c:formatCode>
                <c:ptCount val="3"/>
                <c:pt idx="0">
                  <c:v>62800</c:v>
                </c:pt>
                <c:pt idx="1">
                  <c:v>54925.93</c:v>
                </c:pt>
                <c:pt idx="2">
                  <c:v>58558</c:v>
                </c:pt>
              </c:numCache>
            </c:numRef>
          </c:val>
          <c:extLst xmlns:c16r2="http://schemas.microsoft.com/office/drawing/2015/06/chart">
            <c:ext xmlns:c16="http://schemas.microsoft.com/office/drawing/2014/chart" uri="{C3380CC4-5D6E-409C-BE32-E72D297353CC}">
              <c16:uniqueId val="{00000000-8755-4134-ABC8-2BDA6CAE55AA}"/>
            </c:ext>
          </c:extLst>
        </c:ser>
        <c:dLbls>
          <c:showLegendKey val="0"/>
          <c:showVal val="0"/>
          <c:showCatName val="0"/>
          <c:showSerName val="0"/>
          <c:showPercent val="0"/>
          <c:showBubbleSize val="0"/>
        </c:dLbls>
        <c:gapWidth val="150"/>
        <c:shape val="box"/>
        <c:axId val="-1898465296"/>
        <c:axId val="-1898463664"/>
        <c:axId val="0"/>
      </c:bar3DChart>
      <c:catAx>
        <c:axId val="-1898465296"/>
        <c:scaling>
          <c:orientation val="minMax"/>
        </c:scaling>
        <c:delete val="0"/>
        <c:axPos val="b"/>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898463664"/>
        <c:crosses val="autoZero"/>
        <c:auto val="1"/>
        <c:lblAlgn val="ctr"/>
        <c:lblOffset val="100"/>
        <c:noMultiLvlLbl val="0"/>
      </c:catAx>
      <c:valAx>
        <c:axId val="-1898463664"/>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898465296"/>
        <c:crosses val="autoZero"/>
        <c:crossBetween val="between"/>
      </c:valAx>
      <c:spPr>
        <a:solidFill>
          <a:sysClr val="window" lastClr="FFFFFF"/>
        </a:solidFill>
        <a:ln>
          <a:noFill/>
        </a:ln>
        <a:effectLst/>
      </c:spPr>
    </c:plotArea>
    <c:plotVisOnly val="1"/>
    <c:dispBlanksAs val="gap"/>
    <c:showDLblsOverMax val="0"/>
    <c:extLst xmlns:c16r2="http://schemas.microsoft.com/office/drawing/2015/06/chart">
      <c:ext xmlns:c16r3="http://schemas.microsoft.com/office/drawing/2017/03/chart" uri="{56B9EC1D-385E-4148-901F-78D8002777C0}">
        <c16r3:dataDisplayOptions16>
          <c16r3:dispNaAsBlank val="1"/>
        </c16r3:dataDisplayOptions16>
      </c:ext>
    </c:extLst>
  </c:chart>
  <c:spPr>
    <a:solidFill>
      <a:schemeClr val="accent1">
        <a:lumMod val="20000"/>
        <a:lumOff val="80000"/>
      </a:schemeClr>
    </a:solidFill>
    <a:ln w="9525" cap="flat" cmpd="sng" algn="ctr">
      <a:solidFill>
        <a:schemeClr val="tx1">
          <a:lumMod val="15000"/>
          <a:lumOff val="85000"/>
        </a:schemeClr>
      </a:solidFill>
      <a:round/>
    </a:ln>
    <a:effectLst/>
  </c:spPr>
  <c:txPr>
    <a:bodyPr/>
    <a:lstStyle/>
    <a:p>
      <a:pPr>
        <a:defRPr/>
      </a:pPr>
      <a:endParaRPr lang="en-US"/>
    </a:p>
  </c:txPr>
  <c:externalData r:id="rId2">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39136294879027972"/>
          <c:y val="9.6821075394709216E-2"/>
          <c:w val="0.59202230562301206"/>
          <c:h val="0.87698269138147433"/>
        </c:manualLayout>
      </c:layout>
      <c:barChart>
        <c:barDir val="bar"/>
        <c:grouping val="clustered"/>
        <c:varyColors val="0"/>
        <c:ser>
          <c:idx val="0"/>
          <c:order val="0"/>
          <c:spPr>
            <a:solidFill>
              <a:srgbClr val="963836"/>
            </a:solidFill>
          </c:spPr>
          <c:invertIfNegative val="0"/>
          <c:dPt>
            <c:idx val="5"/>
            <c:invertIfNegative val="0"/>
            <c:bubble3D val="0"/>
            <c:spPr>
              <a:solidFill>
                <a:srgbClr val="4F81BD">
                  <a:lumMod val="50000"/>
                </a:srgbClr>
              </a:solidFill>
            </c:spPr>
            <c:extLst xmlns:c16r2="http://schemas.microsoft.com/office/drawing/2015/06/chart">
              <c:ext xmlns:c16="http://schemas.microsoft.com/office/drawing/2014/chart" uri="{C3380CC4-5D6E-409C-BE32-E72D297353CC}">
                <c16:uniqueId val="{00000001-03A2-4A88-AC80-0FC42E745AA1}"/>
              </c:ext>
            </c:extLst>
          </c:dPt>
          <c:dPt>
            <c:idx val="6"/>
            <c:invertIfNegative val="0"/>
            <c:bubble3D val="0"/>
            <c:spPr>
              <a:solidFill>
                <a:srgbClr val="1F497D"/>
              </a:solidFill>
            </c:spPr>
            <c:extLst xmlns:c16r2="http://schemas.microsoft.com/office/drawing/2015/06/chart">
              <c:ext xmlns:c16="http://schemas.microsoft.com/office/drawing/2014/chart" uri="{C3380CC4-5D6E-409C-BE32-E72D297353CC}">
                <c16:uniqueId val="{00000003-03A2-4A88-AC80-0FC42E745AA1}"/>
              </c:ext>
            </c:extLst>
          </c:dPt>
          <c:dPt>
            <c:idx val="7"/>
            <c:invertIfNegative val="0"/>
            <c:bubble3D val="0"/>
            <c:spPr>
              <a:solidFill>
                <a:srgbClr val="1F497D"/>
              </a:solidFill>
            </c:spPr>
            <c:extLst xmlns:c16r2="http://schemas.microsoft.com/office/drawing/2015/06/chart">
              <c:ext xmlns:c16="http://schemas.microsoft.com/office/drawing/2014/chart" uri="{C3380CC4-5D6E-409C-BE32-E72D297353CC}">
                <c16:uniqueId val="{00000005-03A2-4A88-AC80-0FC42E745AA1}"/>
              </c:ext>
            </c:extLst>
          </c:dPt>
          <c:dPt>
            <c:idx val="8"/>
            <c:invertIfNegative val="0"/>
            <c:bubble3D val="0"/>
            <c:spPr>
              <a:solidFill>
                <a:srgbClr val="1F497D"/>
              </a:solidFill>
            </c:spPr>
            <c:extLst xmlns:c16r2="http://schemas.microsoft.com/office/drawing/2015/06/chart">
              <c:ext xmlns:c16="http://schemas.microsoft.com/office/drawing/2014/chart" uri="{C3380CC4-5D6E-409C-BE32-E72D297353CC}">
                <c16:uniqueId val="{00000007-03A2-4A88-AC80-0FC42E745AA1}"/>
              </c:ext>
            </c:extLst>
          </c:dPt>
          <c:dPt>
            <c:idx val="9"/>
            <c:invertIfNegative val="0"/>
            <c:bubble3D val="0"/>
            <c:spPr>
              <a:solidFill>
                <a:srgbClr val="1F497D"/>
              </a:solidFill>
            </c:spPr>
            <c:extLst xmlns:c16r2="http://schemas.microsoft.com/office/drawing/2015/06/chart">
              <c:ext xmlns:c16="http://schemas.microsoft.com/office/drawing/2014/chart" uri="{C3380CC4-5D6E-409C-BE32-E72D297353CC}">
                <c16:uniqueId val="{00000009-03A2-4A88-AC80-0FC42E745AA1}"/>
              </c:ext>
            </c:extLst>
          </c:dPt>
          <c:dLbls>
            <c:dLbl>
              <c:idx val="0"/>
              <c:layout>
                <c:manualLayout>
                  <c:x val="-2.3214782209982378E-2"/>
                  <c:y val="-4.7018566121981346E-2"/>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14-03A2-4A88-AC80-0FC42E745AA1}"/>
                </c:ext>
                <c:ext xmlns:c15="http://schemas.microsoft.com/office/drawing/2012/chart" uri="{CE6537A1-D6FC-4f65-9D91-7224C49458BB}"/>
              </c:extLst>
            </c:dLbl>
            <c:dLbl>
              <c:idx val="1"/>
              <c:layout>
                <c:manualLayout>
                  <c:x val="1.2772126111973229E-7"/>
                  <c:y val="2.3191179317120203E-3"/>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15-03A2-4A88-AC80-0FC42E745AA1}"/>
                </c:ext>
                <c:ext xmlns:c15="http://schemas.microsoft.com/office/drawing/2012/chart" uri="{CE6537A1-D6FC-4f65-9D91-7224C49458BB}"/>
              </c:extLst>
            </c:dLbl>
            <c:dLbl>
              <c:idx val="14"/>
              <c:layout>
                <c:manualLayout>
                  <c:x val="-2.1178985548533247E-3"/>
                  <c:y val="-6.4729605056232124E-3"/>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13-03A2-4A88-AC80-0FC42E745AA1}"/>
                </c:ext>
                <c:ext xmlns:c15="http://schemas.microsoft.com/office/drawing/2012/chart" uri="{CE6537A1-D6FC-4f65-9D91-7224C49458BB}"/>
              </c:extLst>
            </c:dLbl>
            <c:spPr>
              <a:noFill/>
            </c:spPr>
            <c:txPr>
              <a:bodyPr/>
              <a:lstStyle/>
              <a:p>
                <a:pPr>
                  <a:defRPr sz="700" b="1" i="1">
                    <a:solidFill>
                      <a:schemeClr val="tx1"/>
                    </a:solidFill>
                  </a:defRPr>
                </a:pPr>
                <a:endParaRPr lang="en-US"/>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strRef>
              <c:f>'Kontribuesit Kryesore (TR)'!$G$4:$G$13</c:f>
              <c:strCache>
                <c:ptCount val="10"/>
                <c:pt idx="0">
                  <c:v>Karburante Prodhim Vendi </c:v>
                </c:pt>
                <c:pt idx="1">
                  <c:v>Energji Elektrike </c:v>
                </c:pt>
                <c:pt idx="2">
                  <c:v>Karburante Import </c:v>
                </c:pt>
                <c:pt idx="3">
                  <c:v>Metalet bazë dhe artikujt prej tyre</c:v>
                </c:pt>
                <c:pt idx="4">
                  <c:v>Automjeteve të perdorura </c:v>
                </c:pt>
                <c:pt idx="5">
                  <c:v>Fruta Perime</c:v>
                </c:pt>
                <c:pt idx="6">
                  <c:v>Duhan Importi </c:v>
                </c:pt>
                <c:pt idx="7">
                  <c:v>Sheqeri</c:v>
                </c:pt>
                <c:pt idx="8">
                  <c:v>Dhjamra dhe Vajra shtazore dhe vegjetale </c:v>
                </c:pt>
                <c:pt idx="9">
                  <c:v>Mielli dhe Gruri</c:v>
                </c:pt>
              </c:strCache>
            </c:strRef>
          </c:cat>
          <c:val>
            <c:numRef>
              <c:f>'Kontribuesit Kryesore (TR)'!$H$4:$H$13</c:f>
              <c:numCache>
                <c:formatCode>_(* #,##0_);_(* \(#,##0\);_(* "-"??_);_(@_)</c:formatCode>
                <c:ptCount val="10"/>
                <c:pt idx="0">
                  <c:v>-1495.6289399999996</c:v>
                </c:pt>
                <c:pt idx="1">
                  <c:v>-1342.2408159999998</c:v>
                </c:pt>
                <c:pt idx="2">
                  <c:v>-681.98375900000144</c:v>
                </c:pt>
                <c:pt idx="3">
                  <c:v>-564.11920799999962</c:v>
                </c:pt>
                <c:pt idx="4">
                  <c:v>-489.96525300000025</c:v>
                </c:pt>
                <c:pt idx="5">
                  <c:v>46.453054000000002</c:v>
                </c:pt>
                <c:pt idx="6">
                  <c:v>59.348320000000037</c:v>
                </c:pt>
                <c:pt idx="7">
                  <c:v>116.14303699999995</c:v>
                </c:pt>
                <c:pt idx="8">
                  <c:v>121.556348</c:v>
                </c:pt>
                <c:pt idx="9">
                  <c:v>256.74063100000001</c:v>
                </c:pt>
              </c:numCache>
            </c:numRef>
          </c:val>
          <c:extLst xmlns:c16r2="http://schemas.microsoft.com/office/drawing/2015/06/chart">
            <c:ext xmlns:c16="http://schemas.microsoft.com/office/drawing/2014/chart" uri="{C3380CC4-5D6E-409C-BE32-E72D297353CC}">
              <c16:uniqueId val="{00000016-03A2-4A88-AC80-0FC42E745AA1}"/>
            </c:ext>
          </c:extLst>
        </c:ser>
        <c:dLbls>
          <c:showLegendKey val="0"/>
          <c:showVal val="1"/>
          <c:showCatName val="0"/>
          <c:showSerName val="0"/>
          <c:showPercent val="0"/>
          <c:showBubbleSize val="0"/>
        </c:dLbls>
        <c:gapWidth val="150"/>
        <c:overlap val="-25"/>
        <c:axId val="-1898463120"/>
        <c:axId val="-1896249792"/>
      </c:barChart>
      <c:catAx>
        <c:axId val="-1898463120"/>
        <c:scaling>
          <c:orientation val="minMax"/>
        </c:scaling>
        <c:delete val="0"/>
        <c:axPos val="l"/>
        <c:numFmt formatCode="General" sourceLinked="0"/>
        <c:majorTickMark val="none"/>
        <c:minorTickMark val="none"/>
        <c:tickLblPos val="low"/>
        <c:txPr>
          <a:bodyPr/>
          <a:lstStyle/>
          <a:p>
            <a:pPr>
              <a:defRPr sz="1000" i="1"/>
            </a:pPr>
            <a:endParaRPr lang="en-US"/>
          </a:p>
        </c:txPr>
        <c:crossAx val="-1896249792"/>
        <c:crosses val="autoZero"/>
        <c:auto val="1"/>
        <c:lblAlgn val="ctr"/>
        <c:lblOffset val="100"/>
        <c:noMultiLvlLbl val="0"/>
      </c:catAx>
      <c:valAx>
        <c:axId val="-1896249792"/>
        <c:scaling>
          <c:orientation val="minMax"/>
        </c:scaling>
        <c:delete val="1"/>
        <c:axPos val="b"/>
        <c:numFmt formatCode="_(* #,##0_);_(* \(#,##0\);_(* &quot;-&quot;??_);_(@_)" sourceLinked="1"/>
        <c:majorTickMark val="none"/>
        <c:minorTickMark val="none"/>
        <c:tickLblPos val="nextTo"/>
        <c:crossAx val="-1898463120"/>
        <c:crosses val="autoZero"/>
        <c:crossBetween val="between"/>
      </c:valAx>
      <c:spPr>
        <a:noFill/>
        <a:ln>
          <a:noFill/>
        </a:ln>
      </c:spPr>
    </c:plotArea>
    <c:plotVisOnly val="1"/>
    <c:dispBlanksAs val="gap"/>
    <c:showDLblsOverMax val="0"/>
  </c:chart>
  <c:spPr>
    <a:noFill/>
    <a:ln>
      <a:noFill/>
    </a:ln>
  </c:spPr>
  <c:externalData r:id="rId2">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manualLayout>
          <c:layoutTarget val="inner"/>
          <c:xMode val="edge"/>
          <c:yMode val="edge"/>
          <c:x val="0.20418322709661293"/>
          <c:y val="0.12698412698412698"/>
          <c:w val="0.72041994750656169"/>
          <c:h val="0.60635920509936259"/>
        </c:manualLayout>
      </c:layout>
      <c:bar3DChart>
        <c:barDir val="col"/>
        <c:grouping val="stacked"/>
        <c:varyColors val="0"/>
        <c:ser>
          <c:idx val="0"/>
          <c:order val="0"/>
          <c:spPr>
            <a:solidFill>
              <a:schemeClr val="accent1"/>
            </a:solidFill>
            <a:ln>
              <a:noFill/>
            </a:ln>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Sheet1!$C$60:$E$60</c:f>
              <c:strCache>
                <c:ptCount val="3"/>
                <c:pt idx="0">
                  <c:v>Fakt 5M 2019</c:v>
                </c:pt>
                <c:pt idx="1">
                  <c:v>Fakt 5m 2020</c:v>
                </c:pt>
                <c:pt idx="2">
                  <c:v>Plan 2020</c:v>
                </c:pt>
              </c:strCache>
            </c:strRef>
          </c:cat>
          <c:val>
            <c:numRef>
              <c:f>Sheet1!$C$61:$E$61</c:f>
              <c:numCache>
                <c:formatCode>#,##0</c:formatCode>
                <c:ptCount val="3"/>
                <c:pt idx="0">
                  <c:v>100967</c:v>
                </c:pt>
                <c:pt idx="1">
                  <c:v>86778.044234000001</c:v>
                </c:pt>
                <c:pt idx="2">
                  <c:v>95171.473366292194</c:v>
                </c:pt>
              </c:numCache>
            </c:numRef>
          </c:val>
          <c:extLst xmlns:c16r2="http://schemas.microsoft.com/office/drawing/2015/06/chart">
            <c:ext xmlns:c16="http://schemas.microsoft.com/office/drawing/2014/chart" uri="{C3380CC4-5D6E-409C-BE32-E72D297353CC}">
              <c16:uniqueId val="{00000000-E999-41B6-825C-25BD6DBE7AD8}"/>
            </c:ext>
          </c:extLst>
        </c:ser>
        <c:dLbls>
          <c:showLegendKey val="0"/>
          <c:showVal val="0"/>
          <c:showCatName val="0"/>
          <c:showSerName val="0"/>
          <c:showPercent val="0"/>
          <c:showBubbleSize val="0"/>
        </c:dLbls>
        <c:gapWidth val="150"/>
        <c:shape val="box"/>
        <c:axId val="-1752727952"/>
        <c:axId val="-1752726320"/>
        <c:axId val="0"/>
      </c:bar3DChart>
      <c:catAx>
        <c:axId val="-1752727952"/>
        <c:scaling>
          <c:orientation val="minMax"/>
        </c:scaling>
        <c:delete val="0"/>
        <c:axPos val="b"/>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752726320"/>
        <c:crosses val="autoZero"/>
        <c:auto val="1"/>
        <c:lblAlgn val="ctr"/>
        <c:lblOffset val="100"/>
        <c:noMultiLvlLbl val="0"/>
      </c:catAx>
      <c:valAx>
        <c:axId val="-1752726320"/>
        <c:scaling>
          <c:orientation val="minMax"/>
        </c:scaling>
        <c:delete val="0"/>
        <c:axPos val="l"/>
        <c:majorGridlines>
          <c:spPr>
            <a:ln w="9525" cap="flat" cmpd="sng" algn="ctr">
              <a:solidFill>
                <a:schemeClr val="accent1">
                  <a:lumMod val="20000"/>
                  <a:lumOff val="80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752727952"/>
        <c:crosses val="autoZero"/>
        <c:crossBetween val="between"/>
      </c:valAx>
      <c:spPr>
        <a:solidFill>
          <a:schemeClr val="bg1"/>
        </a:solidFill>
        <a:ln>
          <a:noFill/>
        </a:ln>
        <a:effectLst/>
      </c:spPr>
    </c:plotArea>
    <c:plotVisOnly val="1"/>
    <c:dispBlanksAs val="gap"/>
    <c:showDLblsOverMax val="0"/>
    <c:extLst xmlns:c16r2="http://schemas.microsoft.com/office/drawing/2015/06/chart">
      <c:ext xmlns:c16r3="http://schemas.microsoft.com/office/drawing/2017/03/chart" uri="{56B9EC1D-385E-4148-901F-78D8002777C0}">
        <c16r3:dataDisplayOptions16>
          <c16r3:dispNaAsBlank val="1"/>
        </c16r3:dataDisplayOptions16>
      </c:ext>
    </c:extLst>
  </c:chart>
  <c:spPr>
    <a:solidFill>
      <a:schemeClr val="accent1">
        <a:lumMod val="20000"/>
        <a:lumOff val="80000"/>
      </a:schemeClr>
    </a:solidFill>
    <a:ln w="9525" cap="flat" cmpd="sng" algn="ctr">
      <a:solidFill>
        <a:schemeClr val="tx1">
          <a:lumMod val="15000"/>
          <a:lumOff val="85000"/>
        </a:schemeClr>
      </a:solidFill>
      <a:round/>
    </a:ln>
    <a:effectLst/>
  </c:spPr>
  <c:txPr>
    <a:bodyPr/>
    <a:lstStyle/>
    <a:p>
      <a:pPr>
        <a:defRPr/>
      </a:pPr>
      <a:endParaRPr lang="en-US"/>
    </a:p>
  </c:txPr>
  <c:externalData r:id="rId2">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13888228150585655"/>
          <c:y val="7.0007937907920273E-2"/>
          <c:w val="0.81733662396678031"/>
          <c:h val="0.65151088859319417"/>
        </c:manualLayout>
      </c:layout>
      <c:lineChart>
        <c:grouping val="standard"/>
        <c:varyColors val="0"/>
        <c:ser>
          <c:idx val="0"/>
          <c:order val="0"/>
          <c:tx>
            <c:strRef>
              <c:f>Sheet1!$C$45</c:f>
              <c:strCache>
                <c:ptCount val="1"/>
                <c:pt idx="0">
                  <c:v>Realizim 2019</c:v>
                </c:pt>
              </c:strCache>
            </c:strRef>
          </c:tx>
          <c:spPr>
            <a:ln w="28575" cap="rnd">
              <a:solidFill>
                <a:schemeClr val="accent1"/>
              </a:solidFill>
              <a:round/>
            </a:ln>
            <a:effectLst/>
          </c:spPr>
          <c:marker>
            <c:symbol val="none"/>
          </c:marker>
          <c:cat>
            <c:strRef>
              <c:f>Sheet1!$B$46:$B$57</c:f>
              <c:strCache>
                <c:ptCount val="12"/>
                <c:pt idx="0">
                  <c:v>Janar</c:v>
                </c:pt>
                <c:pt idx="1">
                  <c:v>Shkurt</c:v>
                </c:pt>
                <c:pt idx="2">
                  <c:v>Mars</c:v>
                </c:pt>
                <c:pt idx="3">
                  <c:v>Prill</c:v>
                </c:pt>
                <c:pt idx="4">
                  <c:v>Maj</c:v>
                </c:pt>
                <c:pt idx="5">
                  <c:v>Qershor</c:v>
                </c:pt>
                <c:pt idx="6">
                  <c:v>Korrik</c:v>
                </c:pt>
                <c:pt idx="7">
                  <c:v>Gusht</c:v>
                </c:pt>
                <c:pt idx="8">
                  <c:v>Shtator</c:v>
                </c:pt>
                <c:pt idx="9">
                  <c:v>Tetor</c:v>
                </c:pt>
                <c:pt idx="10">
                  <c:v>Nentor</c:v>
                </c:pt>
                <c:pt idx="11">
                  <c:v>Dhjetor</c:v>
                </c:pt>
              </c:strCache>
            </c:strRef>
          </c:cat>
          <c:val>
            <c:numRef>
              <c:f>Sheet1!$C$46:$C$57</c:f>
              <c:numCache>
                <c:formatCode>#,##0</c:formatCode>
                <c:ptCount val="12"/>
                <c:pt idx="0">
                  <c:v>20835.616000000002</c:v>
                </c:pt>
                <c:pt idx="1">
                  <c:v>17808.771999999997</c:v>
                </c:pt>
                <c:pt idx="2">
                  <c:v>21639.531000000003</c:v>
                </c:pt>
                <c:pt idx="3">
                  <c:v>20362.996999999996</c:v>
                </c:pt>
                <c:pt idx="4">
                  <c:v>20319.863000000012</c:v>
                </c:pt>
                <c:pt idx="5">
                  <c:v>19057.820999999996</c:v>
                </c:pt>
                <c:pt idx="6">
                  <c:v>19779.399999999994</c:v>
                </c:pt>
                <c:pt idx="7">
                  <c:v>20620</c:v>
                </c:pt>
                <c:pt idx="8">
                  <c:v>20052</c:v>
                </c:pt>
                <c:pt idx="9">
                  <c:v>21009</c:v>
                </c:pt>
                <c:pt idx="10">
                  <c:v>19236.600000000006</c:v>
                </c:pt>
                <c:pt idx="11">
                  <c:v>19701.399999999994</c:v>
                </c:pt>
              </c:numCache>
            </c:numRef>
          </c:val>
          <c:smooth val="0"/>
          <c:extLst xmlns:c16r2="http://schemas.microsoft.com/office/drawing/2015/06/chart">
            <c:ext xmlns:c16="http://schemas.microsoft.com/office/drawing/2014/chart" uri="{C3380CC4-5D6E-409C-BE32-E72D297353CC}">
              <c16:uniqueId val="{00000000-6DCF-4864-AD3D-66068D87A2B3}"/>
            </c:ext>
          </c:extLst>
        </c:ser>
        <c:ser>
          <c:idx val="1"/>
          <c:order val="1"/>
          <c:tx>
            <c:strRef>
              <c:f>Sheet1!$D$45</c:f>
              <c:strCache>
                <c:ptCount val="1"/>
                <c:pt idx="0">
                  <c:v>Realizim 2020</c:v>
                </c:pt>
              </c:strCache>
            </c:strRef>
          </c:tx>
          <c:spPr>
            <a:ln w="28575" cap="rnd">
              <a:solidFill>
                <a:schemeClr val="accent1">
                  <a:lumMod val="20000"/>
                  <a:lumOff val="80000"/>
                </a:schemeClr>
              </a:solidFill>
              <a:round/>
            </a:ln>
            <a:effectLst/>
          </c:spPr>
          <c:marker>
            <c:symbol val="none"/>
          </c:marker>
          <c:cat>
            <c:strRef>
              <c:f>Sheet1!$B$46:$B$57</c:f>
              <c:strCache>
                <c:ptCount val="12"/>
                <c:pt idx="0">
                  <c:v>Janar</c:v>
                </c:pt>
                <c:pt idx="1">
                  <c:v>Shkurt</c:v>
                </c:pt>
                <c:pt idx="2">
                  <c:v>Mars</c:v>
                </c:pt>
                <c:pt idx="3">
                  <c:v>Prill</c:v>
                </c:pt>
                <c:pt idx="4">
                  <c:v>Maj</c:v>
                </c:pt>
                <c:pt idx="5">
                  <c:v>Qershor</c:v>
                </c:pt>
                <c:pt idx="6">
                  <c:v>Korrik</c:v>
                </c:pt>
                <c:pt idx="7">
                  <c:v>Gusht</c:v>
                </c:pt>
                <c:pt idx="8">
                  <c:v>Shtator</c:v>
                </c:pt>
                <c:pt idx="9">
                  <c:v>Tetor</c:v>
                </c:pt>
                <c:pt idx="10">
                  <c:v>Nentor</c:v>
                </c:pt>
                <c:pt idx="11">
                  <c:v>Dhjetor</c:v>
                </c:pt>
              </c:strCache>
            </c:strRef>
          </c:cat>
          <c:val>
            <c:numRef>
              <c:f>Sheet1!$D$46:$D$57</c:f>
              <c:numCache>
                <c:formatCode>#,##0</c:formatCode>
                <c:ptCount val="12"/>
                <c:pt idx="0">
                  <c:v>20666</c:v>
                </c:pt>
                <c:pt idx="1">
                  <c:v>18186</c:v>
                </c:pt>
                <c:pt idx="2">
                  <c:v>19686</c:v>
                </c:pt>
                <c:pt idx="3">
                  <c:v>15184</c:v>
                </c:pt>
                <c:pt idx="4">
                  <c:v>13056.044234000001</c:v>
                </c:pt>
              </c:numCache>
            </c:numRef>
          </c:val>
          <c:smooth val="0"/>
          <c:extLst xmlns:c16r2="http://schemas.microsoft.com/office/drawing/2015/06/chart">
            <c:ext xmlns:c16="http://schemas.microsoft.com/office/drawing/2014/chart" uri="{C3380CC4-5D6E-409C-BE32-E72D297353CC}">
              <c16:uniqueId val="{00000001-6DCF-4864-AD3D-66068D87A2B3}"/>
            </c:ext>
          </c:extLst>
        </c:ser>
        <c:ser>
          <c:idx val="2"/>
          <c:order val="2"/>
          <c:tx>
            <c:strRef>
              <c:f>Sheet1!$E$45</c:f>
              <c:strCache>
                <c:ptCount val="1"/>
                <c:pt idx="0">
                  <c:v>Plan 2020</c:v>
                </c:pt>
              </c:strCache>
            </c:strRef>
          </c:tx>
          <c:spPr>
            <a:ln w="28575" cap="rnd">
              <a:solidFill>
                <a:schemeClr val="accent3"/>
              </a:solidFill>
              <a:round/>
            </a:ln>
            <a:effectLst/>
          </c:spPr>
          <c:marker>
            <c:symbol val="none"/>
          </c:marker>
          <c:cat>
            <c:strRef>
              <c:f>Sheet1!$B$46:$B$57</c:f>
              <c:strCache>
                <c:ptCount val="12"/>
                <c:pt idx="0">
                  <c:v>Janar</c:v>
                </c:pt>
                <c:pt idx="1">
                  <c:v>Shkurt</c:v>
                </c:pt>
                <c:pt idx="2">
                  <c:v>Mars</c:v>
                </c:pt>
                <c:pt idx="3">
                  <c:v>Prill</c:v>
                </c:pt>
                <c:pt idx="4">
                  <c:v>Maj</c:v>
                </c:pt>
                <c:pt idx="5">
                  <c:v>Qershor</c:v>
                </c:pt>
                <c:pt idx="6">
                  <c:v>Korrik</c:v>
                </c:pt>
                <c:pt idx="7">
                  <c:v>Gusht</c:v>
                </c:pt>
                <c:pt idx="8">
                  <c:v>Shtator</c:v>
                </c:pt>
                <c:pt idx="9">
                  <c:v>Tetor</c:v>
                </c:pt>
                <c:pt idx="10">
                  <c:v>Nentor</c:v>
                </c:pt>
                <c:pt idx="11">
                  <c:v>Dhjetor</c:v>
                </c:pt>
              </c:strCache>
            </c:strRef>
          </c:cat>
          <c:val>
            <c:numRef>
              <c:f>Sheet1!$E$46:$E$57</c:f>
              <c:numCache>
                <c:formatCode>#,##0</c:formatCode>
                <c:ptCount val="12"/>
                <c:pt idx="0">
                  <c:v>20666.86</c:v>
                </c:pt>
                <c:pt idx="1">
                  <c:v>18184.140657755364</c:v>
                </c:pt>
                <c:pt idx="2">
                  <c:v>19695.445717056267</c:v>
                </c:pt>
                <c:pt idx="3">
                  <c:v>18645.701553912619</c:v>
                </c:pt>
                <c:pt idx="4">
                  <c:v>17979.325437567953</c:v>
                </c:pt>
                <c:pt idx="5">
                  <c:v>19723.181219683407</c:v>
                </c:pt>
                <c:pt idx="6">
                  <c:v>24003.684009276596</c:v>
                </c:pt>
                <c:pt idx="7">
                  <c:v>20675.352776066829</c:v>
                </c:pt>
                <c:pt idx="8">
                  <c:v>20959.894139119457</c:v>
                </c:pt>
                <c:pt idx="9">
                  <c:v>23514.035764808315</c:v>
                </c:pt>
                <c:pt idx="10">
                  <c:v>21899.466989988428</c:v>
                </c:pt>
                <c:pt idx="11">
                  <c:v>23382.549786290536</c:v>
                </c:pt>
              </c:numCache>
            </c:numRef>
          </c:val>
          <c:smooth val="0"/>
          <c:extLst xmlns:c16r2="http://schemas.microsoft.com/office/drawing/2015/06/chart">
            <c:ext xmlns:c16="http://schemas.microsoft.com/office/drawing/2014/chart" uri="{C3380CC4-5D6E-409C-BE32-E72D297353CC}">
              <c16:uniqueId val="{00000002-6DCF-4864-AD3D-66068D87A2B3}"/>
            </c:ext>
          </c:extLst>
        </c:ser>
        <c:dLbls>
          <c:showLegendKey val="0"/>
          <c:showVal val="0"/>
          <c:showCatName val="0"/>
          <c:showSerName val="0"/>
          <c:showPercent val="0"/>
          <c:showBubbleSize val="0"/>
        </c:dLbls>
        <c:smooth val="0"/>
        <c:axId val="-1752708912"/>
        <c:axId val="-1752719248"/>
      </c:lineChart>
      <c:catAx>
        <c:axId val="-175270891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700" b="0" i="0" u="none" strike="noStrike" kern="1200" baseline="0">
                <a:solidFill>
                  <a:schemeClr val="tx1">
                    <a:lumMod val="65000"/>
                    <a:lumOff val="35000"/>
                  </a:schemeClr>
                </a:solidFill>
                <a:latin typeface="+mn-lt"/>
                <a:ea typeface="+mn-ea"/>
                <a:cs typeface="+mn-cs"/>
              </a:defRPr>
            </a:pPr>
            <a:endParaRPr lang="en-US"/>
          </a:p>
        </c:txPr>
        <c:crossAx val="-1752719248"/>
        <c:crosses val="autoZero"/>
        <c:auto val="1"/>
        <c:lblAlgn val="ctr"/>
        <c:lblOffset val="100"/>
        <c:noMultiLvlLbl val="0"/>
      </c:catAx>
      <c:valAx>
        <c:axId val="-1752719248"/>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700" b="0" i="0" u="none" strike="noStrike" kern="1200" baseline="0">
                <a:solidFill>
                  <a:schemeClr val="tx1">
                    <a:lumMod val="65000"/>
                    <a:lumOff val="35000"/>
                  </a:schemeClr>
                </a:solidFill>
                <a:latin typeface="+mn-lt"/>
                <a:ea typeface="+mn-ea"/>
                <a:cs typeface="+mn-cs"/>
              </a:defRPr>
            </a:pPr>
            <a:endParaRPr lang="en-US"/>
          </a:p>
        </c:txPr>
        <c:crossAx val="-1752708912"/>
        <c:crosses val="autoZero"/>
        <c:crossBetween val="between"/>
      </c:valAx>
      <c:spPr>
        <a:solidFill>
          <a:schemeClr val="bg1"/>
        </a:solidFill>
        <a:ln>
          <a:noFill/>
        </a:ln>
        <a:effectLst/>
      </c:spPr>
    </c:plotArea>
    <c:legend>
      <c:legendPos val="b"/>
      <c:layout>
        <c:manualLayout>
          <c:xMode val="edge"/>
          <c:yMode val="edge"/>
          <c:x val="0.12562196889567909"/>
          <c:y val="0.60496037564471727"/>
          <c:w val="0.83631825126336823"/>
          <c:h val="0.10739929280456711"/>
        </c:manualLayout>
      </c:layout>
      <c:overlay val="0"/>
      <c:spPr>
        <a:noFill/>
        <a:ln>
          <a:noFill/>
        </a:ln>
        <a:effectLst/>
      </c:spPr>
      <c:txPr>
        <a:bodyPr rot="0" spcFirstLastPara="1" vertOverflow="ellipsis" vert="horz" wrap="square" anchor="ctr" anchorCtr="1"/>
        <a:lstStyle/>
        <a:p>
          <a:pPr>
            <a:defRPr sz="7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extLst xmlns:c16r2="http://schemas.microsoft.com/office/drawing/2015/06/chart">
      <c:ext xmlns:c16r3="http://schemas.microsoft.com/office/drawing/2017/03/chart" uri="{56B9EC1D-385E-4148-901F-78D8002777C0}">
        <c16r3:dataDisplayOptions16>
          <c16r3:dispNaAsBlank val="1"/>
        </c16r3:dataDisplayOptions16>
      </c:ext>
    </c:extLst>
  </c:chart>
  <c:spPr>
    <a:solidFill>
      <a:schemeClr val="accent1">
        <a:lumMod val="20000"/>
        <a:lumOff val="80000"/>
      </a:schemeClr>
    </a:solidFill>
    <a:ln w="9525" cap="flat" cmpd="sng" algn="ctr">
      <a:solidFill>
        <a:schemeClr val="tx1">
          <a:lumMod val="15000"/>
          <a:lumOff val="85000"/>
        </a:schemeClr>
      </a:solidFill>
      <a:round/>
    </a:ln>
    <a:effectLst/>
  </c:spPr>
  <c:txPr>
    <a:bodyPr/>
    <a:lstStyle/>
    <a:p>
      <a:pPr>
        <a:defRPr/>
      </a:pPr>
      <a:endParaRPr lang="en-US"/>
    </a:p>
  </c:txPr>
  <c:externalData r:id="rId2">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7.9303072897878288E-2"/>
          <c:y val="6.7901234567901231E-2"/>
          <c:w val="0.89752683758132135"/>
          <c:h val="0.73334402644113927"/>
        </c:manualLayout>
      </c:layout>
      <c:barChart>
        <c:barDir val="col"/>
        <c:grouping val="clustered"/>
        <c:varyColors val="0"/>
        <c:ser>
          <c:idx val="2"/>
          <c:order val="2"/>
          <c:tx>
            <c:strRef>
              <c:f>Sheet3!$F$4</c:f>
              <c:strCache>
                <c:ptCount val="1"/>
                <c:pt idx="0">
                  <c:v>Rimbursim Fakt</c:v>
                </c:pt>
              </c:strCache>
            </c:strRef>
          </c:tx>
          <c:spPr>
            <a:solidFill>
              <a:schemeClr val="accent1">
                <a:lumMod val="20000"/>
                <a:lumOff val="80000"/>
              </a:schemeClr>
            </a:solidFill>
            <a:ln>
              <a:solidFill>
                <a:schemeClr val="accent1">
                  <a:lumMod val="40000"/>
                  <a:lumOff val="60000"/>
                </a:schemeClr>
              </a:solid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8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Sheet3!$C$5:$C$13</c:f>
              <c:numCache>
                <c:formatCode>General</c:formatCode>
                <c:ptCount val="9"/>
                <c:pt idx="0">
                  <c:v>2012</c:v>
                </c:pt>
                <c:pt idx="1">
                  <c:v>2013</c:v>
                </c:pt>
                <c:pt idx="2">
                  <c:v>2014</c:v>
                </c:pt>
                <c:pt idx="3">
                  <c:v>2015</c:v>
                </c:pt>
                <c:pt idx="4">
                  <c:v>2016</c:v>
                </c:pt>
                <c:pt idx="5">
                  <c:v>2017</c:v>
                </c:pt>
                <c:pt idx="6" formatCode="0">
                  <c:v>2018</c:v>
                </c:pt>
                <c:pt idx="7" formatCode="0">
                  <c:v>2019</c:v>
                </c:pt>
                <c:pt idx="8" formatCode="0">
                  <c:v>2020</c:v>
                </c:pt>
              </c:numCache>
            </c:numRef>
          </c:cat>
          <c:val>
            <c:numRef>
              <c:f>Sheet3!$F$5:$F$13</c:f>
              <c:numCache>
                <c:formatCode>General</c:formatCode>
                <c:ptCount val="9"/>
                <c:pt idx="0">
                  <c:v>2597</c:v>
                </c:pt>
                <c:pt idx="1">
                  <c:v>3513</c:v>
                </c:pt>
                <c:pt idx="2">
                  <c:v>2212</c:v>
                </c:pt>
                <c:pt idx="3">
                  <c:v>2870</c:v>
                </c:pt>
                <c:pt idx="4">
                  <c:v>3004</c:v>
                </c:pt>
                <c:pt idx="5">
                  <c:v>4882</c:v>
                </c:pt>
                <c:pt idx="6" formatCode="0">
                  <c:v>5454.48</c:v>
                </c:pt>
                <c:pt idx="7" formatCode="0">
                  <c:v>6953.7341580000002</c:v>
                </c:pt>
                <c:pt idx="8" formatCode="0">
                  <c:v>5920.8005199999998</c:v>
                </c:pt>
              </c:numCache>
            </c:numRef>
          </c:val>
          <c:extLst xmlns:c16r2="http://schemas.microsoft.com/office/drawing/2015/06/chart">
            <c:ext xmlns:c16="http://schemas.microsoft.com/office/drawing/2014/chart" uri="{C3380CC4-5D6E-409C-BE32-E72D297353CC}">
              <c16:uniqueId val="{00000000-C525-45A8-A43C-1871ED3D6436}"/>
            </c:ext>
          </c:extLst>
        </c:ser>
        <c:dLbls>
          <c:showLegendKey val="0"/>
          <c:showVal val="0"/>
          <c:showCatName val="0"/>
          <c:showSerName val="0"/>
          <c:showPercent val="0"/>
          <c:showBubbleSize val="0"/>
        </c:dLbls>
        <c:gapWidth val="150"/>
        <c:axId val="-1752721424"/>
        <c:axId val="-1752715440"/>
      </c:barChart>
      <c:lineChart>
        <c:grouping val="standard"/>
        <c:varyColors val="0"/>
        <c:ser>
          <c:idx val="0"/>
          <c:order val="0"/>
          <c:tx>
            <c:strRef>
              <c:f>Sheet3!$D$4</c:f>
              <c:strCache>
                <c:ptCount val="1"/>
                <c:pt idx="0">
                  <c:v>Fakt Tvsh Bruto</c:v>
                </c:pt>
              </c:strCache>
            </c:strRef>
          </c:tx>
          <c:spPr>
            <a:ln w="28575" cap="rnd">
              <a:solidFill>
                <a:schemeClr val="accent1"/>
              </a:solidFill>
              <a:round/>
            </a:ln>
            <a:effectLst/>
          </c:spPr>
          <c:marker>
            <c:symbol val="none"/>
          </c:marker>
          <c:dLbls>
            <c:spPr>
              <a:noFill/>
              <a:ln>
                <a:noFill/>
              </a:ln>
              <a:effectLst/>
            </c:spPr>
            <c:txPr>
              <a:bodyPr rot="0" spcFirstLastPara="1" vertOverflow="ellipsis" vert="horz" wrap="square" lIns="38100" tIns="19050" rIns="38100" bIns="19050" anchor="ctr" anchorCtr="1">
                <a:spAutoFit/>
              </a:bodyPr>
              <a:lstStyle/>
              <a:p>
                <a:pPr>
                  <a:defRPr sz="800" b="0" i="0" u="none" strike="noStrike" kern="1200" baseline="0">
                    <a:solidFill>
                      <a:schemeClr val="tx1">
                        <a:lumMod val="75000"/>
                        <a:lumOff val="25000"/>
                      </a:schemeClr>
                    </a:solidFill>
                    <a:latin typeface="+mn-lt"/>
                    <a:ea typeface="+mn-ea"/>
                    <a:cs typeface="+mn-cs"/>
                  </a:defRPr>
                </a:pPr>
                <a:endParaRPr lang="en-US"/>
              </a:p>
            </c:txPr>
            <c:dLblPos val="t"/>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Sheet3!$C$5:$C$13</c:f>
              <c:numCache>
                <c:formatCode>General</c:formatCode>
                <c:ptCount val="9"/>
                <c:pt idx="0">
                  <c:v>2012</c:v>
                </c:pt>
                <c:pt idx="1">
                  <c:v>2013</c:v>
                </c:pt>
                <c:pt idx="2">
                  <c:v>2014</c:v>
                </c:pt>
                <c:pt idx="3">
                  <c:v>2015</c:v>
                </c:pt>
                <c:pt idx="4">
                  <c:v>2016</c:v>
                </c:pt>
                <c:pt idx="5">
                  <c:v>2017</c:v>
                </c:pt>
                <c:pt idx="6" formatCode="0">
                  <c:v>2018</c:v>
                </c:pt>
                <c:pt idx="7" formatCode="0">
                  <c:v>2019</c:v>
                </c:pt>
                <c:pt idx="8" formatCode="0">
                  <c:v>2020</c:v>
                </c:pt>
              </c:numCache>
            </c:numRef>
          </c:cat>
          <c:val>
            <c:numRef>
              <c:f>Sheet3!$D$5:$D$13</c:f>
              <c:numCache>
                <c:formatCode>General</c:formatCode>
                <c:ptCount val="9"/>
                <c:pt idx="0">
                  <c:v>12635</c:v>
                </c:pt>
                <c:pt idx="1">
                  <c:v>12991</c:v>
                </c:pt>
                <c:pt idx="2">
                  <c:v>14389</c:v>
                </c:pt>
                <c:pt idx="3">
                  <c:v>14738</c:v>
                </c:pt>
                <c:pt idx="4">
                  <c:v>17290</c:v>
                </c:pt>
                <c:pt idx="5">
                  <c:v>19602</c:v>
                </c:pt>
                <c:pt idx="6" formatCode="0">
                  <c:v>19841.72</c:v>
                </c:pt>
                <c:pt idx="7" formatCode="0">
                  <c:v>19675.734157999999</c:v>
                </c:pt>
                <c:pt idx="8" formatCode="0">
                  <c:v>17785.973481000001</c:v>
                </c:pt>
              </c:numCache>
            </c:numRef>
          </c:val>
          <c:smooth val="0"/>
          <c:extLst xmlns:c16r2="http://schemas.microsoft.com/office/drawing/2015/06/chart">
            <c:ext xmlns:c16="http://schemas.microsoft.com/office/drawing/2014/chart" uri="{C3380CC4-5D6E-409C-BE32-E72D297353CC}">
              <c16:uniqueId val="{00000001-C525-45A8-A43C-1871ED3D6436}"/>
            </c:ext>
          </c:extLst>
        </c:ser>
        <c:ser>
          <c:idx val="1"/>
          <c:order val="1"/>
          <c:tx>
            <c:strRef>
              <c:f>Sheet3!$E$4</c:f>
              <c:strCache>
                <c:ptCount val="1"/>
                <c:pt idx="0">
                  <c:v>Fakt Tvsh Neto</c:v>
                </c:pt>
              </c:strCache>
            </c:strRef>
          </c:tx>
          <c:spPr>
            <a:ln w="28575" cap="rnd">
              <a:solidFill>
                <a:schemeClr val="accent1">
                  <a:lumMod val="60000"/>
                  <a:lumOff val="40000"/>
                </a:schemeClr>
              </a:solidFill>
              <a:round/>
            </a:ln>
            <a:effectLst/>
          </c:spPr>
          <c:marker>
            <c:symbol val="none"/>
          </c:marker>
          <c:dLbls>
            <c:spPr>
              <a:noFill/>
              <a:ln>
                <a:noFill/>
              </a:ln>
              <a:effectLst/>
            </c:spPr>
            <c:txPr>
              <a:bodyPr rot="0" spcFirstLastPara="1" vertOverflow="ellipsis" vert="horz" wrap="square" lIns="38100" tIns="19050" rIns="38100" bIns="19050" anchor="ctr" anchorCtr="1">
                <a:spAutoFit/>
              </a:bodyPr>
              <a:lstStyle/>
              <a:p>
                <a:pPr>
                  <a:defRPr sz="800" b="0" i="0" u="none" strike="noStrike" kern="1200" baseline="0">
                    <a:solidFill>
                      <a:schemeClr val="tx1">
                        <a:lumMod val="75000"/>
                        <a:lumOff val="25000"/>
                      </a:schemeClr>
                    </a:solidFill>
                    <a:latin typeface="+mn-lt"/>
                    <a:ea typeface="+mn-ea"/>
                    <a:cs typeface="+mn-cs"/>
                  </a:defRPr>
                </a:pPr>
                <a:endParaRPr lang="en-US"/>
              </a:p>
            </c:txPr>
            <c:dLblPos val="b"/>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Sheet3!$C$5:$C$13</c:f>
              <c:numCache>
                <c:formatCode>General</c:formatCode>
                <c:ptCount val="9"/>
                <c:pt idx="0">
                  <c:v>2012</c:v>
                </c:pt>
                <c:pt idx="1">
                  <c:v>2013</c:v>
                </c:pt>
                <c:pt idx="2">
                  <c:v>2014</c:v>
                </c:pt>
                <c:pt idx="3">
                  <c:v>2015</c:v>
                </c:pt>
                <c:pt idx="4">
                  <c:v>2016</c:v>
                </c:pt>
                <c:pt idx="5">
                  <c:v>2017</c:v>
                </c:pt>
                <c:pt idx="6" formatCode="0">
                  <c:v>2018</c:v>
                </c:pt>
                <c:pt idx="7" formatCode="0">
                  <c:v>2019</c:v>
                </c:pt>
                <c:pt idx="8" formatCode="0">
                  <c:v>2020</c:v>
                </c:pt>
              </c:numCache>
            </c:numRef>
          </c:cat>
          <c:val>
            <c:numRef>
              <c:f>Sheet3!$E$5:$E$13</c:f>
              <c:numCache>
                <c:formatCode>General</c:formatCode>
                <c:ptCount val="9"/>
                <c:pt idx="0">
                  <c:v>10038</c:v>
                </c:pt>
                <c:pt idx="1">
                  <c:v>9478</c:v>
                </c:pt>
                <c:pt idx="2">
                  <c:v>12177</c:v>
                </c:pt>
                <c:pt idx="3">
                  <c:v>11868</c:v>
                </c:pt>
                <c:pt idx="4">
                  <c:v>14286</c:v>
                </c:pt>
                <c:pt idx="5">
                  <c:v>14720</c:v>
                </c:pt>
                <c:pt idx="6" formatCode="0">
                  <c:v>14387.240000000002</c:v>
                </c:pt>
                <c:pt idx="7" formatCode="0">
                  <c:v>12722</c:v>
                </c:pt>
                <c:pt idx="8" formatCode="0">
                  <c:v>11865.172961000002</c:v>
                </c:pt>
              </c:numCache>
            </c:numRef>
          </c:val>
          <c:smooth val="0"/>
          <c:extLst xmlns:c16r2="http://schemas.microsoft.com/office/drawing/2015/06/chart">
            <c:ext xmlns:c16="http://schemas.microsoft.com/office/drawing/2014/chart" uri="{C3380CC4-5D6E-409C-BE32-E72D297353CC}">
              <c16:uniqueId val="{00000002-C525-45A8-A43C-1871ED3D6436}"/>
            </c:ext>
          </c:extLst>
        </c:ser>
        <c:dLbls>
          <c:showLegendKey val="0"/>
          <c:showVal val="0"/>
          <c:showCatName val="0"/>
          <c:showSerName val="0"/>
          <c:showPercent val="0"/>
          <c:showBubbleSize val="0"/>
        </c:dLbls>
        <c:marker val="1"/>
        <c:smooth val="0"/>
        <c:axId val="-1752721424"/>
        <c:axId val="-1752715440"/>
      </c:lineChart>
      <c:catAx>
        <c:axId val="-175272142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752715440"/>
        <c:crosses val="autoZero"/>
        <c:auto val="1"/>
        <c:lblAlgn val="ctr"/>
        <c:lblOffset val="100"/>
        <c:noMultiLvlLbl val="0"/>
      </c:catAx>
      <c:valAx>
        <c:axId val="-1752715440"/>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752721424"/>
        <c:crosses val="autoZero"/>
        <c:crossBetween val="between"/>
      </c:valAx>
      <c:spPr>
        <a:noFill/>
        <a:ln>
          <a:noFill/>
        </a:ln>
        <a:effectLst/>
      </c:spPr>
    </c:plotArea>
    <c:legend>
      <c:legendPos val="b"/>
      <c:layout>
        <c:manualLayout>
          <c:xMode val="edge"/>
          <c:yMode val="edge"/>
          <c:x val="0.21569164044067951"/>
          <c:y val="0.89711529114416266"/>
          <c:w val="0.56019123202016807"/>
          <c:h val="9.6711869349664623E-2"/>
        </c:manualLayout>
      </c:layout>
      <c:overlay val="0"/>
      <c:spPr>
        <a:noFill/>
        <a:ln>
          <a:noFill/>
        </a:ln>
        <a:effectLst/>
      </c:spPr>
      <c:txPr>
        <a:bodyPr rot="0" spcFirstLastPara="1" vertOverflow="ellipsis" vert="horz" wrap="square" anchor="ctr" anchorCtr="1"/>
        <a:lstStyle/>
        <a:p>
          <a:pPr>
            <a:defRPr sz="8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extLst xmlns:c16r2="http://schemas.microsoft.com/office/drawing/2015/06/char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accent1">
          <a:lumMod val="40000"/>
          <a:lumOff val="60000"/>
        </a:schemeClr>
      </a:solidFill>
      <a:round/>
    </a:ln>
    <a:effectLst/>
  </c:spPr>
  <c:txPr>
    <a:bodyPr/>
    <a:lstStyle/>
    <a:p>
      <a:pPr>
        <a:defRPr/>
      </a:pPr>
      <a:endParaRPr lang="en-US"/>
    </a:p>
  </c:txPr>
  <c:externalData r:id="rId2">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barChart>
        <c:barDir val="col"/>
        <c:grouping val="clustered"/>
        <c:varyColors val="0"/>
        <c:ser>
          <c:idx val="1"/>
          <c:order val="1"/>
          <c:tx>
            <c:strRef>
              <c:f>Sheet3!$F$22</c:f>
              <c:strCache>
                <c:ptCount val="1"/>
                <c:pt idx="0">
                  <c:v>Plan</c:v>
                </c:pt>
              </c:strCache>
            </c:strRef>
          </c:tx>
          <c:spPr>
            <a:solidFill>
              <a:schemeClr val="accent1">
                <a:lumMod val="20000"/>
                <a:lumOff val="80000"/>
              </a:schemeClr>
            </a:solidFill>
            <a:ln>
              <a:noFill/>
            </a:ln>
            <a:effectLst/>
          </c:spPr>
          <c:invertIfNegative val="0"/>
          <c:dLbls>
            <c:dLbl>
              <c:idx val="0"/>
              <c:layout>
                <c:manualLayout>
                  <c:x val="-2.1036284047675032E-17"/>
                  <c:y val="0.20833333333333334"/>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0-7151-4646-94F4-1637713E030B}"/>
                </c:ext>
                <c:ext xmlns:c15="http://schemas.microsoft.com/office/drawing/2012/chart" uri="{CE6537A1-D6FC-4f65-9D91-7224C49458BB}"/>
              </c:extLst>
            </c:dLbl>
            <c:dLbl>
              <c:idx val="1"/>
              <c:layout>
                <c:manualLayout>
                  <c:x val="-4.2072568095350064E-17"/>
                  <c:y val="9.722222222222214E-2"/>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1-7151-4646-94F4-1637713E030B}"/>
                </c:ext>
                <c:ext xmlns:c15="http://schemas.microsoft.com/office/drawing/2012/chart" uri="{CE6537A1-D6FC-4f65-9D91-7224C49458BB}"/>
              </c:extLst>
            </c:dLbl>
            <c:dLbl>
              <c:idx val="2"/>
              <c:layout>
                <c:manualLayout>
                  <c:x val="0"/>
                  <c:y val="0.13425925925925916"/>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2-7151-4646-94F4-1637713E030B}"/>
                </c:ext>
                <c:ext xmlns:c15="http://schemas.microsoft.com/office/drawing/2012/chart" uri="{CE6537A1-D6FC-4f65-9D91-7224C49458BB}"/>
              </c:extLst>
            </c:dLbl>
            <c:dLbl>
              <c:idx val="3"/>
              <c:layout>
                <c:manualLayout>
                  <c:x val="0"/>
                  <c:y val="0.12037037037037036"/>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3-7151-4646-94F4-1637713E030B}"/>
                </c:ext>
                <c:ext xmlns:c15="http://schemas.microsoft.com/office/drawing/2012/chart" uri="{CE6537A1-D6FC-4f65-9D91-7224C49458BB}"/>
              </c:extLst>
            </c:dLbl>
            <c:dLbl>
              <c:idx val="4"/>
              <c:layout>
                <c:manualLayout>
                  <c:x val="-2.2948938611589212E-3"/>
                  <c:y val="0.12037037037037028"/>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4-7151-4646-94F4-1637713E030B}"/>
                </c:ext>
                <c:ext xmlns:c15="http://schemas.microsoft.com/office/drawing/2012/chart" uri="{CE6537A1-D6FC-4f65-9D91-7224C49458BB}"/>
              </c:extLst>
            </c:dLbl>
            <c:dLbl>
              <c:idx val="5"/>
              <c:layout>
                <c:manualLayout>
                  <c:x val="0"/>
                  <c:y val="0.125"/>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5-7151-4646-94F4-1637713E030B}"/>
                </c:ext>
                <c:ext xmlns:c15="http://schemas.microsoft.com/office/drawing/2012/chart" uri="{CE6537A1-D6FC-4f65-9D91-7224C49458BB}"/>
              </c:extLst>
            </c:dLbl>
            <c:dLbl>
              <c:idx val="6"/>
              <c:layout>
                <c:manualLayout>
                  <c:x val="0"/>
                  <c:y val="0.15277777777777779"/>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6-7151-4646-94F4-1637713E030B}"/>
                </c:ext>
                <c:ext xmlns:c15="http://schemas.microsoft.com/office/drawing/2012/chart" uri="{CE6537A1-D6FC-4f65-9D91-7224C49458BB}"/>
              </c:extLst>
            </c:dLbl>
            <c:dLbl>
              <c:idx val="7"/>
              <c:layout>
                <c:manualLayout>
                  <c:x val="-6.8846815834769327E-3"/>
                  <c:y val="0.15277777777777779"/>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7-7151-4646-94F4-1637713E030B}"/>
                </c:ext>
                <c:ext xmlns:c15="http://schemas.microsoft.com/office/drawing/2012/chart" uri="{CE6537A1-D6FC-4f65-9D91-7224C49458BB}"/>
              </c:extLst>
            </c:dLbl>
            <c:dLbl>
              <c:idx val="8"/>
              <c:layout>
                <c:manualLayout>
                  <c:x val="4.5897877223178424E-3"/>
                  <c:y val="0.16666666666666663"/>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8-7151-4646-94F4-1637713E030B}"/>
                </c:ext>
                <c:ext xmlns:c15="http://schemas.microsoft.com/office/drawing/2012/chart" uri="{CE6537A1-D6FC-4f65-9D91-7224C49458BB}"/>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Sheet3!$D$23:$D$31</c:f>
              <c:numCache>
                <c:formatCode>General</c:formatCode>
                <c:ptCount val="9"/>
                <c:pt idx="0">
                  <c:v>2012</c:v>
                </c:pt>
                <c:pt idx="1">
                  <c:v>2013</c:v>
                </c:pt>
                <c:pt idx="2">
                  <c:v>2014</c:v>
                </c:pt>
                <c:pt idx="3">
                  <c:v>2015</c:v>
                </c:pt>
                <c:pt idx="4">
                  <c:v>2016</c:v>
                </c:pt>
                <c:pt idx="5">
                  <c:v>2017</c:v>
                </c:pt>
                <c:pt idx="6">
                  <c:v>2018</c:v>
                </c:pt>
                <c:pt idx="7">
                  <c:v>2019</c:v>
                </c:pt>
                <c:pt idx="8">
                  <c:v>2020</c:v>
                </c:pt>
              </c:numCache>
            </c:numRef>
          </c:cat>
          <c:val>
            <c:numRef>
              <c:f>Sheet3!$F$23:$F$31</c:f>
              <c:numCache>
                <c:formatCode>#,##0</c:formatCode>
                <c:ptCount val="9"/>
                <c:pt idx="0">
                  <c:v>10560</c:v>
                </c:pt>
                <c:pt idx="1">
                  <c:v>6500</c:v>
                </c:pt>
                <c:pt idx="2">
                  <c:v>10000</c:v>
                </c:pt>
                <c:pt idx="3">
                  <c:v>10568</c:v>
                </c:pt>
                <c:pt idx="4">
                  <c:v>11550</c:v>
                </c:pt>
                <c:pt idx="5">
                  <c:v>11702</c:v>
                </c:pt>
                <c:pt idx="6">
                  <c:v>16650</c:v>
                </c:pt>
                <c:pt idx="7">
                  <c:v>15744.971812272484</c:v>
                </c:pt>
                <c:pt idx="8">
                  <c:v>14043.141312078504</c:v>
                </c:pt>
              </c:numCache>
            </c:numRef>
          </c:val>
          <c:extLst xmlns:c16r2="http://schemas.microsoft.com/office/drawing/2015/06/chart">
            <c:ext xmlns:c16="http://schemas.microsoft.com/office/drawing/2014/chart" uri="{C3380CC4-5D6E-409C-BE32-E72D297353CC}">
              <c16:uniqueId val="{00000009-7151-4646-94F4-1637713E030B}"/>
            </c:ext>
          </c:extLst>
        </c:ser>
        <c:dLbls>
          <c:showLegendKey val="0"/>
          <c:showVal val="0"/>
          <c:showCatName val="0"/>
          <c:showSerName val="0"/>
          <c:showPercent val="0"/>
          <c:showBubbleSize val="0"/>
        </c:dLbls>
        <c:gapWidth val="150"/>
        <c:axId val="-1752707280"/>
        <c:axId val="-1752711088"/>
      </c:barChart>
      <c:lineChart>
        <c:grouping val="standard"/>
        <c:varyColors val="0"/>
        <c:ser>
          <c:idx val="0"/>
          <c:order val="0"/>
          <c:tx>
            <c:strRef>
              <c:f>Sheet3!$E$22</c:f>
              <c:strCache>
                <c:ptCount val="1"/>
                <c:pt idx="0">
                  <c:v>Fakt</c:v>
                </c:pt>
              </c:strCache>
            </c:strRef>
          </c:tx>
          <c:spPr>
            <a:ln w="28575" cap="rnd">
              <a:solidFill>
                <a:schemeClr val="accent1"/>
              </a:solidFill>
              <a:round/>
            </a:ln>
            <a:effectLst/>
          </c:spPr>
          <c:marker>
            <c:symbol val="none"/>
          </c:marker>
          <c:dLbls>
            <c:dLbl>
              <c:idx val="2"/>
              <c:layout>
                <c:manualLayout>
                  <c:x val="-3.8422305645529252E-2"/>
                  <c:y val="-0.1087616652085156"/>
                </c:manualLayout>
              </c:layout>
              <c:dLblPos val="r"/>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A-7151-4646-94F4-1637713E030B}"/>
                </c:ext>
                <c:ext xmlns:c15="http://schemas.microsoft.com/office/drawing/2012/chart" uri="{CE6537A1-D6FC-4f65-9D91-7224C49458BB}"/>
              </c:extLst>
            </c:dLbl>
            <c:dLbl>
              <c:idx val="6"/>
              <c:layout>
                <c:manualLayout>
                  <c:x val="-4.1359769787812667E-2"/>
                  <c:y val="-8.0983887430737825E-2"/>
                </c:manualLayout>
              </c:layout>
              <c:dLblPos val="r"/>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B-7151-4646-94F4-1637713E030B}"/>
                </c:ext>
                <c:ext xmlns:c15="http://schemas.microsoft.com/office/drawing/2012/chart" uri="{CE6537A1-D6FC-4f65-9D91-7224C49458BB}"/>
              </c:extLst>
            </c:dLbl>
            <c:dLbl>
              <c:idx val="8"/>
              <c:layout>
                <c:manualLayout>
                  <c:x val="-6.5596017365299221E-3"/>
                  <c:y val="-3.4687591134441531E-2"/>
                </c:manualLayout>
              </c:layout>
              <c:dLblPos val="r"/>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C-7151-4646-94F4-1637713E030B}"/>
                </c:ext>
                <c:ext xmlns:c15="http://schemas.microsoft.com/office/drawing/2012/chart" uri="{CE6537A1-D6FC-4f65-9D91-7224C49458BB}"/>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t"/>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numRef>
              <c:f>Sheet3!$D$23:$D$31</c:f>
              <c:numCache>
                <c:formatCode>General</c:formatCode>
                <c:ptCount val="9"/>
                <c:pt idx="0">
                  <c:v>2012</c:v>
                </c:pt>
                <c:pt idx="1">
                  <c:v>2013</c:v>
                </c:pt>
                <c:pt idx="2">
                  <c:v>2014</c:v>
                </c:pt>
                <c:pt idx="3">
                  <c:v>2015</c:v>
                </c:pt>
                <c:pt idx="4">
                  <c:v>2016</c:v>
                </c:pt>
                <c:pt idx="5">
                  <c:v>2017</c:v>
                </c:pt>
                <c:pt idx="6">
                  <c:v>2018</c:v>
                </c:pt>
                <c:pt idx="7">
                  <c:v>2019</c:v>
                </c:pt>
                <c:pt idx="8">
                  <c:v>2020</c:v>
                </c:pt>
              </c:numCache>
            </c:numRef>
          </c:cat>
          <c:val>
            <c:numRef>
              <c:f>Sheet3!$E$23:$E$31</c:f>
              <c:numCache>
                <c:formatCode>#,##0</c:formatCode>
                <c:ptCount val="9"/>
                <c:pt idx="0">
                  <c:v>7688</c:v>
                </c:pt>
                <c:pt idx="1">
                  <c:v>7579</c:v>
                </c:pt>
                <c:pt idx="2">
                  <c:v>9477</c:v>
                </c:pt>
                <c:pt idx="3">
                  <c:v>11736</c:v>
                </c:pt>
                <c:pt idx="4">
                  <c:v>14551</c:v>
                </c:pt>
                <c:pt idx="5">
                  <c:v>15326</c:v>
                </c:pt>
                <c:pt idx="6">
                  <c:v>15588.49</c:v>
                </c:pt>
                <c:pt idx="7">
                  <c:v>17696</c:v>
                </c:pt>
                <c:pt idx="8">
                  <c:v>11453.595144000001</c:v>
                </c:pt>
              </c:numCache>
            </c:numRef>
          </c:val>
          <c:smooth val="0"/>
          <c:extLst xmlns:c16r2="http://schemas.microsoft.com/office/drawing/2015/06/chart">
            <c:ext xmlns:c16="http://schemas.microsoft.com/office/drawing/2014/chart" uri="{C3380CC4-5D6E-409C-BE32-E72D297353CC}">
              <c16:uniqueId val="{0000000D-7151-4646-94F4-1637713E030B}"/>
            </c:ext>
          </c:extLst>
        </c:ser>
        <c:dLbls>
          <c:showLegendKey val="0"/>
          <c:showVal val="0"/>
          <c:showCatName val="0"/>
          <c:showSerName val="0"/>
          <c:showPercent val="0"/>
          <c:showBubbleSize val="0"/>
        </c:dLbls>
        <c:marker val="1"/>
        <c:smooth val="0"/>
        <c:axId val="-1752707280"/>
        <c:axId val="-1752711088"/>
      </c:lineChart>
      <c:catAx>
        <c:axId val="-175270728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752711088"/>
        <c:crosses val="autoZero"/>
        <c:auto val="1"/>
        <c:lblAlgn val="ctr"/>
        <c:lblOffset val="100"/>
        <c:noMultiLvlLbl val="0"/>
      </c:catAx>
      <c:valAx>
        <c:axId val="-1752711088"/>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752707280"/>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extLst xmlns:c16r2="http://schemas.microsoft.com/office/drawing/2015/06/char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2">
    <c:autoUpdate val="0"/>
  </c:externalData>
</c:chartSpace>
</file>

<file path=word/charts/chart10.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barChart>
        <c:barDir val="col"/>
        <c:grouping val="clustered"/>
        <c:varyColors val="0"/>
        <c:ser>
          <c:idx val="1"/>
          <c:order val="1"/>
          <c:tx>
            <c:strRef>
              <c:f>Sheet3!$E$38</c:f>
              <c:strCache>
                <c:ptCount val="1"/>
                <c:pt idx="0">
                  <c:v>Plan</c:v>
                </c:pt>
              </c:strCache>
            </c:strRef>
          </c:tx>
          <c:spPr>
            <a:solidFill>
              <a:schemeClr val="accent1">
                <a:lumMod val="20000"/>
                <a:lumOff val="80000"/>
              </a:schemeClr>
            </a:solidFill>
            <a:ln>
              <a:solidFill>
                <a:schemeClr val="accent1">
                  <a:lumMod val="20000"/>
                  <a:lumOff val="80000"/>
                </a:schemeClr>
              </a:solid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800" b="0" i="0" u="none" strike="noStrike" kern="1200" baseline="0">
                    <a:solidFill>
                      <a:schemeClr val="tx1">
                        <a:lumMod val="75000"/>
                        <a:lumOff val="25000"/>
                      </a:schemeClr>
                    </a:solidFill>
                    <a:latin typeface="+mn-lt"/>
                    <a:ea typeface="+mn-ea"/>
                    <a:cs typeface="+mn-cs"/>
                  </a:defRPr>
                </a:pPr>
                <a:endParaRPr lang="en-US"/>
              </a:p>
            </c:txPr>
            <c:dLblPos val="ct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Sheet3!$C$39:$C$47</c:f>
              <c:numCache>
                <c:formatCode>General</c:formatCode>
                <c:ptCount val="9"/>
                <c:pt idx="0">
                  <c:v>2012</c:v>
                </c:pt>
                <c:pt idx="1">
                  <c:v>2013</c:v>
                </c:pt>
                <c:pt idx="2">
                  <c:v>2014</c:v>
                </c:pt>
                <c:pt idx="3">
                  <c:v>2015</c:v>
                </c:pt>
                <c:pt idx="4">
                  <c:v>2016</c:v>
                </c:pt>
                <c:pt idx="5">
                  <c:v>2017</c:v>
                </c:pt>
                <c:pt idx="6">
                  <c:v>2018</c:v>
                </c:pt>
                <c:pt idx="7">
                  <c:v>2019</c:v>
                </c:pt>
                <c:pt idx="8">
                  <c:v>2020</c:v>
                </c:pt>
              </c:numCache>
            </c:numRef>
          </c:cat>
          <c:val>
            <c:numRef>
              <c:f>Sheet3!$E$39:$E$47</c:f>
              <c:numCache>
                <c:formatCode>#,##0</c:formatCode>
                <c:ptCount val="9"/>
                <c:pt idx="0">
                  <c:v>11620</c:v>
                </c:pt>
                <c:pt idx="1">
                  <c:v>11600</c:v>
                </c:pt>
                <c:pt idx="2">
                  <c:v>11200</c:v>
                </c:pt>
                <c:pt idx="3">
                  <c:v>14455</c:v>
                </c:pt>
                <c:pt idx="4">
                  <c:v>13255</c:v>
                </c:pt>
                <c:pt idx="5">
                  <c:v>14141</c:v>
                </c:pt>
                <c:pt idx="6">
                  <c:v>15300</c:v>
                </c:pt>
                <c:pt idx="7">
                  <c:v>16596.890919256079</c:v>
                </c:pt>
                <c:pt idx="8">
                  <c:v>13544.1</c:v>
                </c:pt>
              </c:numCache>
            </c:numRef>
          </c:val>
          <c:extLst xmlns:c16r2="http://schemas.microsoft.com/office/drawing/2015/06/chart">
            <c:ext xmlns:c16="http://schemas.microsoft.com/office/drawing/2014/chart" uri="{C3380CC4-5D6E-409C-BE32-E72D297353CC}">
              <c16:uniqueId val="{00000000-1013-4939-99C4-538E7DD4BF40}"/>
            </c:ext>
          </c:extLst>
        </c:ser>
        <c:dLbls>
          <c:showLegendKey val="0"/>
          <c:showVal val="0"/>
          <c:showCatName val="0"/>
          <c:showSerName val="0"/>
          <c:showPercent val="0"/>
          <c:showBubbleSize val="0"/>
        </c:dLbls>
        <c:gapWidth val="150"/>
        <c:axId val="-1752724688"/>
        <c:axId val="-1752717616"/>
      </c:barChart>
      <c:lineChart>
        <c:grouping val="standard"/>
        <c:varyColors val="0"/>
        <c:ser>
          <c:idx val="0"/>
          <c:order val="0"/>
          <c:tx>
            <c:strRef>
              <c:f>Sheet3!$D$38</c:f>
              <c:strCache>
                <c:ptCount val="1"/>
                <c:pt idx="0">
                  <c:v>Fakt</c:v>
                </c:pt>
              </c:strCache>
            </c:strRef>
          </c:tx>
          <c:spPr>
            <a:ln w="28575" cap="rnd">
              <a:solidFill>
                <a:schemeClr val="accent1"/>
              </a:solidFill>
              <a:round/>
            </a:ln>
            <a:effectLst/>
          </c:spPr>
          <c:marker>
            <c:symbol val="none"/>
          </c:marker>
          <c:dLbls>
            <c:spPr>
              <a:noFill/>
              <a:ln>
                <a:noFill/>
              </a:ln>
              <a:effectLst/>
            </c:spPr>
            <c:txPr>
              <a:bodyPr rot="0" spcFirstLastPara="1" vertOverflow="ellipsis" horzOverflow="clip" vert="horz" wrap="square" lIns="0" tIns="0" rIns="91440" bIns="91440" anchor="ctr" anchorCtr="1">
                <a:spAutoFit/>
              </a:bodyPr>
              <a:lstStyle/>
              <a:p>
                <a:pPr>
                  <a:defRPr sz="800" b="0" i="0" u="none" strike="noStrike" kern="1200" baseline="0">
                    <a:solidFill>
                      <a:schemeClr val="tx1">
                        <a:lumMod val="75000"/>
                        <a:lumOff val="25000"/>
                      </a:schemeClr>
                    </a:solidFill>
                    <a:latin typeface="+mn-lt"/>
                    <a:ea typeface="+mn-ea"/>
                    <a:cs typeface="+mn-cs"/>
                  </a:defRPr>
                </a:pPr>
                <a:endParaRPr lang="en-US"/>
              </a:p>
            </c:txPr>
            <c:dLblPos val="t"/>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pPr xmlns:c15="http://schemas.microsoft.com/office/drawing/2012/chart">
                  <a:prstGeom prst="rect">
                    <a:avLst/>
                  </a:prstGeom>
                </c15:spPr>
                <c15:showLeaderLines val="1"/>
                <c15:leaderLines>
                  <c:spPr>
                    <a:ln w="9525" cap="flat" cmpd="sng" algn="ctr">
                      <a:solidFill>
                        <a:schemeClr val="tx1">
                          <a:lumMod val="35000"/>
                          <a:lumOff val="65000"/>
                        </a:schemeClr>
                      </a:solidFill>
                      <a:round/>
                    </a:ln>
                    <a:effectLst/>
                  </c:spPr>
                </c15:leaderLines>
              </c:ext>
            </c:extLst>
          </c:dLbls>
          <c:cat>
            <c:numRef>
              <c:f>Sheet3!$C$39:$C$47</c:f>
              <c:numCache>
                <c:formatCode>General</c:formatCode>
                <c:ptCount val="9"/>
                <c:pt idx="0">
                  <c:v>2012</c:v>
                </c:pt>
                <c:pt idx="1">
                  <c:v>2013</c:v>
                </c:pt>
                <c:pt idx="2">
                  <c:v>2014</c:v>
                </c:pt>
                <c:pt idx="3">
                  <c:v>2015</c:v>
                </c:pt>
                <c:pt idx="4">
                  <c:v>2016</c:v>
                </c:pt>
                <c:pt idx="5">
                  <c:v>2017</c:v>
                </c:pt>
                <c:pt idx="6">
                  <c:v>2018</c:v>
                </c:pt>
                <c:pt idx="7">
                  <c:v>2019</c:v>
                </c:pt>
                <c:pt idx="8">
                  <c:v>2020</c:v>
                </c:pt>
              </c:numCache>
            </c:numRef>
          </c:cat>
          <c:val>
            <c:numRef>
              <c:f>Sheet3!$D$39:$D$47</c:f>
              <c:numCache>
                <c:formatCode>#,##0</c:formatCode>
                <c:ptCount val="9"/>
                <c:pt idx="0">
                  <c:v>10976</c:v>
                </c:pt>
                <c:pt idx="1">
                  <c:v>11988</c:v>
                </c:pt>
                <c:pt idx="2">
                  <c:v>10902</c:v>
                </c:pt>
                <c:pt idx="3">
                  <c:v>11252</c:v>
                </c:pt>
                <c:pt idx="4">
                  <c:v>13429</c:v>
                </c:pt>
                <c:pt idx="5">
                  <c:v>12914</c:v>
                </c:pt>
                <c:pt idx="6">
                  <c:v>14243.61</c:v>
                </c:pt>
                <c:pt idx="7">
                  <c:v>18440</c:v>
                </c:pt>
                <c:pt idx="8">
                  <c:v>13568.656024000002</c:v>
                </c:pt>
              </c:numCache>
            </c:numRef>
          </c:val>
          <c:smooth val="0"/>
          <c:extLst xmlns:c16r2="http://schemas.microsoft.com/office/drawing/2015/06/chart">
            <c:ext xmlns:c16="http://schemas.microsoft.com/office/drawing/2014/chart" uri="{C3380CC4-5D6E-409C-BE32-E72D297353CC}">
              <c16:uniqueId val="{00000001-1013-4939-99C4-538E7DD4BF40}"/>
            </c:ext>
          </c:extLst>
        </c:ser>
        <c:dLbls>
          <c:showLegendKey val="0"/>
          <c:showVal val="0"/>
          <c:showCatName val="0"/>
          <c:showSerName val="0"/>
          <c:showPercent val="0"/>
          <c:showBubbleSize val="0"/>
        </c:dLbls>
        <c:marker val="1"/>
        <c:smooth val="0"/>
        <c:axId val="-1752724688"/>
        <c:axId val="-1752717616"/>
      </c:lineChart>
      <c:catAx>
        <c:axId val="-175272468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752717616"/>
        <c:crosses val="autoZero"/>
        <c:auto val="1"/>
        <c:lblAlgn val="ctr"/>
        <c:lblOffset val="100"/>
        <c:noMultiLvlLbl val="0"/>
      </c:catAx>
      <c:valAx>
        <c:axId val="-1752717616"/>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752724688"/>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extLst xmlns:c16r2="http://schemas.microsoft.com/office/drawing/2015/06/char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accent1">
          <a:lumMod val="60000"/>
          <a:lumOff val="40000"/>
        </a:schemeClr>
      </a:solidFill>
      <a:round/>
    </a:ln>
    <a:effectLst/>
  </c:spPr>
  <c:txPr>
    <a:bodyPr/>
    <a:lstStyle/>
    <a:p>
      <a:pPr>
        <a:defRPr/>
      </a:pPr>
      <a:endParaRPr lang="en-US"/>
    </a:p>
  </c:txPr>
  <c:externalData r:id="rId2">
    <c:autoUpdate val="0"/>
  </c:externalData>
</c:chartSpace>
</file>

<file path=word/charts/chart1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barChart>
        <c:barDir val="col"/>
        <c:grouping val="clustered"/>
        <c:varyColors val="0"/>
        <c:ser>
          <c:idx val="1"/>
          <c:order val="1"/>
          <c:tx>
            <c:strRef>
              <c:f>Sheet3!$E$53</c:f>
              <c:strCache>
                <c:ptCount val="1"/>
                <c:pt idx="0">
                  <c:v>Plan</c:v>
                </c:pt>
              </c:strCache>
            </c:strRef>
          </c:tx>
          <c:spPr>
            <a:solidFill>
              <a:schemeClr val="accent1">
                <a:lumMod val="20000"/>
                <a:lumOff val="80000"/>
              </a:schemeClr>
            </a:solidFill>
            <a:ln>
              <a:noFill/>
            </a:ln>
            <a:effectLst/>
          </c:spPr>
          <c:invertIfNegative val="0"/>
          <c:dLbls>
            <c:dLbl>
              <c:idx val="0"/>
              <c:layout>
                <c:manualLayout>
                  <c:x val="-1.8853101351666752E-2"/>
                  <c:y val="-1.830663175753755E-2"/>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0-58A8-4FCB-87D2-6BD14B95907C}"/>
                </c:ext>
                <c:ext xmlns:c15="http://schemas.microsoft.com/office/drawing/2012/chart" uri="{CE6537A1-D6FC-4f65-9D91-7224C49458BB}"/>
              </c:extLst>
            </c:dLbl>
            <c:dLbl>
              <c:idx val="5"/>
              <c:layout>
                <c:manualLayout>
                  <c:x val="-4.1928721174004195E-3"/>
                  <c:y val="-7.8431372549019593E-2"/>
                </c:manualLayout>
              </c:layout>
              <c:showLegendKey val="0"/>
              <c:showVal val="1"/>
              <c:showCatName val="0"/>
              <c:showSerName val="0"/>
              <c:showPercent val="0"/>
              <c:showBubbleSize val="0"/>
              <c:extLst>
                <c:ext xmlns:c15="http://schemas.microsoft.com/office/drawing/2012/chart" uri="{CE6537A1-D6FC-4f65-9D91-7224C49458BB}"/>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numRef>
              <c:f>Sheet3!$C$54:$C$62</c:f>
              <c:numCache>
                <c:formatCode>General</c:formatCode>
                <c:ptCount val="9"/>
                <c:pt idx="0">
                  <c:v>2012</c:v>
                </c:pt>
                <c:pt idx="1">
                  <c:v>2013</c:v>
                </c:pt>
                <c:pt idx="2">
                  <c:v>2014</c:v>
                </c:pt>
                <c:pt idx="3">
                  <c:v>2015</c:v>
                </c:pt>
                <c:pt idx="4">
                  <c:v>2016</c:v>
                </c:pt>
                <c:pt idx="5">
                  <c:v>2017</c:v>
                </c:pt>
                <c:pt idx="6">
                  <c:v>2018</c:v>
                </c:pt>
                <c:pt idx="7">
                  <c:v>2019</c:v>
                </c:pt>
                <c:pt idx="8">
                  <c:v>2020</c:v>
                </c:pt>
              </c:numCache>
            </c:numRef>
          </c:cat>
          <c:val>
            <c:numRef>
              <c:f>Sheet3!$E$54:$E$62</c:f>
              <c:numCache>
                <c:formatCode>#,##0</c:formatCode>
                <c:ptCount val="9"/>
                <c:pt idx="0">
                  <c:v>7250</c:v>
                </c:pt>
                <c:pt idx="1">
                  <c:v>8950</c:v>
                </c:pt>
                <c:pt idx="2">
                  <c:v>10500</c:v>
                </c:pt>
                <c:pt idx="3">
                  <c:v>12259</c:v>
                </c:pt>
                <c:pt idx="4">
                  <c:v>13405</c:v>
                </c:pt>
                <c:pt idx="5">
                  <c:v>12600</c:v>
                </c:pt>
                <c:pt idx="6">
                  <c:v>13810</c:v>
                </c:pt>
                <c:pt idx="7">
                  <c:v>14876.330361230224</c:v>
                </c:pt>
                <c:pt idx="8">
                  <c:v>13176.759185898176</c:v>
                </c:pt>
              </c:numCache>
            </c:numRef>
          </c:val>
          <c:extLst xmlns:c16r2="http://schemas.microsoft.com/office/drawing/2015/06/chart">
            <c:ext xmlns:c16="http://schemas.microsoft.com/office/drawing/2014/chart" uri="{C3380CC4-5D6E-409C-BE32-E72D297353CC}">
              <c16:uniqueId val="{00000001-58A8-4FCB-87D2-6BD14B95907C}"/>
            </c:ext>
          </c:extLst>
        </c:ser>
        <c:dLbls>
          <c:showLegendKey val="0"/>
          <c:showVal val="0"/>
          <c:showCatName val="0"/>
          <c:showSerName val="0"/>
          <c:showPercent val="0"/>
          <c:showBubbleSize val="0"/>
        </c:dLbls>
        <c:gapWidth val="150"/>
        <c:axId val="-1752724144"/>
        <c:axId val="-1752706736"/>
      </c:barChart>
      <c:lineChart>
        <c:grouping val="standard"/>
        <c:varyColors val="0"/>
        <c:ser>
          <c:idx val="0"/>
          <c:order val="0"/>
          <c:tx>
            <c:strRef>
              <c:f>Sheet3!$D$53</c:f>
              <c:strCache>
                <c:ptCount val="1"/>
                <c:pt idx="0">
                  <c:v>Fakt</c:v>
                </c:pt>
              </c:strCache>
            </c:strRef>
          </c:tx>
          <c:spPr>
            <a:ln w="28575" cap="rnd">
              <a:solidFill>
                <a:schemeClr val="accent1"/>
              </a:solidFill>
              <a:round/>
            </a:ln>
            <a:effectLst/>
          </c:spPr>
          <c:marker>
            <c:symbol val="none"/>
          </c:marker>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Sheet3!$C$54:$C$62</c:f>
              <c:numCache>
                <c:formatCode>General</c:formatCode>
                <c:ptCount val="9"/>
                <c:pt idx="0">
                  <c:v>2012</c:v>
                </c:pt>
                <c:pt idx="1">
                  <c:v>2013</c:v>
                </c:pt>
                <c:pt idx="2">
                  <c:v>2014</c:v>
                </c:pt>
                <c:pt idx="3">
                  <c:v>2015</c:v>
                </c:pt>
                <c:pt idx="4">
                  <c:v>2016</c:v>
                </c:pt>
                <c:pt idx="5">
                  <c:v>2017</c:v>
                </c:pt>
                <c:pt idx="6">
                  <c:v>2018</c:v>
                </c:pt>
                <c:pt idx="7">
                  <c:v>2019</c:v>
                </c:pt>
                <c:pt idx="8">
                  <c:v>2020</c:v>
                </c:pt>
              </c:numCache>
            </c:numRef>
          </c:cat>
          <c:val>
            <c:numRef>
              <c:f>Sheet3!$D$54:$D$62</c:f>
              <c:numCache>
                <c:formatCode>#,##0</c:formatCode>
                <c:ptCount val="9"/>
                <c:pt idx="0">
                  <c:v>8921</c:v>
                </c:pt>
                <c:pt idx="1">
                  <c:v>7410</c:v>
                </c:pt>
                <c:pt idx="2">
                  <c:v>9419</c:v>
                </c:pt>
                <c:pt idx="3">
                  <c:v>10505</c:v>
                </c:pt>
                <c:pt idx="4">
                  <c:v>12384</c:v>
                </c:pt>
                <c:pt idx="5">
                  <c:v>16407</c:v>
                </c:pt>
                <c:pt idx="6">
                  <c:v>14192.954</c:v>
                </c:pt>
                <c:pt idx="7">
                  <c:v>13059</c:v>
                </c:pt>
                <c:pt idx="8">
                  <c:v>11585.28</c:v>
                </c:pt>
              </c:numCache>
            </c:numRef>
          </c:val>
          <c:smooth val="0"/>
          <c:extLst xmlns:c16r2="http://schemas.microsoft.com/office/drawing/2015/06/chart">
            <c:ext xmlns:c16="http://schemas.microsoft.com/office/drawing/2014/chart" uri="{C3380CC4-5D6E-409C-BE32-E72D297353CC}">
              <c16:uniqueId val="{00000002-58A8-4FCB-87D2-6BD14B95907C}"/>
            </c:ext>
          </c:extLst>
        </c:ser>
        <c:dLbls>
          <c:showLegendKey val="0"/>
          <c:showVal val="0"/>
          <c:showCatName val="0"/>
          <c:showSerName val="0"/>
          <c:showPercent val="0"/>
          <c:showBubbleSize val="0"/>
        </c:dLbls>
        <c:marker val="1"/>
        <c:smooth val="0"/>
        <c:axId val="-1752724144"/>
        <c:axId val="-1752706736"/>
      </c:lineChart>
      <c:catAx>
        <c:axId val="-175272414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752706736"/>
        <c:crosses val="autoZero"/>
        <c:auto val="1"/>
        <c:lblAlgn val="ctr"/>
        <c:lblOffset val="100"/>
        <c:noMultiLvlLbl val="0"/>
      </c:catAx>
      <c:valAx>
        <c:axId val="-1752706736"/>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752724144"/>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extLst xmlns:c16r2="http://schemas.microsoft.com/office/drawing/2015/06/char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2">
    <c:autoUpdate val="0"/>
  </c:externalData>
</c:chartSpace>
</file>

<file path=word/charts/chart1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barChart>
        <c:barDir val="col"/>
        <c:grouping val="clustered"/>
        <c:varyColors val="0"/>
        <c:ser>
          <c:idx val="1"/>
          <c:order val="1"/>
          <c:tx>
            <c:strRef>
              <c:f>Sheet3!$E$69</c:f>
              <c:strCache>
                <c:ptCount val="1"/>
                <c:pt idx="0">
                  <c:v>Plan</c:v>
                </c:pt>
              </c:strCache>
            </c:strRef>
          </c:tx>
          <c:spPr>
            <a:solidFill>
              <a:schemeClr val="accent1">
                <a:lumMod val="20000"/>
                <a:lumOff val="80000"/>
              </a:schemeClr>
            </a:solidFill>
            <a:ln>
              <a:noFill/>
            </a:ln>
            <a:effectLst/>
          </c:spPr>
          <c:invertIfNegative val="0"/>
          <c:dLbls>
            <c:dLbl>
              <c:idx val="6"/>
              <c:layout>
                <c:manualLayout>
                  <c:x val="-2.103049421661409E-3"/>
                  <c:y val="-5.1612903225806452E-2"/>
                </c:manualLayout>
              </c:layout>
              <c:showLegendKey val="0"/>
              <c:showVal val="1"/>
              <c:showCatName val="0"/>
              <c:showSerName val="0"/>
              <c:showPercent val="0"/>
              <c:showBubbleSize val="0"/>
              <c:extLst>
                <c:ext xmlns:c15="http://schemas.microsoft.com/office/drawing/2012/chart" uri="{CE6537A1-D6FC-4f65-9D91-7224C49458BB}"/>
              </c:extLst>
            </c:dLbl>
            <c:spPr>
              <a:noFill/>
              <a:ln>
                <a:noFill/>
              </a:ln>
              <a:effectLst/>
            </c:spPr>
            <c:txPr>
              <a:bodyPr rot="0" spcFirstLastPara="1" vertOverflow="ellipsis" vert="horz" wrap="square" lIns="38100" tIns="19050" rIns="38100" bIns="19050" anchor="ctr" anchorCtr="1">
                <a:spAutoFit/>
              </a:bodyPr>
              <a:lstStyle/>
              <a:p>
                <a:pPr>
                  <a:defRPr sz="8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Sheet3!$C$70:$C$78</c:f>
              <c:numCache>
                <c:formatCode>General</c:formatCode>
                <c:ptCount val="9"/>
                <c:pt idx="0">
                  <c:v>2012</c:v>
                </c:pt>
                <c:pt idx="1">
                  <c:v>2013</c:v>
                </c:pt>
                <c:pt idx="2">
                  <c:v>2014</c:v>
                </c:pt>
                <c:pt idx="3">
                  <c:v>2015</c:v>
                </c:pt>
                <c:pt idx="4">
                  <c:v>2016</c:v>
                </c:pt>
                <c:pt idx="5">
                  <c:v>2017</c:v>
                </c:pt>
                <c:pt idx="6">
                  <c:v>2018</c:v>
                </c:pt>
                <c:pt idx="7">
                  <c:v>2019</c:v>
                </c:pt>
                <c:pt idx="8">
                  <c:v>2020</c:v>
                </c:pt>
              </c:numCache>
            </c:numRef>
          </c:cat>
          <c:val>
            <c:numRef>
              <c:f>Sheet3!$E$70:$E$78</c:f>
              <c:numCache>
                <c:formatCode>#,##0</c:formatCode>
                <c:ptCount val="9"/>
                <c:pt idx="0">
                  <c:v>22680</c:v>
                </c:pt>
                <c:pt idx="1">
                  <c:v>23500</c:v>
                </c:pt>
                <c:pt idx="2">
                  <c:v>24900</c:v>
                </c:pt>
                <c:pt idx="3">
                  <c:v>26628</c:v>
                </c:pt>
                <c:pt idx="4">
                  <c:v>30370</c:v>
                </c:pt>
                <c:pt idx="5">
                  <c:v>32072</c:v>
                </c:pt>
                <c:pt idx="6">
                  <c:v>34000</c:v>
                </c:pt>
                <c:pt idx="7">
                  <c:v>39072.053028849296</c:v>
                </c:pt>
                <c:pt idx="8">
                  <c:v>40892.095326122195</c:v>
                </c:pt>
              </c:numCache>
            </c:numRef>
          </c:val>
          <c:extLst xmlns:c16r2="http://schemas.microsoft.com/office/drawing/2015/06/chart">
            <c:ext xmlns:c16="http://schemas.microsoft.com/office/drawing/2014/chart" uri="{C3380CC4-5D6E-409C-BE32-E72D297353CC}">
              <c16:uniqueId val="{00000000-4DDE-43C4-A1D5-90005E3F39A4}"/>
            </c:ext>
          </c:extLst>
        </c:ser>
        <c:dLbls>
          <c:showLegendKey val="0"/>
          <c:showVal val="0"/>
          <c:showCatName val="0"/>
          <c:showSerName val="0"/>
          <c:showPercent val="0"/>
          <c:showBubbleSize val="0"/>
        </c:dLbls>
        <c:gapWidth val="219"/>
        <c:axId val="-1752714352"/>
        <c:axId val="-1752718704"/>
      </c:barChart>
      <c:lineChart>
        <c:grouping val="standard"/>
        <c:varyColors val="0"/>
        <c:ser>
          <c:idx val="0"/>
          <c:order val="0"/>
          <c:tx>
            <c:strRef>
              <c:f>Sheet3!$D$69</c:f>
              <c:strCache>
                <c:ptCount val="1"/>
                <c:pt idx="0">
                  <c:v>Fakt</c:v>
                </c:pt>
              </c:strCache>
            </c:strRef>
          </c:tx>
          <c:spPr>
            <a:ln w="28575" cap="rnd">
              <a:solidFill>
                <a:schemeClr val="accent1"/>
              </a:solidFill>
              <a:round/>
            </a:ln>
            <a:effectLst/>
          </c:spPr>
          <c:marker>
            <c:symbol val="none"/>
          </c:marker>
          <c:dLbls>
            <c:dLbl>
              <c:idx val="0"/>
              <c:layout>
                <c:manualLayout>
                  <c:x val="1.0515247108307046E-2"/>
                  <c:y val="5.1612903225806452E-2"/>
                </c:manualLayout>
              </c:layout>
              <c:showLegendKey val="0"/>
              <c:showVal val="1"/>
              <c:showCatName val="0"/>
              <c:showSerName val="0"/>
              <c:showPercent val="0"/>
              <c:showBubbleSize val="0"/>
              <c:extLst>
                <c:ext xmlns:c15="http://schemas.microsoft.com/office/drawing/2012/chart" uri="{CE6537A1-D6FC-4f65-9D91-7224C49458BB}"/>
              </c:extLst>
            </c:dLbl>
            <c:dLbl>
              <c:idx val="1"/>
              <c:layout>
                <c:manualLayout>
                  <c:x val="1.0515247108307046E-2"/>
                  <c:y val="3.0107526881720432E-2"/>
                </c:manualLayout>
              </c:layout>
              <c:showLegendKey val="0"/>
              <c:showVal val="1"/>
              <c:showCatName val="0"/>
              <c:showSerName val="0"/>
              <c:showPercent val="0"/>
              <c:showBubbleSize val="0"/>
              <c:extLst>
                <c:ext xmlns:c15="http://schemas.microsoft.com/office/drawing/2012/chart" uri="{CE6537A1-D6FC-4f65-9D91-7224C49458BB}"/>
              </c:extLst>
            </c:dLbl>
            <c:dLbl>
              <c:idx val="6"/>
              <c:layout>
                <c:manualLayout>
                  <c:x val="0"/>
                  <c:y val="1.2903225806451594E-2"/>
                </c:manualLayout>
              </c:layout>
              <c:showLegendKey val="0"/>
              <c:showVal val="1"/>
              <c:showCatName val="0"/>
              <c:showSerName val="0"/>
              <c:showPercent val="0"/>
              <c:showBubbleSize val="0"/>
              <c:extLst>
                <c:ext xmlns:c15="http://schemas.microsoft.com/office/drawing/2012/chart" uri="{CE6537A1-D6FC-4f65-9D91-7224C49458BB}"/>
              </c:extLst>
            </c:dLbl>
            <c:spPr>
              <a:noFill/>
              <a:ln>
                <a:noFill/>
              </a:ln>
              <a:effectLst/>
            </c:spPr>
            <c:txPr>
              <a:bodyPr rot="0" spcFirstLastPara="1" vertOverflow="ellipsis" vert="horz" wrap="square" lIns="38100" tIns="19050" rIns="38100" bIns="19050" anchor="ctr" anchorCtr="1">
                <a:spAutoFit/>
              </a:bodyPr>
              <a:lstStyle/>
              <a:p>
                <a:pPr>
                  <a:defRPr sz="8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Sheet3!$C$70:$C$78</c:f>
              <c:numCache>
                <c:formatCode>General</c:formatCode>
                <c:ptCount val="9"/>
                <c:pt idx="0">
                  <c:v>2012</c:v>
                </c:pt>
                <c:pt idx="1">
                  <c:v>2013</c:v>
                </c:pt>
                <c:pt idx="2">
                  <c:v>2014</c:v>
                </c:pt>
                <c:pt idx="3">
                  <c:v>2015</c:v>
                </c:pt>
                <c:pt idx="4">
                  <c:v>2016</c:v>
                </c:pt>
                <c:pt idx="5">
                  <c:v>2017</c:v>
                </c:pt>
                <c:pt idx="6">
                  <c:v>2018</c:v>
                </c:pt>
                <c:pt idx="7">
                  <c:v>2019</c:v>
                </c:pt>
                <c:pt idx="8">
                  <c:v>2020</c:v>
                </c:pt>
              </c:numCache>
            </c:numRef>
          </c:cat>
          <c:val>
            <c:numRef>
              <c:f>Sheet3!$D$70:$D$78</c:f>
              <c:numCache>
                <c:formatCode>#,##0</c:formatCode>
                <c:ptCount val="9"/>
                <c:pt idx="0">
                  <c:v>22395</c:v>
                </c:pt>
                <c:pt idx="1">
                  <c:v>22977</c:v>
                </c:pt>
                <c:pt idx="2">
                  <c:v>25000</c:v>
                </c:pt>
                <c:pt idx="3">
                  <c:v>27398</c:v>
                </c:pt>
                <c:pt idx="4">
                  <c:v>31168</c:v>
                </c:pt>
                <c:pt idx="5">
                  <c:v>33544</c:v>
                </c:pt>
                <c:pt idx="6">
                  <c:v>36840.514990999996</c:v>
                </c:pt>
                <c:pt idx="7">
                  <c:v>39049.779000000002</c:v>
                </c:pt>
                <c:pt idx="8">
                  <c:v>38361.454233999997</c:v>
                </c:pt>
              </c:numCache>
            </c:numRef>
          </c:val>
          <c:smooth val="0"/>
          <c:extLst xmlns:c16r2="http://schemas.microsoft.com/office/drawing/2015/06/chart">
            <c:ext xmlns:c16="http://schemas.microsoft.com/office/drawing/2014/chart" uri="{C3380CC4-5D6E-409C-BE32-E72D297353CC}">
              <c16:uniqueId val="{00000001-4DDE-43C4-A1D5-90005E3F39A4}"/>
            </c:ext>
          </c:extLst>
        </c:ser>
        <c:dLbls>
          <c:showLegendKey val="0"/>
          <c:showVal val="0"/>
          <c:showCatName val="0"/>
          <c:showSerName val="0"/>
          <c:showPercent val="0"/>
          <c:showBubbleSize val="0"/>
        </c:dLbls>
        <c:marker val="1"/>
        <c:smooth val="0"/>
        <c:axId val="-1752714352"/>
        <c:axId val="-1752718704"/>
      </c:lineChart>
      <c:catAx>
        <c:axId val="-175271435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752718704"/>
        <c:crosses val="autoZero"/>
        <c:auto val="1"/>
        <c:lblAlgn val="ctr"/>
        <c:lblOffset val="100"/>
        <c:noMultiLvlLbl val="0"/>
      </c:catAx>
      <c:valAx>
        <c:axId val="-1752718704"/>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752714352"/>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extLst xmlns:c16r2="http://schemas.microsoft.com/office/drawing/2015/06/char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2">
    <c:autoUpdate val="0"/>
  </c:externalData>
</c:chartSpace>
</file>

<file path=word/charts/chart13.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9.2616291939411191E-2"/>
          <c:y val="3.2882035578885971E-2"/>
          <c:w val="0.9043049362805553"/>
          <c:h val="0.63701591736516805"/>
        </c:manualLayout>
      </c:layout>
      <c:barChart>
        <c:barDir val="col"/>
        <c:grouping val="clustered"/>
        <c:varyColors val="0"/>
        <c:ser>
          <c:idx val="2"/>
          <c:order val="0"/>
          <c:tx>
            <c:strRef>
              <c:f>'Te ardhurat'!$C$6</c:f>
              <c:strCache>
                <c:ptCount val="1"/>
                <c:pt idx="0">
                  <c:v>Taksë mbi Pasurinë (ndërtesat)</c:v>
                </c:pt>
              </c:strCache>
            </c:strRef>
          </c:tx>
          <c:invertIfNegative val="0"/>
          <c:dLbls>
            <c:spPr>
              <a:noFill/>
              <a:ln>
                <a:noFill/>
              </a:ln>
              <a:effectLst/>
            </c:spPr>
            <c:txPr>
              <a:bodyPr/>
              <a:lstStyle/>
              <a:p>
                <a:pPr>
                  <a:defRPr sz="900" b="1"/>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'Te ardhurat'!$D$3:$S$3</c:f>
              <c:strCache>
                <c:ptCount val="16"/>
                <c:pt idx="0">
                  <c:v>5M-2005</c:v>
                </c:pt>
                <c:pt idx="1">
                  <c:v>5M-2006</c:v>
                </c:pt>
                <c:pt idx="2">
                  <c:v>5M-2007</c:v>
                </c:pt>
                <c:pt idx="3">
                  <c:v>5M-2008</c:v>
                </c:pt>
                <c:pt idx="4">
                  <c:v>5M-2009</c:v>
                </c:pt>
                <c:pt idx="5">
                  <c:v>5M-2010</c:v>
                </c:pt>
                <c:pt idx="6">
                  <c:v>5M-2011</c:v>
                </c:pt>
                <c:pt idx="7">
                  <c:v>5M-2012</c:v>
                </c:pt>
                <c:pt idx="8">
                  <c:v>5M-2013</c:v>
                </c:pt>
                <c:pt idx="9">
                  <c:v>5M-2014</c:v>
                </c:pt>
                <c:pt idx="10">
                  <c:v>5M-2015</c:v>
                </c:pt>
                <c:pt idx="11">
                  <c:v>5M-2016</c:v>
                </c:pt>
                <c:pt idx="12">
                  <c:v>5M-2017</c:v>
                </c:pt>
                <c:pt idx="13">
                  <c:v>5M-2018</c:v>
                </c:pt>
                <c:pt idx="14">
                  <c:v>5M-2019</c:v>
                </c:pt>
                <c:pt idx="15">
                  <c:v>5M-2020</c:v>
                </c:pt>
              </c:strCache>
            </c:strRef>
          </c:cat>
          <c:val>
            <c:numRef>
              <c:f>'Te ardhurat'!$D$6:$S$6</c:f>
              <c:numCache>
                <c:formatCode>#,##0</c:formatCode>
                <c:ptCount val="16"/>
                <c:pt idx="0">
                  <c:v>527.68600000000004</c:v>
                </c:pt>
                <c:pt idx="1">
                  <c:v>611.13499999999999</c:v>
                </c:pt>
                <c:pt idx="2">
                  <c:v>405.88806</c:v>
                </c:pt>
                <c:pt idx="3">
                  <c:v>620.31200000000001</c:v>
                </c:pt>
                <c:pt idx="4">
                  <c:v>796.43562000000009</c:v>
                </c:pt>
                <c:pt idx="5">
                  <c:v>985.12200000000007</c:v>
                </c:pt>
                <c:pt idx="6">
                  <c:v>958</c:v>
                </c:pt>
                <c:pt idx="7">
                  <c:v>1418</c:v>
                </c:pt>
                <c:pt idx="8">
                  <c:v>1346</c:v>
                </c:pt>
                <c:pt idx="9">
                  <c:v>1931</c:v>
                </c:pt>
                <c:pt idx="10">
                  <c:v>2101</c:v>
                </c:pt>
                <c:pt idx="11">
                  <c:v>2316</c:v>
                </c:pt>
                <c:pt idx="12">
                  <c:v>2535</c:v>
                </c:pt>
                <c:pt idx="13">
                  <c:v>2197.4</c:v>
                </c:pt>
                <c:pt idx="14">
                  <c:v>2665.3</c:v>
                </c:pt>
                <c:pt idx="15">
                  <c:v>1408.9</c:v>
                </c:pt>
              </c:numCache>
            </c:numRef>
          </c:val>
        </c:ser>
        <c:ser>
          <c:idx val="0"/>
          <c:order val="1"/>
          <c:tx>
            <c:strRef>
              <c:f>'Te ardhurat'!$C$8</c:f>
              <c:strCache>
                <c:ptCount val="1"/>
                <c:pt idx="0">
                  <c:v>Taksë mbi Biznesin e vogël</c:v>
                </c:pt>
              </c:strCache>
            </c:strRef>
          </c:tx>
          <c:invertIfNegative val="0"/>
          <c:dLbls>
            <c:spPr>
              <a:noFill/>
              <a:ln>
                <a:noFill/>
              </a:ln>
              <a:effectLst/>
            </c:spPr>
            <c:txPr>
              <a:bodyPr wrap="square" lIns="38100" tIns="19050" rIns="38100" bIns="19050" anchor="ctr">
                <a:spAutoFit/>
              </a:bodyPr>
              <a:lstStyle/>
              <a:p>
                <a:pPr>
                  <a:defRPr sz="900" b="1"/>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ext>
            </c:extLst>
          </c:dLbls>
          <c:cat>
            <c:strRef>
              <c:f>'Te ardhurat'!$D$3:$S$3</c:f>
              <c:strCache>
                <c:ptCount val="16"/>
                <c:pt idx="0">
                  <c:v>5M-2005</c:v>
                </c:pt>
                <c:pt idx="1">
                  <c:v>5M-2006</c:v>
                </c:pt>
                <c:pt idx="2">
                  <c:v>5M-2007</c:v>
                </c:pt>
                <c:pt idx="3">
                  <c:v>5M-2008</c:v>
                </c:pt>
                <c:pt idx="4">
                  <c:v>5M-2009</c:v>
                </c:pt>
                <c:pt idx="5">
                  <c:v>5M-2010</c:v>
                </c:pt>
                <c:pt idx="6">
                  <c:v>5M-2011</c:v>
                </c:pt>
                <c:pt idx="7">
                  <c:v>5M-2012</c:v>
                </c:pt>
                <c:pt idx="8">
                  <c:v>5M-2013</c:v>
                </c:pt>
                <c:pt idx="9">
                  <c:v>5M-2014</c:v>
                </c:pt>
                <c:pt idx="10">
                  <c:v>5M-2015</c:v>
                </c:pt>
                <c:pt idx="11">
                  <c:v>5M-2016</c:v>
                </c:pt>
                <c:pt idx="12">
                  <c:v>5M-2017</c:v>
                </c:pt>
                <c:pt idx="13">
                  <c:v>5M-2018</c:v>
                </c:pt>
                <c:pt idx="14">
                  <c:v>5M-2019</c:v>
                </c:pt>
                <c:pt idx="15">
                  <c:v>5M-2020</c:v>
                </c:pt>
              </c:strCache>
            </c:strRef>
          </c:cat>
          <c:val>
            <c:numRef>
              <c:f>'Te ardhurat'!$D$8:$S$8</c:f>
              <c:numCache>
                <c:formatCode>#,##0</c:formatCode>
                <c:ptCount val="16"/>
                <c:pt idx="0">
                  <c:v>1808.33</c:v>
                </c:pt>
                <c:pt idx="1">
                  <c:v>1348.5329999999999</c:v>
                </c:pt>
                <c:pt idx="2">
                  <c:v>1236.9317900000001</c:v>
                </c:pt>
                <c:pt idx="3">
                  <c:v>1288.5109299999999</c:v>
                </c:pt>
                <c:pt idx="4">
                  <c:v>1421.7955300000001</c:v>
                </c:pt>
                <c:pt idx="5">
                  <c:v>1432.7118500000001</c:v>
                </c:pt>
                <c:pt idx="6">
                  <c:v>1737</c:v>
                </c:pt>
                <c:pt idx="7">
                  <c:v>1103</c:v>
                </c:pt>
                <c:pt idx="8">
                  <c:v>1082</c:v>
                </c:pt>
                <c:pt idx="9">
                  <c:v>612</c:v>
                </c:pt>
                <c:pt idx="10">
                  <c:v>730</c:v>
                </c:pt>
                <c:pt idx="11">
                  <c:v>519</c:v>
                </c:pt>
                <c:pt idx="12">
                  <c:v>220</c:v>
                </c:pt>
                <c:pt idx="13">
                  <c:v>258.36</c:v>
                </c:pt>
                <c:pt idx="14">
                  <c:v>282.3</c:v>
                </c:pt>
                <c:pt idx="15">
                  <c:v>306</c:v>
                </c:pt>
              </c:numCache>
            </c:numRef>
          </c:val>
        </c:ser>
        <c:ser>
          <c:idx val="1"/>
          <c:order val="2"/>
          <c:tx>
            <c:strRef>
              <c:f>'Te ardhurat'!$C$10</c:f>
              <c:strCache>
                <c:ptCount val="1"/>
                <c:pt idx="0">
                  <c:v>Taksa Lokale</c:v>
                </c:pt>
              </c:strCache>
            </c:strRef>
          </c:tx>
          <c:invertIfNegative val="0"/>
          <c:dLbls>
            <c:spPr>
              <a:noFill/>
              <a:ln>
                <a:noFill/>
              </a:ln>
              <a:effectLst/>
            </c:spPr>
            <c:txPr>
              <a:bodyPr wrap="square" lIns="38100" tIns="19050" rIns="38100" bIns="19050" anchor="ctr">
                <a:spAutoFit/>
              </a:bodyPr>
              <a:lstStyle/>
              <a:p>
                <a:pPr>
                  <a:defRPr sz="900" b="1"/>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ext>
            </c:extLst>
          </c:dLbls>
          <c:cat>
            <c:strRef>
              <c:f>'Te ardhurat'!$D$3:$S$3</c:f>
              <c:strCache>
                <c:ptCount val="16"/>
                <c:pt idx="0">
                  <c:v>5M-2005</c:v>
                </c:pt>
                <c:pt idx="1">
                  <c:v>5M-2006</c:v>
                </c:pt>
                <c:pt idx="2">
                  <c:v>5M-2007</c:v>
                </c:pt>
                <c:pt idx="3">
                  <c:v>5M-2008</c:v>
                </c:pt>
                <c:pt idx="4">
                  <c:v>5M-2009</c:v>
                </c:pt>
                <c:pt idx="5">
                  <c:v>5M-2010</c:v>
                </c:pt>
                <c:pt idx="6">
                  <c:v>5M-2011</c:v>
                </c:pt>
                <c:pt idx="7">
                  <c:v>5M-2012</c:v>
                </c:pt>
                <c:pt idx="8">
                  <c:v>5M-2013</c:v>
                </c:pt>
                <c:pt idx="9">
                  <c:v>5M-2014</c:v>
                </c:pt>
                <c:pt idx="10">
                  <c:v>5M-2015</c:v>
                </c:pt>
                <c:pt idx="11">
                  <c:v>5M-2016</c:v>
                </c:pt>
                <c:pt idx="12">
                  <c:v>5M-2017</c:v>
                </c:pt>
                <c:pt idx="13">
                  <c:v>5M-2018</c:v>
                </c:pt>
                <c:pt idx="14">
                  <c:v>5M-2019</c:v>
                </c:pt>
                <c:pt idx="15">
                  <c:v>5M-2020</c:v>
                </c:pt>
              </c:strCache>
            </c:strRef>
          </c:cat>
          <c:val>
            <c:numRef>
              <c:f>'Te ardhurat'!$D$10:$S$10</c:f>
              <c:numCache>
                <c:formatCode>#,##0</c:formatCode>
                <c:ptCount val="16"/>
                <c:pt idx="0">
                  <c:v>2574.4749999999995</c:v>
                </c:pt>
                <c:pt idx="1">
                  <c:v>2683.7773100000004</c:v>
                </c:pt>
                <c:pt idx="2">
                  <c:v>3135.2402400000001</c:v>
                </c:pt>
                <c:pt idx="3">
                  <c:v>2949.2167200000004</c:v>
                </c:pt>
                <c:pt idx="4">
                  <c:v>3883.9930899999999</c:v>
                </c:pt>
                <c:pt idx="5">
                  <c:v>3337.3802699999992</c:v>
                </c:pt>
                <c:pt idx="6">
                  <c:v>3576</c:v>
                </c:pt>
                <c:pt idx="7">
                  <c:v>3241</c:v>
                </c:pt>
                <c:pt idx="8">
                  <c:v>2619</c:v>
                </c:pt>
                <c:pt idx="9">
                  <c:v>2905</c:v>
                </c:pt>
                <c:pt idx="10">
                  <c:v>2952</c:v>
                </c:pt>
                <c:pt idx="11">
                  <c:v>3949</c:v>
                </c:pt>
                <c:pt idx="12">
                  <c:v>6586</c:v>
                </c:pt>
                <c:pt idx="13">
                  <c:v>6360.33</c:v>
                </c:pt>
                <c:pt idx="14">
                  <c:v>8401</c:v>
                </c:pt>
                <c:pt idx="15">
                  <c:v>5280</c:v>
                </c:pt>
              </c:numCache>
            </c:numRef>
          </c:val>
        </c:ser>
        <c:dLbls>
          <c:dLblPos val="outEnd"/>
          <c:showLegendKey val="0"/>
          <c:showVal val="1"/>
          <c:showCatName val="0"/>
          <c:showSerName val="0"/>
          <c:showPercent val="0"/>
          <c:showBubbleSize val="0"/>
        </c:dLbls>
        <c:gapWidth val="150"/>
        <c:axId val="-1753197376"/>
        <c:axId val="-1753172896"/>
      </c:barChart>
      <c:catAx>
        <c:axId val="-1753197376"/>
        <c:scaling>
          <c:orientation val="minMax"/>
        </c:scaling>
        <c:delete val="0"/>
        <c:axPos val="b"/>
        <c:numFmt formatCode="General" sourceLinked="0"/>
        <c:majorTickMark val="out"/>
        <c:minorTickMark val="none"/>
        <c:tickLblPos val="nextTo"/>
        <c:txPr>
          <a:bodyPr/>
          <a:lstStyle/>
          <a:p>
            <a:pPr>
              <a:defRPr sz="800" b="0"/>
            </a:pPr>
            <a:endParaRPr lang="en-US"/>
          </a:p>
        </c:txPr>
        <c:crossAx val="-1753172896"/>
        <c:crosses val="autoZero"/>
        <c:auto val="1"/>
        <c:lblAlgn val="ctr"/>
        <c:lblOffset val="100"/>
        <c:noMultiLvlLbl val="0"/>
      </c:catAx>
      <c:valAx>
        <c:axId val="-1753172896"/>
        <c:scaling>
          <c:orientation val="minMax"/>
        </c:scaling>
        <c:delete val="0"/>
        <c:axPos val="l"/>
        <c:title>
          <c:tx>
            <c:rich>
              <a:bodyPr rot="-5400000" vert="horz"/>
              <a:lstStyle/>
              <a:p>
                <a:pPr>
                  <a:defRPr sz="900" b="0"/>
                </a:pPr>
                <a:r>
                  <a:rPr lang="en-US" sz="900" b="0"/>
                  <a:t>Në milion leke</a:t>
                </a:r>
              </a:p>
            </c:rich>
          </c:tx>
          <c:layout>
            <c:manualLayout>
              <c:xMode val="edge"/>
              <c:yMode val="edge"/>
              <c:x val="0"/>
              <c:y val="4.1342228054826484E-3"/>
            </c:manualLayout>
          </c:layout>
          <c:overlay val="0"/>
        </c:title>
        <c:numFmt formatCode="#,##0" sourceLinked="1"/>
        <c:majorTickMark val="out"/>
        <c:minorTickMark val="none"/>
        <c:tickLblPos val="nextTo"/>
        <c:txPr>
          <a:bodyPr/>
          <a:lstStyle/>
          <a:p>
            <a:pPr>
              <a:defRPr sz="900" b="1"/>
            </a:pPr>
            <a:endParaRPr lang="en-US"/>
          </a:p>
        </c:txPr>
        <c:crossAx val="-1753197376"/>
        <c:crosses val="autoZero"/>
        <c:crossBetween val="between"/>
      </c:valAx>
    </c:plotArea>
    <c:legend>
      <c:legendPos val="r"/>
      <c:layout>
        <c:manualLayout>
          <c:xMode val="edge"/>
          <c:yMode val="edge"/>
          <c:x val="6.5319862125668024E-2"/>
          <c:y val="0.86583075461870773"/>
          <c:w val="0.86073807039180339"/>
          <c:h val="9.1371263416975601E-2"/>
        </c:manualLayout>
      </c:layout>
      <c:overlay val="0"/>
      <c:txPr>
        <a:bodyPr/>
        <a:lstStyle/>
        <a:p>
          <a:pPr>
            <a:defRPr sz="1050" b="0">
              <a:solidFill>
                <a:sysClr val="windowText" lastClr="000000"/>
              </a:solidFill>
            </a:defRPr>
          </a:pPr>
          <a:endParaRPr lang="en-US"/>
        </a:p>
      </c:txPr>
    </c:legend>
    <c:plotVisOnly val="1"/>
    <c:dispBlanksAs val="gap"/>
    <c:showDLblsOverMax val="0"/>
  </c:chart>
  <c:externalData r:id="rId1">
    <c:autoUpdate val="0"/>
  </c:externalData>
</c:chartSpace>
</file>

<file path=word/charts/chart14.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40"/>
    </mc:Choice>
    <mc:Fallback>
      <c:style val="40"/>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8.6504366119154186E-2"/>
          <c:y val="3.7006951783873122E-2"/>
          <c:w val="0.84970386623962169"/>
          <c:h val="0.62916197975253096"/>
        </c:manualLayout>
      </c:layout>
      <c:barChart>
        <c:barDir val="col"/>
        <c:grouping val="clustered"/>
        <c:varyColors val="0"/>
        <c:ser>
          <c:idx val="1"/>
          <c:order val="0"/>
          <c:tx>
            <c:strRef>
              <c:f>'Te ardhurat'!$C$4</c:f>
              <c:strCache>
                <c:ptCount val="1"/>
                <c:pt idx="0">
                  <c:v>Të ardhurat e Pushtetit Vendor</c:v>
                </c:pt>
              </c:strCache>
            </c:strRef>
          </c:tx>
          <c:spPr>
            <a:solidFill>
              <a:srgbClr val="00B0F0"/>
            </a:solidFill>
            <a:ln>
              <a:solidFill>
                <a:schemeClr val="bg1">
                  <a:lumMod val="65000"/>
                </a:schemeClr>
              </a:solidFill>
            </a:ln>
          </c:spPr>
          <c:invertIfNegative val="0"/>
          <c:dLbls>
            <c:numFmt formatCode="#,##0.0" sourceLinked="0"/>
            <c:spPr>
              <a:noFill/>
              <a:ln>
                <a:noFill/>
              </a:ln>
              <a:effectLst/>
            </c:spPr>
            <c:txPr>
              <a:bodyPr/>
              <a:lstStyle/>
              <a:p>
                <a:pPr>
                  <a:defRPr sz="1000" b="0" i="0" u="none" strike="noStrike" baseline="0">
                    <a:solidFill>
                      <a:srgbClr val="000000"/>
                    </a:solidFill>
                    <a:latin typeface="Calibri"/>
                    <a:ea typeface="Calibri"/>
                    <a:cs typeface="Calibri"/>
                  </a:defRPr>
                </a:pPr>
                <a:endParaRPr lang="en-US"/>
              </a:p>
            </c:txPr>
            <c:dLblPos val="inBase"/>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'Te ardhurat'!$D$3:$S$3</c:f>
              <c:strCache>
                <c:ptCount val="16"/>
                <c:pt idx="0">
                  <c:v>5M-2005</c:v>
                </c:pt>
                <c:pt idx="1">
                  <c:v>5M-2006</c:v>
                </c:pt>
                <c:pt idx="2">
                  <c:v>5M-2007</c:v>
                </c:pt>
                <c:pt idx="3">
                  <c:v>5M-2008</c:v>
                </c:pt>
                <c:pt idx="4">
                  <c:v>5M-2009</c:v>
                </c:pt>
                <c:pt idx="5">
                  <c:v>5M-2010</c:v>
                </c:pt>
                <c:pt idx="6">
                  <c:v>5M-2011</c:v>
                </c:pt>
                <c:pt idx="7">
                  <c:v>5M-2012</c:v>
                </c:pt>
                <c:pt idx="8">
                  <c:v>5M-2013</c:v>
                </c:pt>
                <c:pt idx="9">
                  <c:v>5M-2014</c:v>
                </c:pt>
                <c:pt idx="10">
                  <c:v>5M-2015</c:v>
                </c:pt>
                <c:pt idx="11">
                  <c:v>5M-2016</c:v>
                </c:pt>
                <c:pt idx="12">
                  <c:v>5M-2017</c:v>
                </c:pt>
                <c:pt idx="13">
                  <c:v>5M-2018</c:v>
                </c:pt>
                <c:pt idx="14">
                  <c:v>5M-2019</c:v>
                </c:pt>
                <c:pt idx="15">
                  <c:v>5M-2020</c:v>
                </c:pt>
              </c:strCache>
            </c:strRef>
          </c:cat>
          <c:val>
            <c:numRef>
              <c:f>'Te ardhurat'!$D$4:$S$4</c:f>
              <c:numCache>
                <c:formatCode>#,##0</c:formatCode>
                <c:ptCount val="16"/>
                <c:pt idx="0">
                  <c:v>4910.491</c:v>
                </c:pt>
                <c:pt idx="1">
                  <c:v>4643.4453100000001</c:v>
                </c:pt>
                <c:pt idx="2">
                  <c:v>4778.0600899999999</c:v>
                </c:pt>
                <c:pt idx="3">
                  <c:v>4858.0396500000006</c:v>
                </c:pt>
                <c:pt idx="4">
                  <c:v>6102.2242399999996</c:v>
                </c:pt>
                <c:pt idx="5">
                  <c:v>5755.2141199999987</c:v>
                </c:pt>
                <c:pt idx="6">
                  <c:v>6271</c:v>
                </c:pt>
                <c:pt idx="7">
                  <c:v>5762</c:v>
                </c:pt>
                <c:pt idx="8">
                  <c:v>5047</c:v>
                </c:pt>
                <c:pt idx="9">
                  <c:v>5448</c:v>
                </c:pt>
                <c:pt idx="10">
                  <c:v>5783</c:v>
                </c:pt>
                <c:pt idx="11">
                  <c:v>6784</c:v>
                </c:pt>
                <c:pt idx="12">
                  <c:v>9341</c:v>
                </c:pt>
                <c:pt idx="13">
                  <c:v>8816.09</c:v>
                </c:pt>
                <c:pt idx="14">
                  <c:v>11348.6</c:v>
                </c:pt>
                <c:pt idx="15">
                  <c:v>6994.9</c:v>
                </c:pt>
              </c:numCache>
            </c:numRef>
          </c:val>
        </c:ser>
        <c:dLbls>
          <c:showLegendKey val="0"/>
          <c:showVal val="0"/>
          <c:showCatName val="0"/>
          <c:showSerName val="0"/>
          <c:showPercent val="0"/>
          <c:showBubbleSize val="0"/>
        </c:dLbls>
        <c:gapWidth val="40"/>
        <c:axId val="-1753178336"/>
        <c:axId val="-1753185952"/>
      </c:barChart>
      <c:lineChart>
        <c:grouping val="standard"/>
        <c:varyColors val="0"/>
        <c:ser>
          <c:idx val="0"/>
          <c:order val="1"/>
          <c:tx>
            <c:strRef>
              <c:f>'Te ardhurat'!$C$5</c:f>
              <c:strCache>
                <c:ptCount val="1"/>
                <c:pt idx="0">
                  <c:v>Ritmi i rritjes</c:v>
                </c:pt>
              </c:strCache>
            </c:strRef>
          </c:tx>
          <c:marker>
            <c:symbol val="none"/>
          </c:marker>
          <c:dLbls>
            <c:dLbl>
              <c:idx val="1"/>
              <c:layout>
                <c:manualLayout>
                  <c:x val="-6.1617012159194386E-2"/>
                  <c:y val="-7.7492504448179927E-2"/>
                </c:manualLayout>
              </c:layout>
              <c:dLblPos val="r"/>
              <c:showLegendKey val="0"/>
              <c:showVal val="1"/>
              <c:showCatName val="0"/>
              <c:showSerName val="0"/>
              <c:showPercent val="0"/>
              <c:showBubbleSize val="0"/>
              <c:extLst>
                <c:ext xmlns:c15="http://schemas.microsoft.com/office/drawing/2012/chart" uri="{CE6537A1-D6FC-4f65-9D91-7224C49458BB}"/>
              </c:extLst>
            </c:dLbl>
            <c:dLbl>
              <c:idx val="5"/>
              <c:layout>
                <c:manualLayout>
                  <c:x val="-4.9938829074937068E-2"/>
                  <c:y val="-3.5468656305602239E-2"/>
                </c:manualLayout>
              </c:layout>
              <c:dLblPos val="r"/>
              <c:showLegendKey val="0"/>
              <c:showVal val="1"/>
              <c:showCatName val="0"/>
              <c:showSerName val="0"/>
              <c:showPercent val="0"/>
              <c:showBubbleSize val="0"/>
              <c:extLst>
                <c:ext xmlns:c15="http://schemas.microsoft.com/office/drawing/2012/chart" uri="{CE6537A1-D6FC-4f65-9D91-7224C49458BB}"/>
              </c:extLst>
            </c:dLbl>
            <c:dLbl>
              <c:idx val="9"/>
              <c:layout>
                <c:manualLayout>
                  <c:x val="-5.0784935703700781E-2"/>
                  <c:y val="-8.6888493776987596E-2"/>
                </c:manualLayout>
              </c:layout>
              <c:dLblPos val="r"/>
              <c:showLegendKey val="0"/>
              <c:showVal val="1"/>
              <c:showCatName val="0"/>
              <c:showSerName val="0"/>
              <c:showPercent val="0"/>
              <c:showBubbleSize val="0"/>
              <c:extLst>
                <c:ext xmlns:c15="http://schemas.microsoft.com/office/drawing/2012/chart" uri="{CE6537A1-D6FC-4f65-9D91-7224C49458BB}"/>
              </c:extLst>
            </c:dLbl>
            <c:dLbl>
              <c:idx val="10"/>
              <c:layout>
                <c:manualLayout>
                  <c:x val="-4.5604526305281098E-2"/>
                  <c:y val="-8.4149944966556658E-2"/>
                </c:manualLayout>
              </c:layout>
              <c:dLblPos val="r"/>
              <c:showLegendKey val="0"/>
              <c:showVal val="1"/>
              <c:showCatName val="0"/>
              <c:showSerName val="0"/>
              <c:showPercent val="0"/>
              <c:showBubbleSize val="0"/>
              <c:extLst>
                <c:ext xmlns:c15="http://schemas.microsoft.com/office/drawing/2012/chart" uri="{CE6537A1-D6FC-4f65-9D91-7224C49458BB}"/>
              </c:extLst>
            </c:dLbl>
            <c:spPr>
              <a:noFill/>
              <a:ln>
                <a:noFill/>
              </a:ln>
              <a:effectLst/>
            </c:spPr>
            <c:txPr>
              <a:bodyPr/>
              <a:lstStyle/>
              <a:p>
                <a:pPr>
                  <a:defRPr sz="1000" b="0" i="0" u="none" strike="noStrike" baseline="0">
                    <a:solidFill>
                      <a:srgbClr val="000000"/>
                    </a:solidFill>
                    <a:latin typeface="Calibri"/>
                    <a:ea typeface="Calibri"/>
                    <a:cs typeface="Calibri"/>
                  </a:defRPr>
                </a:pPr>
                <a:endParaRPr lang="en-US"/>
              </a:p>
            </c:txPr>
            <c:dLblPos val="t"/>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'Te ardhurat'!$D$3:$O$3</c:f>
              <c:strCache>
                <c:ptCount val="12"/>
                <c:pt idx="0">
                  <c:v>5M-2005</c:v>
                </c:pt>
                <c:pt idx="1">
                  <c:v>5M-2006</c:v>
                </c:pt>
                <c:pt idx="2">
                  <c:v>5M-2007</c:v>
                </c:pt>
                <c:pt idx="3">
                  <c:v>5M-2008</c:v>
                </c:pt>
                <c:pt idx="4">
                  <c:v>5M-2009</c:v>
                </c:pt>
                <c:pt idx="5">
                  <c:v>5M-2010</c:v>
                </c:pt>
                <c:pt idx="6">
                  <c:v>5M-2011</c:v>
                </c:pt>
                <c:pt idx="7">
                  <c:v>5M-2012</c:v>
                </c:pt>
                <c:pt idx="8">
                  <c:v>5M-2013</c:v>
                </c:pt>
                <c:pt idx="9">
                  <c:v>5M-2014</c:v>
                </c:pt>
                <c:pt idx="10">
                  <c:v>5M-2015</c:v>
                </c:pt>
                <c:pt idx="11">
                  <c:v>5M-2016</c:v>
                </c:pt>
              </c:strCache>
            </c:strRef>
          </c:cat>
          <c:val>
            <c:numRef>
              <c:f>'Te ardhurat'!$D$5:$S$5</c:f>
              <c:numCache>
                <c:formatCode>0%</c:formatCode>
                <c:ptCount val="16"/>
                <c:pt idx="0">
                  <c:v>9.4E-2</c:v>
                </c:pt>
                <c:pt idx="1">
                  <c:v>-5.4382685967655761E-2</c:v>
                </c:pt>
                <c:pt idx="2">
                  <c:v>2.8990280064265444E-2</c:v>
                </c:pt>
                <c:pt idx="3">
                  <c:v>1.6738918827619992E-2</c:v>
                </c:pt>
                <c:pt idx="4">
                  <c:v>0.25610836461575581</c:v>
                </c:pt>
                <c:pt idx="5">
                  <c:v>-5.6866169834493142E-2</c:v>
                </c:pt>
                <c:pt idx="6">
                  <c:v>8.9620623880454581E-2</c:v>
                </c:pt>
                <c:pt idx="7">
                  <c:v>-8.1167277946101096E-2</c:v>
                </c:pt>
                <c:pt idx="8">
                  <c:v>-0.12408885803540437</c:v>
                </c:pt>
                <c:pt idx="9">
                  <c:v>7.945314047949277E-2</c:v>
                </c:pt>
                <c:pt idx="10">
                  <c:v>6.1490455212922172E-2</c:v>
                </c:pt>
                <c:pt idx="11">
                  <c:v>0.17309355006052221</c:v>
                </c:pt>
                <c:pt idx="12">
                  <c:v>0.37691627358490565</c:v>
                </c:pt>
                <c:pt idx="13">
                  <c:v>-5.6194197623380779E-2</c:v>
                </c:pt>
                <c:pt idx="14">
                  <c:v>0.28725999848005185</c:v>
                </c:pt>
                <c:pt idx="15">
                  <c:v>-0.38363322348131051</c:v>
                </c:pt>
              </c:numCache>
            </c:numRef>
          </c:val>
          <c:smooth val="1"/>
        </c:ser>
        <c:dLbls>
          <c:showLegendKey val="0"/>
          <c:showVal val="0"/>
          <c:showCatName val="0"/>
          <c:showSerName val="0"/>
          <c:showPercent val="0"/>
          <c:showBubbleSize val="0"/>
        </c:dLbls>
        <c:marker val="1"/>
        <c:smooth val="0"/>
        <c:axId val="-1753171264"/>
        <c:axId val="-1753195744"/>
      </c:lineChart>
      <c:catAx>
        <c:axId val="-1753178336"/>
        <c:scaling>
          <c:orientation val="minMax"/>
        </c:scaling>
        <c:delete val="0"/>
        <c:axPos val="b"/>
        <c:numFmt formatCode="General" sourceLinked="1"/>
        <c:majorTickMark val="cross"/>
        <c:minorTickMark val="none"/>
        <c:tickLblPos val="nextTo"/>
        <c:txPr>
          <a:bodyPr rot="-2700000" vert="horz"/>
          <a:lstStyle/>
          <a:p>
            <a:pPr>
              <a:defRPr sz="800" b="1" i="0" u="none" strike="noStrike" baseline="0">
                <a:solidFill>
                  <a:sysClr val="windowText" lastClr="000000"/>
                </a:solidFill>
                <a:latin typeface="Calibri"/>
                <a:ea typeface="Calibri"/>
                <a:cs typeface="Calibri"/>
              </a:defRPr>
            </a:pPr>
            <a:endParaRPr lang="en-US"/>
          </a:p>
        </c:txPr>
        <c:crossAx val="-1753185952"/>
        <c:crosses val="autoZero"/>
        <c:auto val="0"/>
        <c:lblAlgn val="ctr"/>
        <c:lblOffset val="100"/>
        <c:tickLblSkip val="1"/>
        <c:tickMarkSkip val="1"/>
        <c:noMultiLvlLbl val="0"/>
      </c:catAx>
      <c:valAx>
        <c:axId val="-1753185952"/>
        <c:scaling>
          <c:orientation val="minMax"/>
        </c:scaling>
        <c:delete val="0"/>
        <c:axPos val="l"/>
        <c:title>
          <c:tx>
            <c:rich>
              <a:bodyPr/>
              <a:lstStyle/>
              <a:p>
                <a:pPr>
                  <a:defRPr sz="900" b="0" i="0" u="none" strike="noStrike" baseline="0">
                    <a:solidFill>
                      <a:srgbClr val="000000"/>
                    </a:solidFill>
                    <a:latin typeface="Calibri"/>
                    <a:ea typeface="Calibri"/>
                    <a:cs typeface="Calibri"/>
                  </a:defRPr>
                </a:pPr>
                <a:r>
                  <a:rPr lang="sq-AL" sz="900" b="0"/>
                  <a:t>Në miliardë</a:t>
                </a:r>
              </a:p>
            </c:rich>
          </c:tx>
          <c:layout>
            <c:manualLayout>
              <c:xMode val="edge"/>
              <c:yMode val="edge"/>
              <c:x val="1.7895028848451903E-3"/>
              <c:y val="4.6417135184800326E-2"/>
            </c:manualLayout>
          </c:layout>
          <c:overlay val="0"/>
        </c:title>
        <c:numFmt formatCode="#,##0.0" sourceLinked="0"/>
        <c:majorTickMark val="cross"/>
        <c:minorTickMark val="none"/>
        <c:tickLblPos val="nextTo"/>
        <c:txPr>
          <a:bodyPr rot="0" vert="horz"/>
          <a:lstStyle/>
          <a:p>
            <a:pPr>
              <a:defRPr sz="800" b="1" i="0" u="none" strike="noStrike" baseline="0">
                <a:solidFill>
                  <a:srgbClr val="000000"/>
                </a:solidFill>
                <a:latin typeface="Calibri"/>
                <a:ea typeface="Calibri"/>
                <a:cs typeface="Calibri"/>
              </a:defRPr>
            </a:pPr>
            <a:endParaRPr lang="en-US"/>
          </a:p>
        </c:txPr>
        <c:crossAx val="-1753178336"/>
        <c:crosses val="autoZero"/>
        <c:crossBetween val="between"/>
        <c:dispUnits>
          <c:builtInUnit val="thousands"/>
        </c:dispUnits>
      </c:valAx>
      <c:catAx>
        <c:axId val="-1753171264"/>
        <c:scaling>
          <c:orientation val="minMax"/>
        </c:scaling>
        <c:delete val="1"/>
        <c:axPos val="b"/>
        <c:numFmt formatCode="General" sourceLinked="1"/>
        <c:majorTickMark val="out"/>
        <c:minorTickMark val="none"/>
        <c:tickLblPos val="nextTo"/>
        <c:crossAx val="-1753195744"/>
        <c:crosses val="autoZero"/>
        <c:auto val="0"/>
        <c:lblAlgn val="ctr"/>
        <c:lblOffset val="100"/>
        <c:noMultiLvlLbl val="0"/>
      </c:catAx>
      <c:valAx>
        <c:axId val="-1753195744"/>
        <c:scaling>
          <c:orientation val="minMax"/>
        </c:scaling>
        <c:delete val="0"/>
        <c:axPos val="r"/>
        <c:numFmt formatCode="0%" sourceLinked="0"/>
        <c:majorTickMark val="cross"/>
        <c:minorTickMark val="none"/>
        <c:tickLblPos val="nextTo"/>
        <c:txPr>
          <a:bodyPr rot="0" vert="horz"/>
          <a:lstStyle/>
          <a:p>
            <a:pPr>
              <a:defRPr sz="900" b="0" i="0" u="none" strike="noStrike" baseline="0">
                <a:solidFill>
                  <a:srgbClr val="000000"/>
                </a:solidFill>
                <a:latin typeface="Calibri"/>
                <a:ea typeface="Calibri"/>
                <a:cs typeface="Calibri"/>
              </a:defRPr>
            </a:pPr>
            <a:endParaRPr lang="en-US"/>
          </a:p>
        </c:txPr>
        <c:crossAx val="-1753171264"/>
        <c:crosses val="max"/>
        <c:crossBetween val="between"/>
      </c:valAx>
      <c:spPr>
        <a:solidFill>
          <a:sysClr val="window" lastClr="FFFFFF"/>
        </a:solidFill>
      </c:spPr>
    </c:plotArea>
    <c:legend>
      <c:legendPos val="b"/>
      <c:layout>
        <c:manualLayout>
          <c:xMode val="edge"/>
          <c:yMode val="edge"/>
          <c:x val="0.1280449654628536"/>
          <c:y val="0.93093412503764894"/>
          <c:w val="0.70631528201831917"/>
          <c:h val="6.8443870745664978E-2"/>
        </c:manualLayout>
      </c:layout>
      <c:overlay val="0"/>
      <c:txPr>
        <a:bodyPr/>
        <a:lstStyle/>
        <a:p>
          <a:pPr>
            <a:defRPr sz="920" b="1" i="0" u="none" strike="noStrike" baseline="0">
              <a:solidFill>
                <a:srgbClr val="000000"/>
              </a:solidFill>
              <a:latin typeface="Calibri"/>
              <a:ea typeface="Calibri"/>
              <a:cs typeface="Calibri"/>
            </a:defRPr>
          </a:pPr>
          <a:endParaRPr lang="en-US"/>
        </a:p>
      </c:txPr>
    </c:legend>
    <c:plotVisOnly val="1"/>
    <c:dispBlanksAs val="gap"/>
    <c:showDLblsOverMax val="0"/>
  </c:chart>
  <c:txPr>
    <a:bodyPr/>
    <a:lstStyle/>
    <a:p>
      <a:pPr>
        <a:defRPr sz="1000" b="0" i="0" u="none" strike="noStrike" baseline="0">
          <a:solidFill>
            <a:srgbClr val="000000"/>
          </a:solidFill>
          <a:latin typeface="Calibri"/>
          <a:ea typeface="Calibri"/>
          <a:cs typeface="Calibri"/>
        </a:defRPr>
      </a:pPr>
      <a:endParaRPr lang="en-US"/>
    </a:p>
  </c:txPr>
  <c:externalData r:id="rId2">
    <c:autoUpdate val="0"/>
  </c:externalData>
</c:chartSpace>
</file>

<file path=word/charts/chart15.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40"/>
    </mc:Choice>
    <mc:Fallback>
      <c:style val="40"/>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8.2116839080734097E-2"/>
          <c:y val="4.4582413522289921E-2"/>
          <c:w val="0.85281981806860807"/>
          <c:h val="0.63505078169576645"/>
        </c:manualLayout>
      </c:layout>
      <c:barChart>
        <c:barDir val="col"/>
        <c:grouping val="clustered"/>
        <c:varyColors val="0"/>
        <c:ser>
          <c:idx val="1"/>
          <c:order val="0"/>
          <c:tx>
            <c:strRef>
              <c:f>'Te ardhurat'!$C$6</c:f>
              <c:strCache>
                <c:ptCount val="1"/>
                <c:pt idx="0">
                  <c:v>Taksë mbi Pasurinë (ndërtesat)</c:v>
                </c:pt>
              </c:strCache>
            </c:strRef>
          </c:tx>
          <c:spPr>
            <a:solidFill>
              <a:srgbClr val="00B0F0"/>
            </a:solidFill>
            <a:ln>
              <a:solidFill>
                <a:schemeClr val="bg1">
                  <a:lumMod val="65000"/>
                </a:schemeClr>
              </a:solidFill>
            </a:ln>
          </c:spPr>
          <c:invertIfNegative val="0"/>
          <c:dLbls>
            <c:numFmt formatCode="#,##0.0" sourceLinked="0"/>
            <c:spPr>
              <a:noFill/>
              <a:ln>
                <a:noFill/>
              </a:ln>
              <a:effectLst/>
            </c:spPr>
            <c:txPr>
              <a:bodyPr/>
              <a:lstStyle/>
              <a:p>
                <a:pPr>
                  <a:defRPr sz="1000" b="0" i="0" u="none" strike="noStrike" baseline="0">
                    <a:solidFill>
                      <a:srgbClr val="000000"/>
                    </a:solidFill>
                    <a:latin typeface="Calibri"/>
                    <a:ea typeface="Calibri"/>
                    <a:cs typeface="Calibri"/>
                  </a:defRPr>
                </a:pPr>
                <a:endParaRPr lang="en-US"/>
              </a:p>
            </c:txPr>
            <c:dLblPos val="inBase"/>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'Te ardhurat'!$D$3:$S$3</c:f>
              <c:strCache>
                <c:ptCount val="16"/>
                <c:pt idx="0">
                  <c:v>5M-2005</c:v>
                </c:pt>
                <c:pt idx="1">
                  <c:v>5M-2006</c:v>
                </c:pt>
                <c:pt idx="2">
                  <c:v>5M-2007</c:v>
                </c:pt>
                <c:pt idx="3">
                  <c:v>5M-2008</c:v>
                </c:pt>
                <c:pt idx="4">
                  <c:v>5M-2009</c:v>
                </c:pt>
                <c:pt idx="5">
                  <c:v>5M-2010</c:v>
                </c:pt>
                <c:pt idx="6">
                  <c:v>5M-2011</c:v>
                </c:pt>
                <c:pt idx="7">
                  <c:v>5M-2012</c:v>
                </c:pt>
                <c:pt idx="8">
                  <c:v>5M-2013</c:v>
                </c:pt>
                <c:pt idx="9">
                  <c:v>5M-2014</c:v>
                </c:pt>
                <c:pt idx="10">
                  <c:v>5M-2015</c:v>
                </c:pt>
                <c:pt idx="11">
                  <c:v>5M-2016</c:v>
                </c:pt>
                <c:pt idx="12">
                  <c:v>5M-2017</c:v>
                </c:pt>
                <c:pt idx="13">
                  <c:v>5M-2018</c:v>
                </c:pt>
                <c:pt idx="14">
                  <c:v>5M-2019</c:v>
                </c:pt>
                <c:pt idx="15">
                  <c:v>5M-2020</c:v>
                </c:pt>
              </c:strCache>
            </c:strRef>
          </c:cat>
          <c:val>
            <c:numRef>
              <c:f>'Te ardhurat'!$D$6:$S$6</c:f>
              <c:numCache>
                <c:formatCode>#,##0</c:formatCode>
                <c:ptCount val="16"/>
                <c:pt idx="0">
                  <c:v>527.68600000000004</c:v>
                </c:pt>
                <c:pt idx="1">
                  <c:v>611.13499999999999</c:v>
                </c:pt>
                <c:pt idx="2">
                  <c:v>405.88806</c:v>
                </c:pt>
                <c:pt idx="3">
                  <c:v>620.31200000000001</c:v>
                </c:pt>
                <c:pt idx="4">
                  <c:v>796.43562000000009</c:v>
                </c:pt>
                <c:pt idx="5">
                  <c:v>985.12200000000007</c:v>
                </c:pt>
                <c:pt idx="6">
                  <c:v>958</c:v>
                </c:pt>
                <c:pt idx="7">
                  <c:v>1418</c:v>
                </c:pt>
                <c:pt idx="8">
                  <c:v>1346</c:v>
                </c:pt>
                <c:pt idx="9">
                  <c:v>1931</c:v>
                </c:pt>
                <c:pt idx="10">
                  <c:v>2101</c:v>
                </c:pt>
                <c:pt idx="11">
                  <c:v>2316</c:v>
                </c:pt>
                <c:pt idx="12">
                  <c:v>2535</c:v>
                </c:pt>
                <c:pt idx="13">
                  <c:v>2197.4</c:v>
                </c:pt>
                <c:pt idx="14">
                  <c:v>2665.3</c:v>
                </c:pt>
                <c:pt idx="15">
                  <c:v>1408.9</c:v>
                </c:pt>
              </c:numCache>
            </c:numRef>
          </c:val>
        </c:ser>
        <c:dLbls>
          <c:showLegendKey val="0"/>
          <c:showVal val="0"/>
          <c:showCatName val="0"/>
          <c:showSerName val="0"/>
          <c:showPercent val="0"/>
          <c:showBubbleSize val="0"/>
        </c:dLbls>
        <c:gapWidth val="40"/>
        <c:axId val="-1753177248"/>
        <c:axId val="-1753172352"/>
      </c:barChart>
      <c:lineChart>
        <c:grouping val="standard"/>
        <c:varyColors val="0"/>
        <c:ser>
          <c:idx val="0"/>
          <c:order val="1"/>
          <c:tx>
            <c:strRef>
              <c:f>'Te ardhurat'!$C$7</c:f>
              <c:strCache>
                <c:ptCount val="1"/>
                <c:pt idx="0">
                  <c:v>Ritmi i rritjes</c:v>
                </c:pt>
              </c:strCache>
            </c:strRef>
          </c:tx>
          <c:marker>
            <c:symbol val="none"/>
          </c:marker>
          <c:dLbls>
            <c:dLbl>
              <c:idx val="0"/>
              <c:layout>
                <c:manualLayout>
                  <c:x val="-3.3047726177085006E-2"/>
                  <c:y val="-6.0871171591355959E-2"/>
                </c:manualLayout>
              </c:layout>
              <c:dLblPos val="r"/>
              <c:showLegendKey val="0"/>
              <c:showVal val="1"/>
              <c:showCatName val="0"/>
              <c:showSerName val="0"/>
              <c:showPercent val="0"/>
              <c:showBubbleSize val="0"/>
              <c:extLst>
                <c:ext xmlns:c15="http://schemas.microsoft.com/office/drawing/2012/chart" uri="{CE6537A1-D6FC-4f65-9D91-7224C49458BB}"/>
              </c:extLst>
            </c:dLbl>
            <c:dLbl>
              <c:idx val="1"/>
              <c:delete val="1"/>
              <c:extLst>
                <c:ext xmlns:c15="http://schemas.microsoft.com/office/drawing/2012/chart" uri="{CE6537A1-D6FC-4f65-9D91-7224C49458BB}"/>
              </c:extLst>
            </c:dLbl>
            <c:dLbl>
              <c:idx val="5"/>
              <c:layout>
                <c:manualLayout>
                  <c:x val="-4.9938829074937068E-2"/>
                  <c:y val="-3.5468656305602239E-2"/>
                </c:manualLayout>
              </c:layout>
              <c:dLblPos val="r"/>
              <c:showLegendKey val="0"/>
              <c:showVal val="1"/>
              <c:showCatName val="0"/>
              <c:showSerName val="0"/>
              <c:showPercent val="0"/>
              <c:showBubbleSize val="0"/>
              <c:extLst>
                <c:ext xmlns:c15="http://schemas.microsoft.com/office/drawing/2012/chart" uri="{CE6537A1-D6FC-4f65-9D91-7224C49458BB}"/>
              </c:extLst>
            </c:dLbl>
            <c:dLbl>
              <c:idx val="9"/>
              <c:layout>
                <c:manualLayout>
                  <c:x val="-5.0784935703700781E-2"/>
                  <c:y val="-8.6888493776987596E-2"/>
                </c:manualLayout>
              </c:layout>
              <c:dLblPos val="r"/>
              <c:showLegendKey val="0"/>
              <c:showVal val="1"/>
              <c:showCatName val="0"/>
              <c:showSerName val="0"/>
              <c:showPercent val="0"/>
              <c:showBubbleSize val="0"/>
              <c:extLst>
                <c:ext xmlns:c15="http://schemas.microsoft.com/office/drawing/2012/chart" uri="{CE6537A1-D6FC-4f65-9D91-7224C49458BB}"/>
              </c:extLst>
            </c:dLbl>
            <c:dLbl>
              <c:idx val="10"/>
              <c:layout>
                <c:manualLayout>
                  <c:x val="-4.5604526305281098E-2"/>
                  <c:y val="-8.4149944966556658E-2"/>
                </c:manualLayout>
              </c:layout>
              <c:dLblPos val="r"/>
              <c:showLegendKey val="0"/>
              <c:showVal val="1"/>
              <c:showCatName val="0"/>
              <c:showSerName val="0"/>
              <c:showPercent val="0"/>
              <c:showBubbleSize val="0"/>
              <c:extLst>
                <c:ext xmlns:c15="http://schemas.microsoft.com/office/drawing/2012/chart" uri="{CE6537A1-D6FC-4f65-9D91-7224C49458BB}"/>
              </c:extLst>
            </c:dLbl>
            <c:spPr>
              <a:noFill/>
              <a:ln>
                <a:noFill/>
              </a:ln>
              <a:effectLst/>
            </c:spPr>
            <c:txPr>
              <a:bodyPr/>
              <a:lstStyle/>
              <a:p>
                <a:pPr>
                  <a:defRPr sz="1000" b="0" i="0" u="none" strike="noStrike" baseline="0">
                    <a:solidFill>
                      <a:srgbClr val="000000"/>
                    </a:solidFill>
                    <a:latin typeface="Calibri"/>
                    <a:ea typeface="Calibri"/>
                    <a:cs typeface="Calibri"/>
                  </a:defRPr>
                </a:pPr>
                <a:endParaRPr lang="en-US"/>
              </a:p>
            </c:txPr>
            <c:dLblPos val="t"/>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'Te ardhurat'!$D$3:$O$3</c:f>
              <c:strCache>
                <c:ptCount val="12"/>
                <c:pt idx="0">
                  <c:v>5M-2005</c:v>
                </c:pt>
                <c:pt idx="1">
                  <c:v>5M-2006</c:v>
                </c:pt>
                <c:pt idx="2">
                  <c:v>5M-2007</c:v>
                </c:pt>
                <c:pt idx="3">
                  <c:v>5M-2008</c:v>
                </c:pt>
                <c:pt idx="4">
                  <c:v>5M-2009</c:v>
                </c:pt>
                <c:pt idx="5">
                  <c:v>5M-2010</c:v>
                </c:pt>
                <c:pt idx="6">
                  <c:v>5M-2011</c:v>
                </c:pt>
                <c:pt idx="7">
                  <c:v>5M-2012</c:v>
                </c:pt>
                <c:pt idx="8">
                  <c:v>5M-2013</c:v>
                </c:pt>
                <c:pt idx="9">
                  <c:v>5M-2014</c:v>
                </c:pt>
                <c:pt idx="10">
                  <c:v>5M-2015</c:v>
                </c:pt>
                <c:pt idx="11">
                  <c:v>5M-2016</c:v>
                </c:pt>
              </c:strCache>
            </c:strRef>
          </c:cat>
          <c:val>
            <c:numRef>
              <c:f>'Te ardhurat'!$D$7:$S$7</c:f>
              <c:numCache>
                <c:formatCode>0%</c:formatCode>
                <c:ptCount val="16"/>
                <c:pt idx="0">
                  <c:v>9.9000000000000005E-2</c:v>
                </c:pt>
                <c:pt idx="1">
                  <c:v>0.15814139469305599</c:v>
                </c:pt>
                <c:pt idx="2">
                  <c:v>-0.33584550058497714</c:v>
                </c:pt>
                <c:pt idx="3">
                  <c:v>0.52828343854214388</c:v>
                </c:pt>
                <c:pt idx="4">
                  <c:v>0.28392747520602546</c:v>
                </c:pt>
                <c:pt idx="5">
                  <c:v>0.23691353734279233</c:v>
                </c:pt>
                <c:pt idx="6">
                  <c:v>-2.7531615373527409E-2</c:v>
                </c:pt>
                <c:pt idx="7">
                  <c:v>0.4801670146137787</c:v>
                </c:pt>
                <c:pt idx="8">
                  <c:v>-5.0775740479548657E-2</c:v>
                </c:pt>
                <c:pt idx="9">
                  <c:v>0.43462109955423478</c:v>
                </c:pt>
                <c:pt idx="10">
                  <c:v>8.8037286380113933E-2</c:v>
                </c:pt>
                <c:pt idx="11">
                  <c:v>0.10233222275107091</c:v>
                </c:pt>
                <c:pt idx="12">
                  <c:v>9.4559585492227982E-2</c:v>
                </c:pt>
                <c:pt idx="13">
                  <c:v>-0.1331755424063116</c:v>
                </c:pt>
                <c:pt idx="14">
                  <c:v>0.2129334668244289</c:v>
                </c:pt>
                <c:pt idx="15">
                  <c:v>-0.47139158818894683</c:v>
                </c:pt>
              </c:numCache>
            </c:numRef>
          </c:val>
          <c:smooth val="1"/>
        </c:ser>
        <c:dLbls>
          <c:showLegendKey val="0"/>
          <c:showVal val="0"/>
          <c:showCatName val="0"/>
          <c:showSerName val="0"/>
          <c:showPercent val="0"/>
          <c:showBubbleSize val="0"/>
        </c:dLbls>
        <c:marker val="1"/>
        <c:smooth val="0"/>
        <c:axId val="-1753173984"/>
        <c:axId val="-1753175072"/>
      </c:lineChart>
      <c:catAx>
        <c:axId val="-1753177248"/>
        <c:scaling>
          <c:orientation val="minMax"/>
        </c:scaling>
        <c:delete val="0"/>
        <c:axPos val="b"/>
        <c:numFmt formatCode="General" sourceLinked="1"/>
        <c:majorTickMark val="cross"/>
        <c:minorTickMark val="none"/>
        <c:tickLblPos val="nextTo"/>
        <c:txPr>
          <a:bodyPr rot="-2700000" vert="horz"/>
          <a:lstStyle/>
          <a:p>
            <a:pPr>
              <a:defRPr sz="800" b="1" i="0" u="none" strike="noStrike" baseline="0">
                <a:solidFill>
                  <a:srgbClr val="000000"/>
                </a:solidFill>
                <a:latin typeface="Calibri"/>
                <a:ea typeface="Calibri"/>
                <a:cs typeface="Calibri"/>
              </a:defRPr>
            </a:pPr>
            <a:endParaRPr lang="en-US"/>
          </a:p>
        </c:txPr>
        <c:crossAx val="-1753172352"/>
        <c:crosses val="autoZero"/>
        <c:auto val="0"/>
        <c:lblAlgn val="ctr"/>
        <c:lblOffset val="100"/>
        <c:tickLblSkip val="1"/>
        <c:tickMarkSkip val="1"/>
        <c:noMultiLvlLbl val="0"/>
      </c:catAx>
      <c:valAx>
        <c:axId val="-1753172352"/>
        <c:scaling>
          <c:orientation val="minMax"/>
        </c:scaling>
        <c:delete val="0"/>
        <c:axPos val="l"/>
        <c:title>
          <c:tx>
            <c:rich>
              <a:bodyPr/>
              <a:lstStyle/>
              <a:p>
                <a:pPr>
                  <a:defRPr sz="900" b="1" i="0" u="none" strike="noStrike" baseline="0">
                    <a:solidFill>
                      <a:sysClr val="windowText" lastClr="000000"/>
                    </a:solidFill>
                    <a:latin typeface="Calibri"/>
                    <a:ea typeface="Calibri"/>
                    <a:cs typeface="Calibri"/>
                  </a:defRPr>
                </a:pPr>
                <a:r>
                  <a:rPr lang="sq-AL" sz="900" b="1">
                    <a:solidFill>
                      <a:sysClr val="windowText" lastClr="000000"/>
                    </a:solidFill>
                  </a:rPr>
                  <a:t>Në miliardë</a:t>
                </a:r>
              </a:p>
            </c:rich>
          </c:tx>
          <c:layout>
            <c:manualLayout>
              <c:xMode val="edge"/>
              <c:yMode val="edge"/>
              <c:x val="3.7241564086152746E-3"/>
              <c:y val="0.12345430154564013"/>
            </c:manualLayout>
          </c:layout>
          <c:overlay val="0"/>
        </c:title>
        <c:numFmt formatCode="#,##0.0" sourceLinked="0"/>
        <c:majorTickMark val="cross"/>
        <c:minorTickMark val="none"/>
        <c:tickLblPos val="nextTo"/>
        <c:txPr>
          <a:bodyPr rot="0" vert="horz"/>
          <a:lstStyle/>
          <a:p>
            <a:pPr>
              <a:defRPr sz="900" b="1" i="0" u="none" strike="noStrike" baseline="0">
                <a:solidFill>
                  <a:srgbClr val="000000"/>
                </a:solidFill>
                <a:latin typeface="Calibri"/>
                <a:ea typeface="Calibri"/>
                <a:cs typeface="Calibri"/>
              </a:defRPr>
            </a:pPr>
            <a:endParaRPr lang="en-US"/>
          </a:p>
        </c:txPr>
        <c:crossAx val="-1753177248"/>
        <c:crosses val="autoZero"/>
        <c:crossBetween val="between"/>
        <c:dispUnits>
          <c:builtInUnit val="thousands"/>
        </c:dispUnits>
      </c:valAx>
      <c:valAx>
        <c:axId val="-1753175072"/>
        <c:scaling>
          <c:orientation val="minMax"/>
        </c:scaling>
        <c:delete val="0"/>
        <c:axPos val="r"/>
        <c:numFmt formatCode="0%" sourceLinked="1"/>
        <c:majorTickMark val="out"/>
        <c:minorTickMark val="none"/>
        <c:tickLblPos val="nextTo"/>
        <c:txPr>
          <a:bodyPr/>
          <a:lstStyle/>
          <a:p>
            <a:pPr>
              <a:defRPr sz="900"/>
            </a:pPr>
            <a:endParaRPr lang="en-US"/>
          </a:p>
        </c:txPr>
        <c:crossAx val="-1753173984"/>
        <c:crosses val="max"/>
        <c:crossBetween val="between"/>
      </c:valAx>
      <c:catAx>
        <c:axId val="-1753173984"/>
        <c:scaling>
          <c:orientation val="minMax"/>
        </c:scaling>
        <c:delete val="1"/>
        <c:axPos val="b"/>
        <c:numFmt formatCode="General" sourceLinked="1"/>
        <c:majorTickMark val="out"/>
        <c:minorTickMark val="none"/>
        <c:tickLblPos val="nextTo"/>
        <c:crossAx val="-1753175072"/>
        <c:crosses val="autoZero"/>
        <c:auto val="0"/>
        <c:lblAlgn val="ctr"/>
        <c:lblOffset val="100"/>
        <c:noMultiLvlLbl val="0"/>
      </c:catAx>
      <c:spPr>
        <a:solidFill>
          <a:sysClr val="window" lastClr="FFFFFF"/>
        </a:solidFill>
      </c:spPr>
    </c:plotArea>
    <c:legend>
      <c:legendPos val="b"/>
      <c:layout>
        <c:manualLayout>
          <c:xMode val="edge"/>
          <c:yMode val="edge"/>
          <c:x val="0.1003592421543363"/>
          <c:y val="0.90918721813864278"/>
          <c:w val="0.79066902351491775"/>
          <c:h val="9.0301689816862818E-2"/>
        </c:manualLayout>
      </c:layout>
      <c:overlay val="0"/>
      <c:txPr>
        <a:bodyPr/>
        <a:lstStyle/>
        <a:p>
          <a:pPr>
            <a:defRPr sz="920" b="1" i="0" u="none" strike="noStrike" baseline="0">
              <a:solidFill>
                <a:srgbClr val="000000"/>
              </a:solidFill>
              <a:latin typeface="Calibri"/>
              <a:ea typeface="Calibri"/>
              <a:cs typeface="Calibri"/>
            </a:defRPr>
          </a:pPr>
          <a:endParaRPr lang="en-US"/>
        </a:p>
      </c:txPr>
    </c:legend>
    <c:plotVisOnly val="1"/>
    <c:dispBlanksAs val="gap"/>
    <c:showDLblsOverMax val="0"/>
  </c:chart>
  <c:txPr>
    <a:bodyPr/>
    <a:lstStyle/>
    <a:p>
      <a:pPr>
        <a:defRPr sz="1000" b="0" i="0" u="none" strike="noStrike" baseline="0">
          <a:solidFill>
            <a:srgbClr val="000000"/>
          </a:solidFill>
          <a:latin typeface="Calibri"/>
          <a:ea typeface="Calibri"/>
          <a:cs typeface="Calibri"/>
        </a:defRPr>
      </a:pPr>
      <a:endParaRPr lang="en-US"/>
    </a:p>
  </c:txPr>
  <c:externalData r:id="rId2">
    <c:autoUpdate val="0"/>
  </c:externalData>
</c:chartSpace>
</file>

<file path=word/charts/chart16.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40"/>
    </mc:Choice>
    <mc:Fallback>
      <c:style val="40"/>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8.4877807070039141E-2"/>
          <c:y val="2.9374342647602261E-2"/>
          <c:w val="0.8461529335201371"/>
          <c:h val="0.61705068628716497"/>
        </c:manualLayout>
      </c:layout>
      <c:barChart>
        <c:barDir val="col"/>
        <c:grouping val="clustered"/>
        <c:varyColors val="0"/>
        <c:ser>
          <c:idx val="1"/>
          <c:order val="0"/>
          <c:tx>
            <c:strRef>
              <c:f>'Te ardhurat'!$C$8</c:f>
              <c:strCache>
                <c:ptCount val="1"/>
                <c:pt idx="0">
                  <c:v>Taksë mbi Biznesin e vogël</c:v>
                </c:pt>
              </c:strCache>
            </c:strRef>
          </c:tx>
          <c:spPr>
            <a:solidFill>
              <a:srgbClr val="00B0F0"/>
            </a:solidFill>
            <a:ln>
              <a:solidFill>
                <a:schemeClr val="bg1">
                  <a:lumMod val="65000"/>
                </a:schemeClr>
              </a:solidFill>
            </a:ln>
          </c:spPr>
          <c:invertIfNegative val="0"/>
          <c:dLbls>
            <c:numFmt formatCode="#,##0.0" sourceLinked="0"/>
            <c:spPr>
              <a:noFill/>
              <a:ln>
                <a:noFill/>
              </a:ln>
              <a:effectLst/>
            </c:spPr>
            <c:txPr>
              <a:bodyPr/>
              <a:lstStyle/>
              <a:p>
                <a:pPr>
                  <a:defRPr sz="1000" b="0" i="0" u="none" strike="noStrike" baseline="0">
                    <a:solidFill>
                      <a:srgbClr val="000000"/>
                    </a:solidFill>
                    <a:latin typeface="Calibri"/>
                    <a:ea typeface="Calibri"/>
                    <a:cs typeface="Calibri"/>
                  </a:defRPr>
                </a:pPr>
                <a:endParaRPr lang="en-US"/>
              </a:p>
            </c:txPr>
            <c:dLblPos val="inBase"/>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'Te ardhurat'!$D$3:$S$3</c:f>
              <c:strCache>
                <c:ptCount val="16"/>
                <c:pt idx="0">
                  <c:v>5M-2005</c:v>
                </c:pt>
                <c:pt idx="1">
                  <c:v>5M-2006</c:v>
                </c:pt>
                <c:pt idx="2">
                  <c:v>5M-2007</c:v>
                </c:pt>
                <c:pt idx="3">
                  <c:v>5M-2008</c:v>
                </c:pt>
                <c:pt idx="4">
                  <c:v>5M-2009</c:v>
                </c:pt>
                <c:pt idx="5">
                  <c:v>5M-2010</c:v>
                </c:pt>
                <c:pt idx="6">
                  <c:v>5M-2011</c:v>
                </c:pt>
                <c:pt idx="7">
                  <c:v>5M-2012</c:v>
                </c:pt>
                <c:pt idx="8">
                  <c:v>5M-2013</c:v>
                </c:pt>
                <c:pt idx="9">
                  <c:v>5M-2014</c:v>
                </c:pt>
                <c:pt idx="10">
                  <c:v>5M-2015</c:v>
                </c:pt>
                <c:pt idx="11">
                  <c:v>5M-2016</c:v>
                </c:pt>
                <c:pt idx="12">
                  <c:v>5M-2017</c:v>
                </c:pt>
                <c:pt idx="13">
                  <c:v>5M-2018</c:v>
                </c:pt>
                <c:pt idx="14">
                  <c:v>5M-2019</c:v>
                </c:pt>
                <c:pt idx="15">
                  <c:v>5M-2020</c:v>
                </c:pt>
              </c:strCache>
            </c:strRef>
          </c:cat>
          <c:val>
            <c:numRef>
              <c:f>'Te ardhurat'!$D$8:$S$8</c:f>
              <c:numCache>
                <c:formatCode>#,##0</c:formatCode>
                <c:ptCount val="16"/>
                <c:pt idx="0">
                  <c:v>1808.33</c:v>
                </c:pt>
                <c:pt idx="1">
                  <c:v>1348.5329999999999</c:v>
                </c:pt>
                <c:pt idx="2">
                  <c:v>1236.9317900000001</c:v>
                </c:pt>
                <c:pt idx="3">
                  <c:v>1288.5109299999999</c:v>
                </c:pt>
                <c:pt idx="4">
                  <c:v>1421.7955300000001</c:v>
                </c:pt>
                <c:pt idx="5">
                  <c:v>1432.7118500000001</c:v>
                </c:pt>
                <c:pt idx="6">
                  <c:v>1737</c:v>
                </c:pt>
                <c:pt idx="7">
                  <c:v>1103</c:v>
                </c:pt>
                <c:pt idx="8">
                  <c:v>1082</c:v>
                </c:pt>
                <c:pt idx="9">
                  <c:v>612</c:v>
                </c:pt>
                <c:pt idx="10">
                  <c:v>730</c:v>
                </c:pt>
                <c:pt idx="11">
                  <c:v>519</c:v>
                </c:pt>
                <c:pt idx="12">
                  <c:v>220</c:v>
                </c:pt>
                <c:pt idx="13">
                  <c:v>258.36</c:v>
                </c:pt>
                <c:pt idx="14">
                  <c:v>282.3</c:v>
                </c:pt>
                <c:pt idx="15">
                  <c:v>306</c:v>
                </c:pt>
              </c:numCache>
            </c:numRef>
          </c:val>
        </c:ser>
        <c:dLbls>
          <c:showLegendKey val="0"/>
          <c:showVal val="0"/>
          <c:showCatName val="0"/>
          <c:showSerName val="0"/>
          <c:showPercent val="0"/>
          <c:showBubbleSize val="0"/>
        </c:dLbls>
        <c:gapWidth val="40"/>
        <c:axId val="-1753177792"/>
        <c:axId val="-1753170720"/>
      </c:barChart>
      <c:lineChart>
        <c:grouping val="standard"/>
        <c:varyColors val="0"/>
        <c:ser>
          <c:idx val="0"/>
          <c:order val="1"/>
          <c:tx>
            <c:strRef>
              <c:f>'Te ardhurat'!$C$9</c:f>
              <c:strCache>
                <c:ptCount val="1"/>
                <c:pt idx="0">
                  <c:v>Ritmi i rritjes</c:v>
                </c:pt>
              </c:strCache>
            </c:strRef>
          </c:tx>
          <c:marker>
            <c:symbol val="none"/>
          </c:marker>
          <c:dLbls>
            <c:dLbl>
              <c:idx val="1"/>
              <c:layout>
                <c:manualLayout>
                  <c:x val="-7.794355366438345E-2"/>
                  <c:y val="-7.2498941664549996E-2"/>
                </c:manualLayout>
              </c:layout>
              <c:dLblPos val="r"/>
              <c:showLegendKey val="0"/>
              <c:showVal val="1"/>
              <c:showCatName val="0"/>
              <c:showSerName val="0"/>
              <c:showPercent val="0"/>
              <c:showBubbleSize val="0"/>
              <c:extLst>
                <c:ext xmlns:c15="http://schemas.microsoft.com/office/drawing/2012/chart" uri="{CE6537A1-D6FC-4f65-9D91-7224C49458BB}"/>
              </c:extLst>
            </c:dLbl>
            <c:dLbl>
              <c:idx val="5"/>
              <c:layout>
                <c:manualLayout>
                  <c:x val="-4.9938829074937068E-2"/>
                  <c:y val="-3.5468656305602239E-2"/>
                </c:manualLayout>
              </c:layout>
              <c:dLblPos val="r"/>
              <c:showLegendKey val="0"/>
              <c:showVal val="1"/>
              <c:showCatName val="0"/>
              <c:showSerName val="0"/>
              <c:showPercent val="0"/>
              <c:showBubbleSize val="0"/>
              <c:extLst>
                <c:ext xmlns:c15="http://schemas.microsoft.com/office/drawing/2012/chart" uri="{CE6537A1-D6FC-4f65-9D91-7224C49458BB}"/>
              </c:extLst>
            </c:dLbl>
            <c:dLbl>
              <c:idx val="9"/>
              <c:layout>
                <c:manualLayout>
                  <c:x val="-5.0784935703700781E-2"/>
                  <c:y val="-8.6888493776987596E-2"/>
                </c:manualLayout>
              </c:layout>
              <c:dLblPos val="r"/>
              <c:showLegendKey val="0"/>
              <c:showVal val="1"/>
              <c:showCatName val="0"/>
              <c:showSerName val="0"/>
              <c:showPercent val="0"/>
              <c:showBubbleSize val="0"/>
              <c:extLst>
                <c:ext xmlns:c15="http://schemas.microsoft.com/office/drawing/2012/chart" uri="{CE6537A1-D6FC-4f65-9D91-7224C49458BB}"/>
              </c:extLst>
            </c:dLbl>
            <c:dLbl>
              <c:idx val="10"/>
              <c:layout>
                <c:manualLayout>
                  <c:x val="-4.5604526305281098E-2"/>
                  <c:y val="-8.4149944966556658E-2"/>
                </c:manualLayout>
              </c:layout>
              <c:dLblPos val="r"/>
              <c:showLegendKey val="0"/>
              <c:showVal val="1"/>
              <c:showCatName val="0"/>
              <c:showSerName val="0"/>
              <c:showPercent val="0"/>
              <c:showBubbleSize val="0"/>
              <c:extLst>
                <c:ext xmlns:c15="http://schemas.microsoft.com/office/drawing/2012/chart" uri="{CE6537A1-D6FC-4f65-9D91-7224C49458BB}"/>
              </c:extLst>
            </c:dLbl>
            <c:spPr>
              <a:noFill/>
              <a:ln>
                <a:noFill/>
              </a:ln>
              <a:effectLst/>
            </c:spPr>
            <c:txPr>
              <a:bodyPr/>
              <a:lstStyle/>
              <a:p>
                <a:pPr>
                  <a:defRPr sz="1000" b="0" i="0" u="none" strike="noStrike" baseline="0">
                    <a:solidFill>
                      <a:srgbClr val="000000"/>
                    </a:solidFill>
                    <a:latin typeface="Calibri"/>
                    <a:ea typeface="Calibri"/>
                    <a:cs typeface="Calibri"/>
                  </a:defRPr>
                </a:pPr>
                <a:endParaRPr lang="en-US"/>
              </a:p>
            </c:txPr>
            <c:dLblPos val="t"/>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'Te ardhurat'!$D$3:$O$3</c:f>
              <c:strCache>
                <c:ptCount val="12"/>
                <c:pt idx="0">
                  <c:v>5M-2005</c:v>
                </c:pt>
                <c:pt idx="1">
                  <c:v>5M-2006</c:v>
                </c:pt>
                <c:pt idx="2">
                  <c:v>5M-2007</c:v>
                </c:pt>
                <c:pt idx="3">
                  <c:v>5M-2008</c:v>
                </c:pt>
                <c:pt idx="4">
                  <c:v>5M-2009</c:v>
                </c:pt>
                <c:pt idx="5">
                  <c:v>5M-2010</c:v>
                </c:pt>
                <c:pt idx="6">
                  <c:v>5M-2011</c:v>
                </c:pt>
                <c:pt idx="7">
                  <c:v>5M-2012</c:v>
                </c:pt>
                <c:pt idx="8">
                  <c:v>5M-2013</c:v>
                </c:pt>
                <c:pt idx="9">
                  <c:v>5M-2014</c:v>
                </c:pt>
                <c:pt idx="10">
                  <c:v>5M-2015</c:v>
                </c:pt>
                <c:pt idx="11">
                  <c:v>5M-2016</c:v>
                </c:pt>
              </c:strCache>
            </c:strRef>
          </c:cat>
          <c:val>
            <c:numRef>
              <c:f>'Te ardhurat'!$D$9:$S$9</c:f>
              <c:numCache>
                <c:formatCode>0%</c:formatCode>
                <c:ptCount val="16"/>
                <c:pt idx="0">
                  <c:v>-0.28000000000000003</c:v>
                </c:pt>
                <c:pt idx="1">
                  <c:v>-0.25426609081307067</c:v>
                </c:pt>
                <c:pt idx="2">
                  <c:v>-8.2757492771774827E-2</c:v>
                </c:pt>
                <c:pt idx="3">
                  <c:v>4.1699259746570037E-2</c:v>
                </c:pt>
                <c:pt idx="4">
                  <c:v>0.10344079890730938</c:v>
                </c:pt>
                <c:pt idx="5">
                  <c:v>7.6778409902583111E-3</c:v>
                </c:pt>
                <c:pt idx="6">
                  <c:v>0.21238614729123642</c:v>
                </c:pt>
                <c:pt idx="7">
                  <c:v>-0.36499712147380542</c:v>
                </c:pt>
                <c:pt idx="8">
                  <c:v>-1.9038984587488667E-2</c:v>
                </c:pt>
                <c:pt idx="9">
                  <c:v>-0.43438077634011091</c:v>
                </c:pt>
                <c:pt idx="10">
                  <c:v>0.19281045751633988</c:v>
                </c:pt>
                <c:pt idx="11">
                  <c:v>-0.28904109589041094</c:v>
                </c:pt>
                <c:pt idx="12">
                  <c:v>-0.5761078998073218</c:v>
                </c:pt>
                <c:pt idx="13">
                  <c:v>0.17436363636363642</c:v>
                </c:pt>
                <c:pt idx="14">
                  <c:v>9.2661402693915457E-2</c:v>
                </c:pt>
                <c:pt idx="15">
                  <c:v>8.3953241232731096E-2</c:v>
                </c:pt>
              </c:numCache>
            </c:numRef>
          </c:val>
          <c:smooth val="1"/>
        </c:ser>
        <c:dLbls>
          <c:showLegendKey val="0"/>
          <c:showVal val="0"/>
          <c:showCatName val="0"/>
          <c:showSerName val="0"/>
          <c:showPercent val="0"/>
          <c:showBubbleSize val="0"/>
        </c:dLbls>
        <c:marker val="1"/>
        <c:smooth val="0"/>
        <c:axId val="-1753170176"/>
        <c:axId val="-1753169632"/>
      </c:lineChart>
      <c:catAx>
        <c:axId val="-1753177792"/>
        <c:scaling>
          <c:orientation val="minMax"/>
        </c:scaling>
        <c:delete val="0"/>
        <c:axPos val="b"/>
        <c:numFmt formatCode="General" sourceLinked="1"/>
        <c:majorTickMark val="cross"/>
        <c:minorTickMark val="none"/>
        <c:tickLblPos val="nextTo"/>
        <c:txPr>
          <a:bodyPr rot="-2700000" vert="horz"/>
          <a:lstStyle/>
          <a:p>
            <a:pPr>
              <a:defRPr sz="800" b="1" i="0" u="none" strike="noStrike" baseline="0">
                <a:solidFill>
                  <a:srgbClr val="000000"/>
                </a:solidFill>
                <a:latin typeface="Calibri"/>
                <a:ea typeface="Calibri"/>
                <a:cs typeface="Calibri"/>
              </a:defRPr>
            </a:pPr>
            <a:endParaRPr lang="en-US"/>
          </a:p>
        </c:txPr>
        <c:crossAx val="-1753170720"/>
        <c:crosses val="autoZero"/>
        <c:auto val="0"/>
        <c:lblAlgn val="ctr"/>
        <c:lblOffset val="100"/>
        <c:tickLblSkip val="1"/>
        <c:tickMarkSkip val="1"/>
        <c:noMultiLvlLbl val="0"/>
      </c:catAx>
      <c:valAx>
        <c:axId val="-1753170720"/>
        <c:scaling>
          <c:orientation val="minMax"/>
        </c:scaling>
        <c:delete val="0"/>
        <c:axPos val="l"/>
        <c:title>
          <c:tx>
            <c:rich>
              <a:bodyPr/>
              <a:lstStyle/>
              <a:p>
                <a:pPr>
                  <a:defRPr sz="900" b="1" i="0" u="none" strike="noStrike" baseline="0">
                    <a:solidFill>
                      <a:srgbClr val="000000"/>
                    </a:solidFill>
                    <a:latin typeface="Calibri"/>
                    <a:ea typeface="Calibri"/>
                    <a:cs typeface="Calibri"/>
                  </a:defRPr>
                </a:pPr>
                <a:r>
                  <a:rPr lang="sq-AL" sz="900" b="1"/>
                  <a:t>Në miliardë</a:t>
                </a:r>
              </a:p>
            </c:rich>
          </c:tx>
          <c:layout>
            <c:manualLayout>
              <c:xMode val="edge"/>
              <c:yMode val="edge"/>
              <c:x val="1.5351757500900623E-3"/>
              <c:y val="7.6179971885536782E-2"/>
            </c:manualLayout>
          </c:layout>
          <c:overlay val="0"/>
        </c:title>
        <c:numFmt formatCode="#,##0.0" sourceLinked="0"/>
        <c:majorTickMark val="cross"/>
        <c:minorTickMark val="none"/>
        <c:tickLblPos val="nextTo"/>
        <c:txPr>
          <a:bodyPr rot="0" vert="horz"/>
          <a:lstStyle/>
          <a:p>
            <a:pPr>
              <a:defRPr sz="900" b="1" i="0" u="none" strike="noStrike" baseline="0">
                <a:solidFill>
                  <a:srgbClr val="000000"/>
                </a:solidFill>
                <a:latin typeface="Calibri"/>
                <a:ea typeface="Calibri"/>
                <a:cs typeface="Calibri"/>
              </a:defRPr>
            </a:pPr>
            <a:endParaRPr lang="en-US"/>
          </a:p>
        </c:txPr>
        <c:crossAx val="-1753177792"/>
        <c:crosses val="autoZero"/>
        <c:crossBetween val="between"/>
        <c:dispUnits>
          <c:builtInUnit val="thousands"/>
        </c:dispUnits>
      </c:valAx>
      <c:catAx>
        <c:axId val="-1753170176"/>
        <c:scaling>
          <c:orientation val="minMax"/>
        </c:scaling>
        <c:delete val="1"/>
        <c:axPos val="b"/>
        <c:numFmt formatCode="General" sourceLinked="1"/>
        <c:majorTickMark val="out"/>
        <c:minorTickMark val="none"/>
        <c:tickLblPos val="nextTo"/>
        <c:crossAx val="-1753169632"/>
        <c:crosses val="autoZero"/>
        <c:auto val="0"/>
        <c:lblAlgn val="ctr"/>
        <c:lblOffset val="100"/>
        <c:noMultiLvlLbl val="0"/>
      </c:catAx>
      <c:valAx>
        <c:axId val="-1753169632"/>
        <c:scaling>
          <c:orientation val="minMax"/>
        </c:scaling>
        <c:delete val="0"/>
        <c:axPos val="r"/>
        <c:numFmt formatCode="0%" sourceLinked="0"/>
        <c:majorTickMark val="cross"/>
        <c:minorTickMark val="none"/>
        <c:tickLblPos val="nextTo"/>
        <c:txPr>
          <a:bodyPr rot="0" vert="horz"/>
          <a:lstStyle/>
          <a:p>
            <a:pPr>
              <a:defRPr sz="900" b="0" i="0" u="none" strike="noStrike" baseline="0">
                <a:solidFill>
                  <a:srgbClr val="000000"/>
                </a:solidFill>
                <a:latin typeface="Calibri"/>
                <a:ea typeface="Calibri"/>
                <a:cs typeface="Calibri"/>
              </a:defRPr>
            </a:pPr>
            <a:endParaRPr lang="en-US"/>
          </a:p>
        </c:txPr>
        <c:crossAx val="-1753170176"/>
        <c:crosses val="max"/>
        <c:crossBetween val="between"/>
      </c:valAx>
      <c:spPr>
        <a:solidFill>
          <a:sysClr val="window" lastClr="FFFFFF"/>
        </a:solidFill>
      </c:spPr>
    </c:plotArea>
    <c:legend>
      <c:legendPos val="b"/>
      <c:layout>
        <c:manualLayout>
          <c:xMode val="edge"/>
          <c:yMode val="edge"/>
          <c:x val="0.21293118867273128"/>
          <c:y val="0.90969831018313718"/>
          <c:w val="0.54032888746049612"/>
          <c:h val="9.0301689816862818E-2"/>
        </c:manualLayout>
      </c:layout>
      <c:overlay val="0"/>
      <c:txPr>
        <a:bodyPr/>
        <a:lstStyle/>
        <a:p>
          <a:pPr>
            <a:defRPr sz="920" b="1" i="0" u="none" strike="noStrike" baseline="0">
              <a:solidFill>
                <a:srgbClr val="000000"/>
              </a:solidFill>
              <a:latin typeface="Calibri"/>
              <a:ea typeface="Calibri"/>
              <a:cs typeface="Calibri"/>
            </a:defRPr>
          </a:pPr>
          <a:endParaRPr lang="en-US"/>
        </a:p>
      </c:txPr>
    </c:legend>
    <c:plotVisOnly val="1"/>
    <c:dispBlanksAs val="gap"/>
    <c:showDLblsOverMax val="0"/>
  </c:chart>
  <c:txPr>
    <a:bodyPr/>
    <a:lstStyle/>
    <a:p>
      <a:pPr>
        <a:defRPr sz="1000" b="0" i="0" u="none" strike="noStrike" baseline="0">
          <a:solidFill>
            <a:srgbClr val="000000"/>
          </a:solidFill>
          <a:latin typeface="Calibri"/>
          <a:ea typeface="Calibri"/>
          <a:cs typeface="Calibri"/>
        </a:defRPr>
      </a:pPr>
      <a:endParaRPr lang="en-US"/>
    </a:p>
  </c:txPr>
  <c:externalData r:id="rId2">
    <c:autoUpdate val="0"/>
  </c:externalData>
</c:chartSpace>
</file>

<file path=word/charts/chart17.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40"/>
    </mc:Choice>
    <mc:Fallback>
      <c:style val="40"/>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8.6952729570398471E-2"/>
          <c:y val="3.5890513685789278E-2"/>
          <c:w val="0.84919941032899826"/>
          <c:h val="0.62540682414698145"/>
        </c:manualLayout>
      </c:layout>
      <c:barChart>
        <c:barDir val="col"/>
        <c:grouping val="clustered"/>
        <c:varyColors val="0"/>
        <c:ser>
          <c:idx val="1"/>
          <c:order val="0"/>
          <c:tx>
            <c:strRef>
              <c:f>'Te ardhurat'!$C$10</c:f>
              <c:strCache>
                <c:ptCount val="1"/>
                <c:pt idx="0">
                  <c:v>Taksa Lokale</c:v>
                </c:pt>
              </c:strCache>
            </c:strRef>
          </c:tx>
          <c:spPr>
            <a:solidFill>
              <a:srgbClr val="00B0F0"/>
            </a:solidFill>
            <a:ln>
              <a:solidFill>
                <a:schemeClr val="bg1">
                  <a:lumMod val="65000"/>
                </a:schemeClr>
              </a:solidFill>
            </a:ln>
          </c:spPr>
          <c:invertIfNegative val="0"/>
          <c:dLbls>
            <c:numFmt formatCode="#,##0.0" sourceLinked="0"/>
            <c:spPr>
              <a:noFill/>
              <a:ln>
                <a:noFill/>
              </a:ln>
              <a:effectLst/>
            </c:spPr>
            <c:txPr>
              <a:bodyPr/>
              <a:lstStyle/>
              <a:p>
                <a:pPr>
                  <a:defRPr sz="1000" b="0" i="0" u="none" strike="noStrike" baseline="0">
                    <a:solidFill>
                      <a:srgbClr val="000000"/>
                    </a:solidFill>
                    <a:latin typeface="Calibri"/>
                    <a:ea typeface="Calibri"/>
                    <a:cs typeface="Calibri"/>
                  </a:defRPr>
                </a:pPr>
                <a:endParaRPr lang="en-US"/>
              </a:p>
            </c:txPr>
            <c:dLblPos val="inBase"/>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'Te ardhurat'!$D$3:$S$3</c:f>
              <c:strCache>
                <c:ptCount val="16"/>
                <c:pt idx="0">
                  <c:v>5M-2005</c:v>
                </c:pt>
                <c:pt idx="1">
                  <c:v>5M-2006</c:v>
                </c:pt>
                <c:pt idx="2">
                  <c:v>5M-2007</c:v>
                </c:pt>
                <c:pt idx="3">
                  <c:v>5M-2008</c:v>
                </c:pt>
                <c:pt idx="4">
                  <c:v>5M-2009</c:v>
                </c:pt>
                <c:pt idx="5">
                  <c:v>5M-2010</c:v>
                </c:pt>
                <c:pt idx="6">
                  <c:v>5M-2011</c:v>
                </c:pt>
                <c:pt idx="7">
                  <c:v>5M-2012</c:v>
                </c:pt>
                <c:pt idx="8">
                  <c:v>5M-2013</c:v>
                </c:pt>
                <c:pt idx="9">
                  <c:v>5M-2014</c:v>
                </c:pt>
                <c:pt idx="10">
                  <c:v>5M-2015</c:v>
                </c:pt>
                <c:pt idx="11">
                  <c:v>5M-2016</c:v>
                </c:pt>
                <c:pt idx="12">
                  <c:v>5M-2017</c:v>
                </c:pt>
                <c:pt idx="13">
                  <c:v>5M-2018</c:v>
                </c:pt>
                <c:pt idx="14">
                  <c:v>5M-2019</c:v>
                </c:pt>
                <c:pt idx="15">
                  <c:v>5M-2020</c:v>
                </c:pt>
              </c:strCache>
            </c:strRef>
          </c:cat>
          <c:val>
            <c:numRef>
              <c:f>'Te ardhurat'!$D$10:$S$10</c:f>
              <c:numCache>
                <c:formatCode>#,##0</c:formatCode>
                <c:ptCount val="16"/>
                <c:pt idx="0">
                  <c:v>2574.4749999999995</c:v>
                </c:pt>
                <c:pt idx="1">
                  <c:v>2683.7773100000004</c:v>
                </c:pt>
                <c:pt idx="2">
                  <c:v>3135.2402400000001</c:v>
                </c:pt>
                <c:pt idx="3">
                  <c:v>2949.2167200000004</c:v>
                </c:pt>
                <c:pt idx="4">
                  <c:v>3883.9930899999999</c:v>
                </c:pt>
                <c:pt idx="5">
                  <c:v>3337.3802699999992</c:v>
                </c:pt>
                <c:pt idx="6">
                  <c:v>3576</c:v>
                </c:pt>
                <c:pt idx="7">
                  <c:v>3241</c:v>
                </c:pt>
                <c:pt idx="8">
                  <c:v>2619</c:v>
                </c:pt>
                <c:pt idx="9">
                  <c:v>2905</c:v>
                </c:pt>
                <c:pt idx="10">
                  <c:v>2952</c:v>
                </c:pt>
                <c:pt idx="11">
                  <c:v>3949</c:v>
                </c:pt>
                <c:pt idx="12">
                  <c:v>6586</c:v>
                </c:pt>
                <c:pt idx="13">
                  <c:v>6360.33</c:v>
                </c:pt>
                <c:pt idx="14">
                  <c:v>8401</c:v>
                </c:pt>
                <c:pt idx="15">
                  <c:v>5280</c:v>
                </c:pt>
              </c:numCache>
            </c:numRef>
          </c:val>
        </c:ser>
        <c:dLbls>
          <c:showLegendKey val="0"/>
          <c:showVal val="0"/>
          <c:showCatName val="0"/>
          <c:showSerName val="0"/>
          <c:showPercent val="0"/>
          <c:showBubbleSize val="0"/>
        </c:dLbls>
        <c:gapWidth val="40"/>
        <c:axId val="-1753194656"/>
        <c:axId val="-1753314320"/>
      </c:barChart>
      <c:lineChart>
        <c:grouping val="standard"/>
        <c:varyColors val="0"/>
        <c:ser>
          <c:idx val="0"/>
          <c:order val="1"/>
          <c:tx>
            <c:strRef>
              <c:f>'Te ardhurat'!$C$11</c:f>
              <c:strCache>
                <c:ptCount val="1"/>
                <c:pt idx="0">
                  <c:v>Ritmi i rritjes</c:v>
                </c:pt>
              </c:strCache>
            </c:strRef>
          </c:tx>
          <c:marker>
            <c:symbol val="none"/>
          </c:marker>
          <c:dLbls>
            <c:dLbl>
              <c:idx val="1"/>
              <c:layout>
                <c:manualLayout>
                  <c:x val="-7.794355366438345E-2"/>
                  <c:y val="-7.2498941664549996E-2"/>
                </c:manualLayout>
              </c:layout>
              <c:dLblPos val="r"/>
              <c:showLegendKey val="0"/>
              <c:showVal val="1"/>
              <c:showCatName val="0"/>
              <c:showSerName val="0"/>
              <c:showPercent val="0"/>
              <c:showBubbleSize val="0"/>
              <c:extLst>
                <c:ext xmlns:c15="http://schemas.microsoft.com/office/drawing/2012/chart" uri="{CE6537A1-D6FC-4f65-9D91-7224C49458BB}"/>
              </c:extLst>
            </c:dLbl>
            <c:dLbl>
              <c:idx val="5"/>
              <c:layout>
                <c:manualLayout>
                  <c:x val="-4.9938829074937068E-2"/>
                  <c:y val="-3.5468656305602239E-2"/>
                </c:manualLayout>
              </c:layout>
              <c:dLblPos val="r"/>
              <c:showLegendKey val="0"/>
              <c:showVal val="1"/>
              <c:showCatName val="0"/>
              <c:showSerName val="0"/>
              <c:showPercent val="0"/>
              <c:showBubbleSize val="0"/>
              <c:extLst>
                <c:ext xmlns:c15="http://schemas.microsoft.com/office/drawing/2012/chart" uri="{CE6537A1-D6FC-4f65-9D91-7224C49458BB}"/>
              </c:extLst>
            </c:dLbl>
            <c:dLbl>
              <c:idx val="9"/>
              <c:layout>
                <c:manualLayout>
                  <c:x val="-5.0784935703700781E-2"/>
                  <c:y val="-8.6888493776987596E-2"/>
                </c:manualLayout>
              </c:layout>
              <c:dLblPos val="r"/>
              <c:showLegendKey val="0"/>
              <c:showVal val="1"/>
              <c:showCatName val="0"/>
              <c:showSerName val="0"/>
              <c:showPercent val="0"/>
              <c:showBubbleSize val="0"/>
              <c:extLst>
                <c:ext xmlns:c15="http://schemas.microsoft.com/office/drawing/2012/chart" uri="{CE6537A1-D6FC-4f65-9D91-7224C49458BB}"/>
              </c:extLst>
            </c:dLbl>
            <c:dLbl>
              <c:idx val="10"/>
              <c:layout>
                <c:manualLayout>
                  <c:x val="-4.5604526305281098E-2"/>
                  <c:y val="-8.4149944966556658E-2"/>
                </c:manualLayout>
              </c:layout>
              <c:dLblPos val="r"/>
              <c:showLegendKey val="0"/>
              <c:showVal val="1"/>
              <c:showCatName val="0"/>
              <c:showSerName val="0"/>
              <c:showPercent val="0"/>
              <c:showBubbleSize val="0"/>
              <c:extLst>
                <c:ext xmlns:c15="http://schemas.microsoft.com/office/drawing/2012/chart" uri="{CE6537A1-D6FC-4f65-9D91-7224C49458BB}"/>
              </c:extLst>
            </c:dLbl>
            <c:spPr>
              <a:noFill/>
              <a:ln>
                <a:noFill/>
              </a:ln>
              <a:effectLst/>
            </c:spPr>
            <c:txPr>
              <a:bodyPr/>
              <a:lstStyle/>
              <a:p>
                <a:pPr>
                  <a:defRPr sz="1000" b="0" i="0" u="none" strike="noStrike" baseline="0">
                    <a:solidFill>
                      <a:srgbClr val="000000"/>
                    </a:solidFill>
                    <a:latin typeface="Calibri"/>
                    <a:ea typeface="Calibri"/>
                    <a:cs typeface="Calibri"/>
                  </a:defRPr>
                </a:pPr>
                <a:endParaRPr lang="en-US"/>
              </a:p>
            </c:txPr>
            <c:dLblPos val="t"/>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'Te ardhurat'!$D$3:$O$3</c:f>
              <c:strCache>
                <c:ptCount val="12"/>
                <c:pt idx="0">
                  <c:v>5M-2005</c:v>
                </c:pt>
                <c:pt idx="1">
                  <c:v>5M-2006</c:v>
                </c:pt>
                <c:pt idx="2">
                  <c:v>5M-2007</c:v>
                </c:pt>
                <c:pt idx="3">
                  <c:v>5M-2008</c:v>
                </c:pt>
                <c:pt idx="4">
                  <c:v>5M-2009</c:v>
                </c:pt>
                <c:pt idx="5">
                  <c:v>5M-2010</c:v>
                </c:pt>
                <c:pt idx="6">
                  <c:v>5M-2011</c:v>
                </c:pt>
                <c:pt idx="7">
                  <c:v>5M-2012</c:v>
                </c:pt>
                <c:pt idx="8">
                  <c:v>5M-2013</c:v>
                </c:pt>
                <c:pt idx="9">
                  <c:v>5M-2014</c:v>
                </c:pt>
                <c:pt idx="10">
                  <c:v>5M-2015</c:v>
                </c:pt>
                <c:pt idx="11">
                  <c:v>5M-2016</c:v>
                </c:pt>
              </c:strCache>
            </c:strRef>
          </c:cat>
          <c:val>
            <c:numRef>
              <c:f>'Te ardhurat'!$D$11:$S$11</c:f>
              <c:numCache>
                <c:formatCode>0%</c:formatCode>
                <c:ptCount val="16"/>
                <c:pt idx="0">
                  <c:v>0.57199999999999995</c:v>
                </c:pt>
                <c:pt idx="1">
                  <c:v>4.2456155138426654E-2</c:v>
                </c:pt>
                <c:pt idx="2">
                  <c:v>0.16821922158660757</c:v>
                </c:pt>
                <c:pt idx="3">
                  <c:v>-5.9333099143943024E-2</c:v>
                </c:pt>
                <c:pt idx="4">
                  <c:v>0.31695750388937149</c:v>
                </c:pt>
                <c:pt idx="5">
                  <c:v>-0.14073475604458419</c:v>
                </c:pt>
                <c:pt idx="6">
                  <c:v>7.1499113285044033E-2</c:v>
                </c:pt>
                <c:pt idx="7">
                  <c:v>-9.3680089485458612E-2</c:v>
                </c:pt>
                <c:pt idx="8">
                  <c:v>-0.19191607528540575</c:v>
                </c:pt>
                <c:pt idx="9">
                  <c:v>0.10920198549064529</c:v>
                </c:pt>
                <c:pt idx="10">
                  <c:v>1.6179001721170396E-2</c:v>
                </c:pt>
                <c:pt idx="11">
                  <c:v>0.3377371273712737</c:v>
                </c:pt>
                <c:pt idx="12">
                  <c:v>0.66776399088376803</c:v>
                </c:pt>
                <c:pt idx="13">
                  <c:v>-3.4265107804433662E-2</c:v>
                </c:pt>
                <c:pt idx="14">
                  <c:v>0.32084341535737926</c:v>
                </c:pt>
                <c:pt idx="15">
                  <c:v>-0.37150339245327935</c:v>
                </c:pt>
              </c:numCache>
            </c:numRef>
          </c:val>
          <c:smooth val="1"/>
        </c:ser>
        <c:dLbls>
          <c:showLegendKey val="0"/>
          <c:showVal val="0"/>
          <c:showCatName val="0"/>
          <c:showSerName val="0"/>
          <c:showPercent val="0"/>
          <c:showBubbleSize val="0"/>
        </c:dLbls>
        <c:marker val="1"/>
        <c:smooth val="0"/>
        <c:axId val="-1753320848"/>
        <c:axId val="-1753317040"/>
      </c:lineChart>
      <c:catAx>
        <c:axId val="-1753194656"/>
        <c:scaling>
          <c:orientation val="minMax"/>
        </c:scaling>
        <c:delete val="0"/>
        <c:axPos val="b"/>
        <c:numFmt formatCode="General" sourceLinked="1"/>
        <c:majorTickMark val="cross"/>
        <c:minorTickMark val="none"/>
        <c:tickLblPos val="nextTo"/>
        <c:txPr>
          <a:bodyPr rot="-2700000" vert="horz"/>
          <a:lstStyle/>
          <a:p>
            <a:pPr>
              <a:defRPr sz="800" b="0" i="0" u="none" strike="noStrike" baseline="0">
                <a:solidFill>
                  <a:sysClr val="windowText" lastClr="000000"/>
                </a:solidFill>
                <a:latin typeface="Calibri"/>
                <a:ea typeface="Calibri"/>
                <a:cs typeface="Calibri"/>
              </a:defRPr>
            </a:pPr>
            <a:endParaRPr lang="en-US"/>
          </a:p>
        </c:txPr>
        <c:crossAx val="-1753314320"/>
        <c:crosses val="autoZero"/>
        <c:auto val="0"/>
        <c:lblAlgn val="ctr"/>
        <c:lblOffset val="100"/>
        <c:tickLblSkip val="1"/>
        <c:tickMarkSkip val="1"/>
        <c:noMultiLvlLbl val="0"/>
      </c:catAx>
      <c:valAx>
        <c:axId val="-1753314320"/>
        <c:scaling>
          <c:orientation val="minMax"/>
        </c:scaling>
        <c:delete val="0"/>
        <c:axPos val="l"/>
        <c:title>
          <c:tx>
            <c:rich>
              <a:bodyPr/>
              <a:lstStyle/>
              <a:p>
                <a:pPr>
                  <a:defRPr sz="900" b="1" i="0" u="none" strike="noStrike" baseline="0">
                    <a:solidFill>
                      <a:srgbClr val="000000"/>
                    </a:solidFill>
                    <a:latin typeface="Calibri"/>
                    <a:ea typeface="Calibri"/>
                    <a:cs typeface="Calibri"/>
                  </a:defRPr>
                </a:pPr>
                <a:r>
                  <a:rPr lang="sq-AL" sz="900" b="1"/>
                  <a:t>Në miliardë</a:t>
                </a:r>
              </a:p>
            </c:rich>
          </c:tx>
          <c:layout>
            <c:manualLayout>
              <c:xMode val="edge"/>
              <c:yMode val="edge"/>
              <c:x val="1.8665238305437834E-3"/>
              <c:y val="1.175755204512479E-2"/>
            </c:manualLayout>
          </c:layout>
          <c:overlay val="0"/>
        </c:title>
        <c:numFmt formatCode="#,##0.0" sourceLinked="0"/>
        <c:majorTickMark val="cross"/>
        <c:minorTickMark val="none"/>
        <c:tickLblPos val="nextTo"/>
        <c:txPr>
          <a:bodyPr rot="0" vert="horz"/>
          <a:lstStyle/>
          <a:p>
            <a:pPr>
              <a:defRPr sz="1000" b="0" i="0" u="none" strike="noStrike" baseline="0">
                <a:solidFill>
                  <a:srgbClr val="000000"/>
                </a:solidFill>
                <a:latin typeface="Calibri"/>
                <a:ea typeface="Calibri"/>
                <a:cs typeface="Calibri"/>
              </a:defRPr>
            </a:pPr>
            <a:endParaRPr lang="en-US"/>
          </a:p>
        </c:txPr>
        <c:crossAx val="-1753194656"/>
        <c:crosses val="autoZero"/>
        <c:crossBetween val="between"/>
        <c:dispUnits>
          <c:builtInUnit val="thousands"/>
        </c:dispUnits>
      </c:valAx>
      <c:catAx>
        <c:axId val="-1753320848"/>
        <c:scaling>
          <c:orientation val="minMax"/>
        </c:scaling>
        <c:delete val="1"/>
        <c:axPos val="b"/>
        <c:numFmt formatCode="General" sourceLinked="1"/>
        <c:majorTickMark val="out"/>
        <c:minorTickMark val="none"/>
        <c:tickLblPos val="nextTo"/>
        <c:crossAx val="-1753317040"/>
        <c:crosses val="autoZero"/>
        <c:auto val="0"/>
        <c:lblAlgn val="ctr"/>
        <c:lblOffset val="100"/>
        <c:noMultiLvlLbl val="0"/>
      </c:catAx>
      <c:valAx>
        <c:axId val="-1753317040"/>
        <c:scaling>
          <c:orientation val="minMax"/>
        </c:scaling>
        <c:delete val="0"/>
        <c:axPos val="r"/>
        <c:numFmt formatCode="0%" sourceLinked="0"/>
        <c:majorTickMark val="cross"/>
        <c:minorTickMark val="none"/>
        <c:tickLblPos val="nextTo"/>
        <c:txPr>
          <a:bodyPr rot="0" vert="horz"/>
          <a:lstStyle/>
          <a:p>
            <a:pPr>
              <a:defRPr sz="900" b="0" i="0" u="none" strike="noStrike" baseline="0">
                <a:solidFill>
                  <a:srgbClr val="000000"/>
                </a:solidFill>
                <a:latin typeface="Calibri"/>
                <a:ea typeface="Calibri"/>
                <a:cs typeface="Calibri"/>
              </a:defRPr>
            </a:pPr>
            <a:endParaRPr lang="en-US"/>
          </a:p>
        </c:txPr>
        <c:crossAx val="-1753320848"/>
        <c:crosses val="max"/>
        <c:crossBetween val="between"/>
      </c:valAx>
      <c:spPr>
        <a:solidFill>
          <a:sysClr val="window" lastClr="FFFFFF"/>
        </a:solidFill>
      </c:spPr>
    </c:plotArea>
    <c:legend>
      <c:legendPos val="b"/>
      <c:layout>
        <c:manualLayout>
          <c:xMode val="edge"/>
          <c:yMode val="edge"/>
          <c:x val="0.21576518536491149"/>
          <c:y val="0.90868401035216628"/>
          <c:w val="0.54032888746049612"/>
          <c:h val="9.0301689816862818E-2"/>
        </c:manualLayout>
      </c:layout>
      <c:overlay val="0"/>
      <c:txPr>
        <a:bodyPr/>
        <a:lstStyle/>
        <a:p>
          <a:pPr>
            <a:defRPr sz="920" b="1" i="0" u="none" strike="noStrike" baseline="0">
              <a:solidFill>
                <a:srgbClr val="000000"/>
              </a:solidFill>
              <a:latin typeface="Calibri"/>
              <a:ea typeface="Calibri"/>
              <a:cs typeface="Calibri"/>
            </a:defRPr>
          </a:pPr>
          <a:endParaRPr lang="en-US"/>
        </a:p>
      </c:txPr>
    </c:legend>
    <c:plotVisOnly val="1"/>
    <c:dispBlanksAs val="gap"/>
    <c:showDLblsOverMax val="0"/>
  </c:chart>
  <c:txPr>
    <a:bodyPr/>
    <a:lstStyle/>
    <a:p>
      <a:pPr>
        <a:defRPr sz="1000" b="0" i="0" u="none" strike="noStrike" baseline="0">
          <a:solidFill>
            <a:srgbClr val="000000"/>
          </a:solidFill>
          <a:latin typeface="Calibri"/>
          <a:ea typeface="Calibri"/>
          <a:cs typeface="Calibri"/>
        </a:defRPr>
      </a:pPr>
      <a:endParaRPr lang="en-US"/>
    </a:p>
  </c:txPr>
  <c:externalData r:id="rId2">
    <c:autoUpdate val="0"/>
  </c:externalData>
</c:chartSpace>
</file>

<file path=word/charts/chart18.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40"/>
    </mc:Choice>
    <mc:Fallback>
      <c:style val="40"/>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9.230185413617005E-2"/>
          <c:y val="2.7156011799801913E-2"/>
          <c:w val="0.83872888645400601"/>
          <c:h val="0.6061230982490825"/>
        </c:manualLayout>
      </c:layout>
      <c:barChart>
        <c:barDir val="col"/>
        <c:grouping val="clustered"/>
        <c:varyColors val="0"/>
        <c:ser>
          <c:idx val="1"/>
          <c:order val="0"/>
          <c:tx>
            <c:strRef>
              <c:f>Shpenzimet!$B$5</c:f>
              <c:strCache>
                <c:ptCount val="1"/>
                <c:pt idx="0">
                  <c:v>Buxheti lokal </c:v>
                </c:pt>
              </c:strCache>
            </c:strRef>
          </c:tx>
          <c:spPr>
            <a:solidFill>
              <a:srgbClr val="00B0F0"/>
            </a:solidFill>
            <a:ln>
              <a:solidFill>
                <a:schemeClr val="bg1">
                  <a:lumMod val="65000"/>
                </a:schemeClr>
              </a:solidFill>
            </a:ln>
          </c:spPr>
          <c:invertIfNegative val="0"/>
          <c:dLbls>
            <c:numFmt formatCode="#,##0.0" sourceLinked="0"/>
            <c:spPr>
              <a:noFill/>
              <a:ln>
                <a:noFill/>
              </a:ln>
              <a:effectLst/>
            </c:spPr>
            <c:txPr>
              <a:bodyPr/>
              <a:lstStyle/>
              <a:p>
                <a:pPr>
                  <a:defRPr sz="1000" b="0" i="0" u="none" strike="noStrike" baseline="0">
                    <a:solidFill>
                      <a:srgbClr val="000000"/>
                    </a:solidFill>
                    <a:latin typeface="Calibri"/>
                    <a:ea typeface="Calibri"/>
                    <a:cs typeface="Calibri"/>
                  </a:defRPr>
                </a:pPr>
                <a:endParaRPr lang="en-US"/>
              </a:p>
            </c:txPr>
            <c:dLblPos val="inBase"/>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Shpenzimet!$D$4:$S$4</c:f>
              <c:strCache>
                <c:ptCount val="16"/>
                <c:pt idx="0">
                  <c:v>5M-2005</c:v>
                </c:pt>
                <c:pt idx="1">
                  <c:v>5M-2006</c:v>
                </c:pt>
                <c:pt idx="2">
                  <c:v>5M-2007</c:v>
                </c:pt>
                <c:pt idx="3">
                  <c:v>5M-2008</c:v>
                </c:pt>
                <c:pt idx="4">
                  <c:v>5M-2009</c:v>
                </c:pt>
                <c:pt idx="5">
                  <c:v>5M-2010</c:v>
                </c:pt>
                <c:pt idx="6">
                  <c:v>5M-2011</c:v>
                </c:pt>
                <c:pt idx="7">
                  <c:v>5M-2012</c:v>
                </c:pt>
                <c:pt idx="8">
                  <c:v>5M-2013</c:v>
                </c:pt>
                <c:pt idx="9">
                  <c:v>5M-2014</c:v>
                </c:pt>
                <c:pt idx="10">
                  <c:v>5M-2015</c:v>
                </c:pt>
                <c:pt idx="11">
                  <c:v>5M-2016</c:v>
                </c:pt>
                <c:pt idx="12">
                  <c:v>5M-2017</c:v>
                </c:pt>
                <c:pt idx="13">
                  <c:v>5M-2018</c:v>
                </c:pt>
                <c:pt idx="14">
                  <c:v>5M-2019</c:v>
                </c:pt>
                <c:pt idx="15">
                  <c:v>5M-2020</c:v>
                </c:pt>
              </c:strCache>
            </c:strRef>
          </c:cat>
          <c:val>
            <c:numRef>
              <c:f>Shpenzimet!$D$5:$S$5</c:f>
              <c:numCache>
                <c:formatCode>#,##0</c:formatCode>
                <c:ptCount val="16"/>
                <c:pt idx="0">
                  <c:v>6435.933</c:v>
                </c:pt>
                <c:pt idx="1">
                  <c:v>5360.7579999999998</c:v>
                </c:pt>
                <c:pt idx="2">
                  <c:v>6252.7970400000022</c:v>
                </c:pt>
                <c:pt idx="3">
                  <c:v>8221.728439999999</c:v>
                </c:pt>
                <c:pt idx="4">
                  <c:v>11402.47322</c:v>
                </c:pt>
                <c:pt idx="5">
                  <c:v>10959.422039000001</c:v>
                </c:pt>
                <c:pt idx="6">
                  <c:v>12302</c:v>
                </c:pt>
                <c:pt idx="7">
                  <c:v>10948</c:v>
                </c:pt>
                <c:pt idx="8">
                  <c:v>12437</c:v>
                </c:pt>
                <c:pt idx="9">
                  <c:v>9927</c:v>
                </c:pt>
                <c:pt idx="10">
                  <c:v>12467</c:v>
                </c:pt>
                <c:pt idx="11">
                  <c:v>11761</c:v>
                </c:pt>
                <c:pt idx="12">
                  <c:v>18816</c:v>
                </c:pt>
                <c:pt idx="13">
                  <c:v>21813.61</c:v>
                </c:pt>
                <c:pt idx="14">
                  <c:v>23652</c:v>
                </c:pt>
                <c:pt idx="15">
                  <c:v>17202</c:v>
                </c:pt>
              </c:numCache>
            </c:numRef>
          </c:val>
        </c:ser>
        <c:dLbls>
          <c:showLegendKey val="0"/>
          <c:showVal val="0"/>
          <c:showCatName val="0"/>
          <c:showSerName val="0"/>
          <c:showPercent val="0"/>
          <c:showBubbleSize val="0"/>
        </c:dLbls>
        <c:gapWidth val="40"/>
        <c:axId val="-1753200096"/>
        <c:axId val="-1753199552"/>
      </c:barChart>
      <c:lineChart>
        <c:grouping val="standard"/>
        <c:varyColors val="0"/>
        <c:ser>
          <c:idx val="0"/>
          <c:order val="1"/>
          <c:tx>
            <c:strRef>
              <c:f>Shpenzimet!$B$6</c:f>
              <c:strCache>
                <c:ptCount val="1"/>
                <c:pt idx="0">
                  <c:v>Ritmi i rritjes</c:v>
                </c:pt>
              </c:strCache>
            </c:strRef>
          </c:tx>
          <c:marker>
            <c:symbol val="none"/>
          </c:marker>
          <c:dLbls>
            <c:dLbl>
              <c:idx val="1"/>
              <c:layout>
                <c:manualLayout>
                  <c:x val="-7.794355366438345E-2"/>
                  <c:y val="-7.2498941664549996E-2"/>
                </c:manualLayout>
              </c:layout>
              <c:dLblPos val="r"/>
              <c:showLegendKey val="0"/>
              <c:showVal val="1"/>
              <c:showCatName val="0"/>
              <c:showSerName val="0"/>
              <c:showPercent val="0"/>
              <c:showBubbleSize val="0"/>
              <c:extLst>
                <c:ext xmlns:c15="http://schemas.microsoft.com/office/drawing/2012/chart" uri="{CE6537A1-D6FC-4f65-9D91-7224C49458BB}"/>
              </c:extLst>
            </c:dLbl>
            <c:dLbl>
              <c:idx val="5"/>
              <c:layout>
                <c:manualLayout>
                  <c:x val="-4.9938829074937068E-2"/>
                  <c:y val="-3.5468656305602239E-2"/>
                </c:manualLayout>
              </c:layout>
              <c:dLblPos val="r"/>
              <c:showLegendKey val="0"/>
              <c:showVal val="1"/>
              <c:showCatName val="0"/>
              <c:showSerName val="0"/>
              <c:showPercent val="0"/>
              <c:showBubbleSize val="0"/>
              <c:extLst>
                <c:ext xmlns:c15="http://schemas.microsoft.com/office/drawing/2012/chart" uri="{CE6537A1-D6FC-4f65-9D91-7224C49458BB}"/>
              </c:extLst>
            </c:dLbl>
            <c:dLbl>
              <c:idx val="9"/>
              <c:layout>
                <c:manualLayout>
                  <c:x val="-5.0784935703700781E-2"/>
                  <c:y val="-8.6888493776987596E-2"/>
                </c:manualLayout>
              </c:layout>
              <c:dLblPos val="r"/>
              <c:showLegendKey val="0"/>
              <c:showVal val="1"/>
              <c:showCatName val="0"/>
              <c:showSerName val="0"/>
              <c:showPercent val="0"/>
              <c:showBubbleSize val="0"/>
              <c:extLst>
                <c:ext xmlns:c15="http://schemas.microsoft.com/office/drawing/2012/chart" uri="{CE6537A1-D6FC-4f65-9D91-7224C49458BB}"/>
              </c:extLst>
            </c:dLbl>
            <c:dLbl>
              <c:idx val="10"/>
              <c:layout>
                <c:manualLayout>
                  <c:x val="-4.5604526305281098E-2"/>
                  <c:y val="-8.4149944966556658E-2"/>
                </c:manualLayout>
              </c:layout>
              <c:dLblPos val="r"/>
              <c:showLegendKey val="0"/>
              <c:showVal val="1"/>
              <c:showCatName val="0"/>
              <c:showSerName val="0"/>
              <c:showPercent val="0"/>
              <c:showBubbleSize val="0"/>
              <c:extLst>
                <c:ext xmlns:c15="http://schemas.microsoft.com/office/drawing/2012/chart" uri="{CE6537A1-D6FC-4f65-9D91-7224C49458BB}"/>
              </c:extLst>
            </c:dLbl>
            <c:spPr>
              <a:noFill/>
              <a:ln>
                <a:noFill/>
              </a:ln>
              <a:effectLst/>
            </c:spPr>
            <c:txPr>
              <a:bodyPr/>
              <a:lstStyle/>
              <a:p>
                <a:pPr>
                  <a:defRPr sz="1000" b="0" i="0" u="none" strike="noStrike" baseline="0">
                    <a:solidFill>
                      <a:srgbClr val="000000"/>
                    </a:solidFill>
                    <a:latin typeface="Calibri"/>
                    <a:ea typeface="Calibri"/>
                    <a:cs typeface="Calibri"/>
                  </a:defRPr>
                </a:pPr>
                <a:endParaRPr lang="en-US"/>
              </a:p>
            </c:txPr>
            <c:dLblPos val="t"/>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Shpenzimet!$D$4:$O$4</c:f>
              <c:strCache>
                <c:ptCount val="12"/>
                <c:pt idx="0">
                  <c:v>5M-2005</c:v>
                </c:pt>
                <c:pt idx="1">
                  <c:v>5M-2006</c:v>
                </c:pt>
                <c:pt idx="2">
                  <c:v>5M-2007</c:v>
                </c:pt>
                <c:pt idx="3">
                  <c:v>5M-2008</c:v>
                </c:pt>
                <c:pt idx="4">
                  <c:v>5M-2009</c:v>
                </c:pt>
                <c:pt idx="5">
                  <c:v>5M-2010</c:v>
                </c:pt>
                <c:pt idx="6">
                  <c:v>5M-2011</c:v>
                </c:pt>
                <c:pt idx="7">
                  <c:v>5M-2012</c:v>
                </c:pt>
                <c:pt idx="8">
                  <c:v>5M-2013</c:v>
                </c:pt>
                <c:pt idx="9">
                  <c:v>5M-2014</c:v>
                </c:pt>
                <c:pt idx="10">
                  <c:v>5M-2015</c:v>
                </c:pt>
                <c:pt idx="11">
                  <c:v>5M-2016</c:v>
                </c:pt>
              </c:strCache>
            </c:strRef>
          </c:cat>
          <c:val>
            <c:numRef>
              <c:f>Shpenzimet!$D$6:$S$6</c:f>
              <c:numCache>
                <c:formatCode>0%</c:formatCode>
                <c:ptCount val="16"/>
                <c:pt idx="0">
                  <c:v>0.24</c:v>
                </c:pt>
                <c:pt idx="1">
                  <c:v>-0.16705814059903984</c:v>
                </c:pt>
                <c:pt idx="2">
                  <c:v>0.1664016618545367</c:v>
                </c:pt>
                <c:pt idx="3">
                  <c:v>0.31488810326074423</c:v>
                </c:pt>
                <c:pt idx="4">
                  <c:v>0.38687057146343806</c:v>
                </c:pt>
                <c:pt idx="5">
                  <c:v>-3.8855708972232859E-2</c:v>
                </c:pt>
                <c:pt idx="6">
                  <c:v>0.1225044492512767</c:v>
                </c:pt>
                <c:pt idx="7">
                  <c:v>-0.11006340432450008</c:v>
                </c:pt>
                <c:pt idx="8">
                  <c:v>0.13600657654366094</c:v>
                </c:pt>
                <c:pt idx="9">
                  <c:v>-0.2018171584787328</c:v>
                </c:pt>
                <c:pt idx="10">
                  <c:v>0.25586783519693762</c:v>
                </c:pt>
                <c:pt idx="11">
                  <c:v>-5.6629501884976341E-2</c:v>
                </c:pt>
                <c:pt idx="12">
                  <c:v>0.5998639571465012</c:v>
                </c:pt>
                <c:pt idx="13">
                  <c:v>0.15931175595238098</c:v>
                </c:pt>
                <c:pt idx="14">
                  <c:v>8.4277201251878958E-2</c:v>
                </c:pt>
                <c:pt idx="15">
                  <c:v>-0.27270421106037546</c:v>
                </c:pt>
              </c:numCache>
            </c:numRef>
          </c:val>
          <c:smooth val="1"/>
        </c:ser>
        <c:dLbls>
          <c:showLegendKey val="0"/>
          <c:showVal val="0"/>
          <c:showCatName val="0"/>
          <c:showSerName val="0"/>
          <c:showPercent val="0"/>
          <c:showBubbleSize val="0"/>
        </c:dLbls>
        <c:marker val="1"/>
        <c:smooth val="0"/>
        <c:axId val="-1753199008"/>
        <c:axId val="-1753189216"/>
      </c:lineChart>
      <c:catAx>
        <c:axId val="-1753200096"/>
        <c:scaling>
          <c:orientation val="minMax"/>
        </c:scaling>
        <c:delete val="0"/>
        <c:axPos val="b"/>
        <c:numFmt formatCode="General" sourceLinked="1"/>
        <c:majorTickMark val="cross"/>
        <c:minorTickMark val="none"/>
        <c:tickLblPos val="nextTo"/>
        <c:txPr>
          <a:bodyPr rot="-2700000" vert="horz"/>
          <a:lstStyle/>
          <a:p>
            <a:pPr>
              <a:defRPr sz="800" b="1" i="0" u="none" strike="noStrike" baseline="0">
                <a:solidFill>
                  <a:srgbClr val="000000"/>
                </a:solidFill>
                <a:latin typeface="Calibri"/>
                <a:ea typeface="Calibri"/>
                <a:cs typeface="Calibri"/>
              </a:defRPr>
            </a:pPr>
            <a:endParaRPr lang="en-US"/>
          </a:p>
        </c:txPr>
        <c:crossAx val="-1753199552"/>
        <c:crosses val="autoZero"/>
        <c:auto val="0"/>
        <c:lblAlgn val="ctr"/>
        <c:lblOffset val="100"/>
        <c:tickLblSkip val="1"/>
        <c:tickMarkSkip val="1"/>
        <c:noMultiLvlLbl val="0"/>
      </c:catAx>
      <c:valAx>
        <c:axId val="-1753199552"/>
        <c:scaling>
          <c:orientation val="minMax"/>
        </c:scaling>
        <c:delete val="0"/>
        <c:axPos val="l"/>
        <c:title>
          <c:tx>
            <c:rich>
              <a:bodyPr/>
              <a:lstStyle/>
              <a:p>
                <a:pPr>
                  <a:defRPr sz="900" b="1" i="0" u="none" strike="noStrike" baseline="0">
                    <a:solidFill>
                      <a:srgbClr val="000000"/>
                    </a:solidFill>
                    <a:latin typeface="Calibri"/>
                    <a:ea typeface="Calibri"/>
                    <a:cs typeface="Calibri"/>
                  </a:defRPr>
                </a:pPr>
                <a:r>
                  <a:rPr lang="sq-AL" sz="900" b="1"/>
                  <a:t>Në miliardë</a:t>
                </a:r>
              </a:p>
            </c:rich>
          </c:tx>
          <c:layout>
            <c:manualLayout>
              <c:xMode val="edge"/>
              <c:yMode val="edge"/>
              <c:x val="2.7269719515383105E-4"/>
              <c:y val="5.0643145636942395E-2"/>
            </c:manualLayout>
          </c:layout>
          <c:overlay val="0"/>
        </c:title>
        <c:numFmt formatCode="#,##0.0" sourceLinked="0"/>
        <c:majorTickMark val="cross"/>
        <c:minorTickMark val="none"/>
        <c:tickLblPos val="nextTo"/>
        <c:txPr>
          <a:bodyPr rot="0" vert="horz"/>
          <a:lstStyle/>
          <a:p>
            <a:pPr>
              <a:defRPr sz="900" b="1" i="0" u="none" strike="noStrike" baseline="0">
                <a:solidFill>
                  <a:srgbClr val="000000"/>
                </a:solidFill>
                <a:latin typeface="Calibri"/>
                <a:ea typeface="Calibri"/>
                <a:cs typeface="Calibri"/>
              </a:defRPr>
            </a:pPr>
            <a:endParaRPr lang="en-US"/>
          </a:p>
        </c:txPr>
        <c:crossAx val="-1753200096"/>
        <c:crosses val="autoZero"/>
        <c:crossBetween val="between"/>
        <c:dispUnits>
          <c:builtInUnit val="thousands"/>
        </c:dispUnits>
      </c:valAx>
      <c:catAx>
        <c:axId val="-1753199008"/>
        <c:scaling>
          <c:orientation val="minMax"/>
        </c:scaling>
        <c:delete val="1"/>
        <c:axPos val="b"/>
        <c:numFmt formatCode="General" sourceLinked="1"/>
        <c:majorTickMark val="out"/>
        <c:minorTickMark val="none"/>
        <c:tickLblPos val="nextTo"/>
        <c:crossAx val="-1753189216"/>
        <c:crosses val="autoZero"/>
        <c:auto val="0"/>
        <c:lblAlgn val="ctr"/>
        <c:lblOffset val="100"/>
        <c:noMultiLvlLbl val="0"/>
      </c:catAx>
      <c:valAx>
        <c:axId val="-1753189216"/>
        <c:scaling>
          <c:orientation val="minMax"/>
        </c:scaling>
        <c:delete val="0"/>
        <c:axPos val="r"/>
        <c:numFmt formatCode="0%" sourceLinked="0"/>
        <c:majorTickMark val="cross"/>
        <c:minorTickMark val="none"/>
        <c:tickLblPos val="nextTo"/>
        <c:txPr>
          <a:bodyPr rot="0" vert="horz"/>
          <a:lstStyle/>
          <a:p>
            <a:pPr>
              <a:defRPr sz="900" b="0" i="0" u="none" strike="noStrike" baseline="0">
                <a:solidFill>
                  <a:srgbClr val="000000"/>
                </a:solidFill>
                <a:latin typeface="Calibri"/>
                <a:ea typeface="Calibri"/>
                <a:cs typeface="Calibri"/>
              </a:defRPr>
            </a:pPr>
            <a:endParaRPr lang="en-US"/>
          </a:p>
        </c:txPr>
        <c:crossAx val="-1753199008"/>
        <c:crosses val="max"/>
        <c:crossBetween val="between"/>
      </c:valAx>
      <c:spPr>
        <a:solidFill>
          <a:sysClr val="window" lastClr="FFFFFF"/>
        </a:solidFill>
      </c:spPr>
    </c:plotArea>
    <c:legend>
      <c:legendPos val="b"/>
      <c:layout>
        <c:manualLayout>
          <c:xMode val="edge"/>
          <c:yMode val="edge"/>
          <c:x val="0.1852472910159973"/>
          <c:y val="0.90908113446894179"/>
          <c:w val="0.61611846940185111"/>
          <c:h val="9.0301689816862818E-2"/>
        </c:manualLayout>
      </c:layout>
      <c:overlay val="0"/>
      <c:txPr>
        <a:bodyPr/>
        <a:lstStyle/>
        <a:p>
          <a:pPr>
            <a:defRPr sz="920" b="1" i="0" u="none" strike="noStrike" baseline="0">
              <a:solidFill>
                <a:srgbClr val="000000"/>
              </a:solidFill>
              <a:latin typeface="Calibri"/>
              <a:ea typeface="Calibri"/>
              <a:cs typeface="Calibri"/>
            </a:defRPr>
          </a:pPr>
          <a:endParaRPr lang="en-US"/>
        </a:p>
      </c:txPr>
    </c:legend>
    <c:plotVisOnly val="1"/>
    <c:dispBlanksAs val="gap"/>
    <c:showDLblsOverMax val="0"/>
  </c:chart>
  <c:txPr>
    <a:bodyPr/>
    <a:lstStyle/>
    <a:p>
      <a:pPr>
        <a:defRPr sz="1000" b="0" i="0" u="none" strike="noStrike" baseline="0">
          <a:solidFill>
            <a:srgbClr val="000000"/>
          </a:solidFill>
          <a:latin typeface="Calibri"/>
          <a:ea typeface="Calibri"/>
          <a:cs typeface="Calibri"/>
        </a:defRPr>
      </a:pPr>
      <a:endParaRPr lang="en-US"/>
    </a:p>
  </c:txPr>
  <c:externalData r:id="rId2">
    <c:autoUpdate val="0"/>
  </c:externalData>
</c:chartSpace>
</file>

<file path=word/charts/chart19.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11336200170802217"/>
          <c:y val="2.5435755189692197E-2"/>
          <c:w val="0.84864859876747245"/>
          <c:h val="0.6673953827954604"/>
        </c:manualLayout>
      </c:layout>
      <c:barChart>
        <c:barDir val="col"/>
        <c:grouping val="clustered"/>
        <c:varyColors val="0"/>
        <c:ser>
          <c:idx val="0"/>
          <c:order val="0"/>
          <c:tx>
            <c:strRef>
              <c:f>Shpenzimet!$C$26</c:f>
              <c:strCache>
                <c:ptCount val="1"/>
                <c:pt idx="0">
                  <c:v> 5 mujori 2020</c:v>
                </c:pt>
              </c:strCache>
            </c:strRef>
          </c:tx>
          <c:spPr>
            <a:solidFill>
              <a:schemeClr val="bg2">
                <a:lumMod val="90000"/>
              </a:schemeClr>
            </a:solidFill>
          </c:spPr>
          <c:invertIfNegative val="0"/>
          <c:dLbls>
            <c:spPr>
              <a:noFill/>
              <a:ln>
                <a:noFill/>
              </a:ln>
              <a:effectLst/>
            </c:spPr>
            <c:txPr>
              <a:bodyPr/>
              <a:lstStyle/>
              <a:p>
                <a:pPr>
                  <a:defRPr sz="900" b="1"/>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Shpenzimet!$D$25:$I$25</c:f>
              <c:strCache>
                <c:ptCount val="6"/>
                <c:pt idx="0">
                  <c:v>Paga</c:v>
                </c:pt>
                <c:pt idx="1">
                  <c:v>Sigurime</c:v>
                </c:pt>
                <c:pt idx="2">
                  <c:v>Operative</c:v>
                </c:pt>
                <c:pt idx="3">
                  <c:v>Subvencione</c:v>
                </c:pt>
                <c:pt idx="4">
                  <c:v>Te tjera</c:v>
                </c:pt>
                <c:pt idx="5">
                  <c:v>Shpenzime Kapitale</c:v>
                </c:pt>
              </c:strCache>
            </c:strRef>
          </c:cat>
          <c:val>
            <c:numRef>
              <c:f>Shpenzimet!$D$26:$I$26</c:f>
              <c:numCache>
                <c:formatCode>#,##0</c:formatCode>
                <c:ptCount val="6"/>
                <c:pt idx="0">
                  <c:v>7922</c:v>
                </c:pt>
                <c:pt idx="1">
                  <c:v>1317</c:v>
                </c:pt>
                <c:pt idx="2">
                  <c:v>4464</c:v>
                </c:pt>
                <c:pt idx="3">
                  <c:v>57</c:v>
                </c:pt>
                <c:pt idx="4">
                  <c:v>398</c:v>
                </c:pt>
                <c:pt idx="5">
                  <c:v>3044</c:v>
                </c:pt>
              </c:numCache>
            </c:numRef>
          </c:val>
        </c:ser>
        <c:ser>
          <c:idx val="1"/>
          <c:order val="1"/>
          <c:tx>
            <c:strRef>
              <c:f>Shpenzimet!$C$27</c:f>
              <c:strCache>
                <c:ptCount val="1"/>
                <c:pt idx="0">
                  <c:v> 5 mujori 2019</c:v>
                </c:pt>
              </c:strCache>
            </c:strRef>
          </c:tx>
          <c:spPr>
            <a:solidFill>
              <a:schemeClr val="tx2">
                <a:lumMod val="60000"/>
                <a:lumOff val="40000"/>
              </a:schemeClr>
            </a:solidFill>
          </c:spPr>
          <c:invertIfNegative val="0"/>
          <c:dLbls>
            <c:spPr>
              <a:noFill/>
              <a:ln>
                <a:noFill/>
              </a:ln>
              <a:effectLst/>
            </c:spPr>
            <c:txPr>
              <a:bodyPr/>
              <a:lstStyle/>
              <a:p>
                <a:pPr>
                  <a:defRPr sz="900" b="1"/>
                </a:pPr>
                <a:endParaRPr lang="en-US"/>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Shpenzimet!$D$25:$I$25</c:f>
              <c:strCache>
                <c:ptCount val="6"/>
                <c:pt idx="0">
                  <c:v>Paga</c:v>
                </c:pt>
                <c:pt idx="1">
                  <c:v>Sigurime</c:v>
                </c:pt>
                <c:pt idx="2">
                  <c:v>Operative</c:v>
                </c:pt>
                <c:pt idx="3">
                  <c:v>Subvencione</c:v>
                </c:pt>
                <c:pt idx="4">
                  <c:v>Te tjera</c:v>
                </c:pt>
                <c:pt idx="5">
                  <c:v>Shpenzime Kapitale</c:v>
                </c:pt>
              </c:strCache>
            </c:strRef>
          </c:cat>
          <c:val>
            <c:numRef>
              <c:f>Shpenzimet!$D$27:$I$27</c:f>
              <c:numCache>
                <c:formatCode>#,##0</c:formatCode>
                <c:ptCount val="6"/>
                <c:pt idx="0">
                  <c:v>7637</c:v>
                </c:pt>
                <c:pt idx="1">
                  <c:v>1295</c:v>
                </c:pt>
                <c:pt idx="2">
                  <c:v>6327</c:v>
                </c:pt>
                <c:pt idx="3">
                  <c:v>61</c:v>
                </c:pt>
                <c:pt idx="4">
                  <c:v>508</c:v>
                </c:pt>
                <c:pt idx="5">
                  <c:v>7824</c:v>
                </c:pt>
              </c:numCache>
            </c:numRef>
          </c:val>
        </c:ser>
        <c:dLbls>
          <c:showLegendKey val="0"/>
          <c:showVal val="0"/>
          <c:showCatName val="0"/>
          <c:showSerName val="0"/>
          <c:showPercent val="0"/>
          <c:showBubbleSize val="0"/>
        </c:dLbls>
        <c:gapWidth val="48"/>
        <c:overlap val="-3"/>
        <c:axId val="-1753196832"/>
        <c:axId val="-1753188672"/>
      </c:barChart>
      <c:catAx>
        <c:axId val="-1753196832"/>
        <c:scaling>
          <c:orientation val="minMax"/>
        </c:scaling>
        <c:delete val="0"/>
        <c:axPos val="b"/>
        <c:numFmt formatCode="General" sourceLinked="0"/>
        <c:majorTickMark val="none"/>
        <c:minorTickMark val="none"/>
        <c:tickLblPos val="nextTo"/>
        <c:txPr>
          <a:bodyPr/>
          <a:lstStyle/>
          <a:p>
            <a:pPr>
              <a:defRPr sz="900" b="1"/>
            </a:pPr>
            <a:endParaRPr lang="en-US"/>
          </a:p>
        </c:txPr>
        <c:crossAx val="-1753188672"/>
        <c:crosses val="autoZero"/>
        <c:auto val="1"/>
        <c:lblAlgn val="ctr"/>
        <c:lblOffset val="100"/>
        <c:noMultiLvlLbl val="0"/>
      </c:catAx>
      <c:valAx>
        <c:axId val="-1753188672"/>
        <c:scaling>
          <c:orientation val="minMax"/>
        </c:scaling>
        <c:delete val="0"/>
        <c:axPos val="l"/>
        <c:majorGridlines>
          <c:spPr>
            <a:ln>
              <a:noFill/>
            </a:ln>
          </c:spPr>
        </c:majorGridlines>
        <c:title>
          <c:tx>
            <c:rich>
              <a:bodyPr rot="-5400000" vert="horz"/>
              <a:lstStyle/>
              <a:p>
                <a:pPr>
                  <a:defRPr sz="900" b="1"/>
                </a:pPr>
                <a:r>
                  <a:rPr lang="sq-AL" sz="900" b="1"/>
                  <a:t>Në milion leke</a:t>
                </a:r>
              </a:p>
            </c:rich>
          </c:tx>
          <c:layout>
            <c:manualLayout>
              <c:xMode val="edge"/>
              <c:yMode val="edge"/>
              <c:x val="1.1500227037165647E-3"/>
              <c:y val="3.1090995692765605E-2"/>
            </c:manualLayout>
          </c:layout>
          <c:overlay val="0"/>
        </c:title>
        <c:numFmt formatCode="#,##0" sourceLinked="1"/>
        <c:majorTickMark val="none"/>
        <c:minorTickMark val="none"/>
        <c:tickLblPos val="nextTo"/>
        <c:txPr>
          <a:bodyPr/>
          <a:lstStyle/>
          <a:p>
            <a:pPr>
              <a:defRPr sz="900" b="0"/>
            </a:pPr>
            <a:endParaRPr lang="en-US"/>
          </a:p>
        </c:txPr>
        <c:crossAx val="-1753196832"/>
        <c:crosses val="autoZero"/>
        <c:crossBetween val="between"/>
      </c:valAx>
      <c:spPr>
        <a:noFill/>
        <a:effectLst>
          <a:glow rad="127000">
            <a:schemeClr val="bg1"/>
          </a:glow>
          <a:outerShdw blurRad="50800" dist="50800" dir="5400000" algn="ctr" rotWithShape="0">
            <a:schemeClr val="bg1"/>
          </a:outerShdw>
        </a:effectLst>
      </c:spPr>
    </c:plotArea>
    <c:legend>
      <c:legendPos val="r"/>
      <c:layout>
        <c:manualLayout>
          <c:xMode val="edge"/>
          <c:yMode val="edge"/>
          <c:x val="0.17719387729421102"/>
          <c:y val="0.87336789767476253"/>
          <c:w val="0.63019440916358915"/>
          <c:h val="8.1762407539966608E-2"/>
        </c:manualLayout>
      </c:layout>
      <c:overlay val="0"/>
      <c:txPr>
        <a:bodyPr/>
        <a:lstStyle/>
        <a:p>
          <a:pPr>
            <a:defRPr sz="1000" b="1" i="1"/>
          </a:pPr>
          <a:endParaRPr lang="en-US"/>
        </a:p>
      </c:txPr>
    </c:legend>
    <c:plotVisOnly val="1"/>
    <c:dispBlanksAs val="gap"/>
    <c:showDLblsOverMax val="0"/>
  </c:chart>
  <c:externalData r:id="rId2">
    <c:autoUpdate val="0"/>
  </c:externalData>
</c:chartSpace>
</file>

<file path=word/charts/chart20.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9.8414617225710224E-2"/>
          <c:y val="4.8198956119078276E-2"/>
          <c:w val="0.8335427867772035"/>
          <c:h val="0.73734130139270049"/>
        </c:manualLayout>
      </c:layout>
      <c:barChart>
        <c:barDir val="col"/>
        <c:grouping val="clustered"/>
        <c:varyColors val="0"/>
        <c:ser>
          <c:idx val="0"/>
          <c:order val="0"/>
          <c:tx>
            <c:strRef>
              <c:f>'Stoku i Borxhit'!$A$26</c:f>
              <c:strCache>
                <c:ptCount val="1"/>
                <c:pt idx="0">
                  <c:v>Borxhi Shtetëror</c:v>
                </c:pt>
              </c:strCache>
            </c:strRef>
          </c:tx>
          <c:spPr>
            <a:solidFill>
              <a:schemeClr val="accent1"/>
            </a:solidFill>
            <a:ln>
              <a:noFill/>
            </a:ln>
            <a:effectLst/>
          </c:spPr>
          <c:invertIfNegative val="0"/>
          <c:dLbls>
            <c:dLbl>
              <c:idx val="0"/>
              <c:layout>
                <c:manualLayout>
                  <c:x val="-1.6339680523662022E-17"/>
                  <c:y val="0.43100785405626568"/>
                </c:manualLayout>
              </c:layout>
              <c:dLblPos val="outEnd"/>
              <c:showLegendKey val="0"/>
              <c:showVal val="1"/>
              <c:showCatName val="0"/>
              <c:showSerName val="0"/>
              <c:showPercent val="0"/>
              <c:showBubbleSize val="0"/>
              <c:extLst>
                <c:ext xmlns:c15="http://schemas.microsoft.com/office/drawing/2012/chart" uri="{CE6537A1-D6FC-4f65-9D91-7224C49458BB}"/>
              </c:extLst>
            </c:dLbl>
            <c:dLbl>
              <c:idx val="1"/>
              <c:layout>
                <c:manualLayout>
                  <c:x val="-3.5650623885918001E-3"/>
                  <c:y val="0.40584174126523159"/>
                </c:manualLayout>
              </c:layout>
              <c:dLblPos val="outEnd"/>
              <c:showLegendKey val="0"/>
              <c:showVal val="1"/>
              <c:showCatName val="0"/>
              <c:showSerName val="0"/>
              <c:showPercent val="0"/>
              <c:showBubbleSize val="0"/>
              <c:extLst>
                <c:ext xmlns:c15="http://schemas.microsoft.com/office/drawing/2012/chart" uri="{CE6537A1-D6FC-4f65-9D91-7224C49458BB}"/>
              </c:extLst>
            </c:dLbl>
            <c:dLbl>
              <c:idx val="2"/>
              <c:layout>
                <c:manualLayout>
                  <c:x val="0"/>
                  <c:y val="0.42503557777711248"/>
                </c:manualLayout>
              </c:layout>
              <c:dLblPos val="outEnd"/>
              <c:showLegendKey val="0"/>
              <c:showVal val="1"/>
              <c:showCatName val="0"/>
              <c:showSerName val="0"/>
              <c:showPercent val="0"/>
              <c:showBubbleSize val="0"/>
              <c:extLst>
                <c:ext xmlns:c15="http://schemas.microsoft.com/office/drawing/2012/chart" uri="{CE6537A1-D6FC-4f65-9D91-7224C49458BB}"/>
              </c:extLst>
            </c:dLbl>
            <c:dLbl>
              <c:idx val="3"/>
              <c:layout>
                <c:manualLayout>
                  <c:x val="-1.7825311942959001E-3"/>
                  <c:y val="0.4334860233725536"/>
                </c:manualLayout>
              </c:layout>
              <c:dLblPos val="outEnd"/>
              <c:showLegendKey val="0"/>
              <c:showVal val="1"/>
              <c:showCatName val="0"/>
              <c:showSerName val="0"/>
              <c:showPercent val="0"/>
              <c:showBubbleSize val="0"/>
              <c:extLst>
                <c:ext xmlns:c15="http://schemas.microsoft.com/office/drawing/2012/chart" uri="{CE6537A1-D6FC-4f65-9D91-7224C49458BB}"/>
              </c:extLst>
            </c:dLbl>
            <c:dLbl>
              <c:idx val="4"/>
              <c:layout>
                <c:manualLayout>
                  <c:x val="-1.7825311942959001E-3"/>
                  <c:y val="0.40756025268704521"/>
                </c:manualLayout>
              </c:layout>
              <c:dLblPos val="outEnd"/>
              <c:showLegendKey val="0"/>
              <c:showVal val="1"/>
              <c:showCatName val="0"/>
              <c:showSerName val="0"/>
              <c:showPercent val="0"/>
              <c:showBubbleSize val="0"/>
              <c:extLst>
                <c:ext xmlns:c15="http://schemas.microsoft.com/office/drawing/2012/chart" uri="{CE6537A1-D6FC-4f65-9D91-7224C49458BB}"/>
              </c:extLst>
            </c:dLbl>
            <c:numFmt formatCode="#,##0.0" sourceLinked="0"/>
            <c:spPr>
              <a:noFill/>
              <a:ln>
                <a:noFill/>
              </a:ln>
              <a:effectLst/>
            </c:spPr>
            <c:txPr>
              <a:bodyPr rot="-5400000" spcFirstLastPara="1" vertOverflow="ellipsis" wrap="square" lIns="38100" tIns="19050" rIns="38100" bIns="19050" anchor="ctr" anchorCtr="1">
                <a:spAutoFit/>
              </a:bodyPr>
              <a:lstStyle/>
              <a:p>
                <a:pPr>
                  <a:defRPr sz="800" b="1" i="0" u="none" strike="noStrike" kern="1200" baseline="0">
                    <a:solidFill>
                      <a:sysClr val="windowText" lastClr="000000"/>
                    </a:solidFill>
                    <a:latin typeface="+mn-lt"/>
                    <a:ea typeface="+mn-ea"/>
                    <a:cs typeface="+mn-cs"/>
                  </a:defRPr>
                </a:pPr>
                <a:endParaRPr lang="en-US"/>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'Stoku i Borxhit'!$B$25:$F$25</c:f>
              <c:strCache>
                <c:ptCount val="5"/>
                <c:pt idx="0">
                  <c:v>2016</c:v>
                </c:pt>
                <c:pt idx="1">
                  <c:v>2017</c:v>
                </c:pt>
                <c:pt idx="2">
                  <c:v>2018</c:v>
                </c:pt>
                <c:pt idx="3">
                  <c:v>2019</c:v>
                </c:pt>
                <c:pt idx="4">
                  <c:v>Mars 2020</c:v>
                </c:pt>
              </c:strCache>
            </c:strRef>
          </c:cat>
          <c:val>
            <c:numRef>
              <c:f>'Stoku i Borxhit'!$B$26:$F$26</c:f>
              <c:numCache>
                <c:formatCode>_(* #,##0.0_);_(* \(#,##0.0\);_(* "-"??_);_(@_)</c:formatCode>
                <c:ptCount val="5"/>
                <c:pt idx="0">
                  <c:v>1012.241</c:v>
                </c:pt>
                <c:pt idx="1">
                  <c:v>1037.4566964684852</c:v>
                </c:pt>
                <c:pt idx="2">
                  <c:v>1061.8967513634955</c:v>
                </c:pt>
                <c:pt idx="3">
                  <c:v>1070.1914054458098</c:v>
                </c:pt>
                <c:pt idx="4">
                  <c:v>1117.8424769905716</c:v>
                </c:pt>
              </c:numCache>
            </c:numRef>
          </c:val>
          <c:extLst/>
        </c:ser>
        <c:ser>
          <c:idx val="1"/>
          <c:order val="1"/>
          <c:tx>
            <c:strRef>
              <c:f>'Stoku i Borxhit'!$A$27</c:f>
              <c:strCache>
                <c:ptCount val="1"/>
                <c:pt idx="0">
                  <c:v>Borxhi i Garantuar</c:v>
                </c:pt>
              </c:strCache>
            </c:strRef>
          </c:tx>
          <c:spPr>
            <a:solidFill>
              <a:srgbClr val="C00000"/>
            </a:solidFill>
            <a:ln>
              <a:noFill/>
            </a:ln>
            <a:effectLst/>
          </c:spPr>
          <c:invertIfNegative val="0"/>
          <c:dLbls>
            <c:numFmt formatCode="#,##0.0" sourceLinked="0"/>
            <c:spPr>
              <a:noFill/>
              <a:ln>
                <a:noFill/>
              </a:ln>
              <a:effectLst/>
            </c:spPr>
            <c:txPr>
              <a:bodyPr rot="-5400000" spcFirstLastPara="1" vertOverflow="ellipsis" wrap="square" lIns="38100" tIns="19050" rIns="38100" bIns="19050" anchor="ctr" anchorCtr="1">
                <a:spAutoFit/>
              </a:bodyPr>
              <a:lstStyle/>
              <a:p>
                <a:pPr>
                  <a:defRPr sz="800" b="1" i="0" u="none" strike="noStrike" kern="1200" baseline="0">
                    <a:solidFill>
                      <a:srgbClr val="C00000"/>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'Stoku i Borxhit'!$B$25:$F$25</c:f>
              <c:strCache>
                <c:ptCount val="5"/>
                <c:pt idx="0">
                  <c:v>2016</c:v>
                </c:pt>
                <c:pt idx="1">
                  <c:v>2017</c:v>
                </c:pt>
                <c:pt idx="2">
                  <c:v>2018</c:v>
                </c:pt>
                <c:pt idx="3">
                  <c:v>2019</c:v>
                </c:pt>
                <c:pt idx="4">
                  <c:v>Mars 2020</c:v>
                </c:pt>
              </c:strCache>
            </c:strRef>
          </c:cat>
          <c:val>
            <c:numRef>
              <c:f>'Stoku i Borxhit'!$B$27:$F$27</c:f>
              <c:numCache>
                <c:formatCode>_(* #,##0.0_);_(* \(#,##0.0\);_(* "-"??_);_(@_)</c:formatCode>
                <c:ptCount val="5"/>
                <c:pt idx="0">
                  <c:v>53.468000000000004</c:v>
                </c:pt>
                <c:pt idx="1">
                  <c:v>49.885175518906451</c:v>
                </c:pt>
                <c:pt idx="2">
                  <c:v>44.672074609123086</c:v>
                </c:pt>
                <c:pt idx="3">
                  <c:v>41.852794389665405</c:v>
                </c:pt>
                <c:pt idx="4">
                  <c:v>43.996034371713804</c:v>
                </c:pt>
              </c:numCache>
            </c:numRef>
          </c:val>
        </c:ser>
        <c:ser>
          <c:idx val="2"/>
          <c:order val="2"/>
          <c:tx>
            <c:strRef>
              <c:f>'Stoku i Borxhit'!$A$28</c:f>
              <c:strCache>
                <c:ptCount val="1"/>
                <c:pt idx="0">
                  <c:v>Borxhi i Pushtetit Lokal</c:v>
                </c:pt>
              </c:strCache>
            </c:strRef>
          </c:tx>
          <c:spPr>
            <a:solidFill>
              <a:srgbClr val="7030A0"/>
            </a:solidFill>
            <a:ln>
              <a:noFill/>
            </a:ln>
            <a:effectLst/>
          </c:spPr>
          <c:invertIfNegative val="0"/>
          <c:dLbls>
            <c:numFmt formatCode="#,##0.0" sourceLinked="0"/>
            <c:spPr>
              <a:noFill/>
              <a:ln>
                <a:noFill/>
              </a:ln>
              <a:effectLst/>
            </c:spPr>
            <c:txPr>
              <a:bodyPr rot="-5400000" spcFirstLastPara="1" vertOverflow="ellipsis" wrap="square" lIns="38100" tIns="19050" rIns="38100" bIns="19050" anchor="ctr" anchorCtr="1">
                <a:spAutoFit/>
              </a:bodyPr>
              <a:lstStyle/>
              <a:p>
                <a:pPr>
                  <a:defRPr sz="800" b="1" i="0" u="none" strike="noStrike" kern="1200" baseline="0">
                    <a:solidFill>
                      <a:srgbClr val="7030A0"/>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'Stoku i Borxhit'!$B$25:$F$25</c:f>
              <c:strCache>
                <c:ptCount val="5"/>
                <c:pt idx="0">
                  <c:v>2016</c:v>
                </c:pt>
                <c:pt idx="1">
                  <c:v>2017</c:v>
                </c:pt>
                <c:pt idx="2">
                  <c:v>2018</c:v>
                </c:pt>
                <c:pt idx="3">
                  <c:v>2019</c:v>
                </c:pt>
                <c:pt idx="4">
                  <c:v>Mars 2020</c:v>
                </c:pt>
              </c:strCache>
            </c:strRef>
          </c:cat>
          <c:val>
            <c:numRef>
              <c:f>'Stoku i Borxhit'!$B$28:$F$28</c:f>
              <c:numCache>
                <c:formatCode>_(* #,##0.0_);_(* \(#,##0.0\);_(* "-"??_);_(@_)</c:formatCode>
                <c:ptCount val="5"/>
                <c:pt idx="0">
                  <c:v>0.90134000000000003</c:v>
                </c:pt>
                <c:pt idx="1">
                  <c:v>0.82746000000000008</c:v>
                </c:pt>
                <c:pt idx="2">
                  <c:v>0.71565968409814007</c:v>
                </c:pt>
                <c:pt idx="3">
                  <c:v>0.58171127166869285</c:v>
                </c:pt>
                <c:pt idx="4">
                  <c:v>0.54633778464869287</c:v>
                </c:pt>
              </c:numCache>
            </c:numRef>
          </c:val>
        </c:ser>
        <c:dLbls>
          <c:showLegendKey val="0"/>
          <c:showVal val="0"/>
          <c:showCatName val="0"/>
          <c:showSerName val="0"/>
          <c:showPercent val="0"/>
          <c:showBubbleSize val="0"/>
        </c:dLbls>
        <c:gapWidth val="148"/>
        <c:axId val="-1753193568"/>
        <c:axId val="-1753193024"/>
      </c:barChart>
      <c:lineChart>
        <c:grouping val="standard"/>
        <c:varyColors val="0"/>
        <c:ser>
          <c:idx val="3"/>
          <c:order val="3"/>
          <c:tx>
            <c:strRef>
              <c:f>'Stoku i Borxhit'!$A$29</c:f>
              <c:strCache>
                <c:ptCount val="1"/>
                <c:pt idx="0">
                  <c:v>Borxhi Publik/PBB</c:v>
                </c:pt>
              </c:strCache>
            </c:strRef>
          </c:tx>
          <c:spPr>
            <a:ln w="22225" cap="rnd">
              <a:solidFill>
                <a:schemeClr val="bg1">
                  <a:lumMod val="50000"/>
                </a:schemeClr>
              </a:solidFill>
              <a:round/>
            </a:ln>
            <a:effectLst/>
          </c:spPr>
          <c:marker>
            <c:symbol val="diamond"/>
            <c:size val="5"/>
            <c:spPr>
              <a:solidFill>
                <a:schemeClr val="bg1">
                  <a:lumMod val="50000"/>
                </a:schemeClr>
              </a:solidFill>
              <a:ln w="9525">
                <a:noFill/>
              </a:ln>
              <a:effectLst/>
            </c:spPr>
          </c:marker>
          <c:dLbls>
            <c:dLbl>
              <c:idx val="0"/>
              <c:layout>
                <c:manualLayout>
                  <c:x val="-2.7063599458728042E-2"/>
                  <c:y val="-6.1465721040189124E-2"/>
                </c:manualLayout>
              </c:layout>
              <c:showLegendKey val="0"/>
              <c:showVal val="1"/>
              <c:showCatName val="0"/>
              <c:showSerName val="0"/>
              <c:showPercent val="0"/>
              <c:showBubbleSize val="0"/>
              <c:extLst>
                <c:ext xmlns:c15="http://schemas.microsoft.com/office/drawing/2012/chart" uri="{CE6537A1-D6FC-4f65-9D91-7224C49458BB}"/>
              </c:extLst>
            </c:dLbl>
            <c:dLbl>
              <c:idx val="1"/>
              <c:layout>
                <c:manualLayout>
                  <c:x val="-2.532443471304055E-2"/>
                  <c:y val="-5.132620779816973E-2"/>
                </c:manualLayout>
              </c:layout>
              <c:showLegendKey val="0"/>
              <c:showVal val="1"/>
              <c:showCatName val="0"/>
              <c:showSerName val="0"/>
              <c:showPercent val="0"/>
              <c:showBubbleSize val="0"/>
              <c:extLst>
                <c:ext xmlns:c15="http://schemas.microsoft.com/office/drawing/2012/chart" uri="{CE6537A1-D6FC-4f65-9D91-7224C49458BB}"/>
              </c:extLst>
            </c:dLbl>
            <c:dLbl>
              <c:idx val="2"/>
              <c:layout>
                <c:manualLayout>
                  <c:x val="-3.7079546382818587E-2"/>
                  <c:y val="-5.1795014984829045E-2"/>
                </c:manualLayout>
              </c:layout>
              <c:showLegendKey val="0"/>
              <c:showVal val="1"/>
              <c:showCatName val="0"/>
              <c:showSerName val="0"/>
              <c:showPercent val="0"/>
              <c:showBubbleSize val="0"/>
              <c:extLst>
                <c:ext xmlns:c15="http://schemas.microsoft.com/office/drawing/2012/chart" uri="{CE6537A1-D6FC-4f65-9D91-7224C49458BB}"/>
              </c:extLst>
            </c:dLbl>
            <c:dLbl>
              <c:idx val="3"/>
              <c:layout>
                <c:manualLayout>
                  <c:x val="-2.271665974094253E-2"/>
                  <c:y val="-4.3986150667336799E-2"/>
                </c:manualLayout>
              </c:layout>
              <c:showLegendKey val="0"/>
              <c:showVal val="1"/>
              <c:showCatName val="0"/>
              <c:showSerName val="0"/>
              <c:showPercent val="0"/>
              <c:showBubbleSize val="0"/>
              <c:extLst>
                <c:ext xmlns:c15="http://schemas.microsoft.com/office/drawing/2012/chart" uri="{CE6537A1-D6FC-4f65-9D91-7224C49458BB}"/>
              </c:extLst>
            </c:dLbl>
            <c:dLbl>
              <c:idx val="4"/>
              <c:layout>
                <c:manualLayout>
                  <c:x val="-1.8824090838912514E-2"/>
                  <c:y val="-4.0370048800934102E-2"/>
                </c:manualLayout>
              </c:layout>
              <c:showLegendKey val="0"/>
              <c:showVal val="1"/>
              <c:showCatName val="0"/>
              <c:showSerName val="0"/>
              <c:showPercent val="0"/>
              <c:showBubbleSize val="0"/>
              <c:extLst>
                <c:ext xmlns:c15="http://schemas.microsoft.com/office/drawing/2012/chart" uri="{CE6537A1-D6FC-4f65-9D91-7224C49458BB}"/>
              </c:extLst>
            </c:dLbl>
            <c:dLbl>
              <c:idx val="140"/>
              <c:layout>
                <c:manualLayout>
                  <c:x val="-7.5011720581340839E-3"/>
                  <c:y val="-4.9484546794284559E-2"/>
                </c:manualLayout>
              </c:layout>
              <c:showLegendKey val="0"/>
              <c:showVal val="1"/>
              <c:showCatName val="0"/>
              <c:showSerName val="0"/>
              <c:showPercent val="0"/>
              <c:showBubbleSize val="0"/>
              <c:extLst>
                <c:ext xmlns:c15="http://schemas.microsoft.com/office/drawing/2012/chart" uri="{CE6537A1-D6FC-4f65-9D91-7224C49458BB}"/>
              </c:extLst>
            </c:dLbl>
            <c:dLbl>
              <c:idx val="142"/>
              <c:layout>
                <c:manualLayout>
                  <c:x val="-1.6877637130801686E-2"/>
                  <c:y val="-7.1477678702855527E-2"/>
                </c:manualLayout>
              </c:layout>
              <c:showLegendKey val="0"/>
              <c:showVal val="1"/>
              <c:showCatName val="0"/>
              <c:showSerName val="0"/>
              <c:showPercent val="0"/>
              <c:showBubbleSize val="0"/>
              <c:extLst>
                <c:ext xmlns:c15="http://schemas.microsoft.com/office/drawing/2012/chart" uri="{CE6537A1-D6FC-4f65-9D91-7224C49458BB}"/>
              </c:extLst>
            </c:dLbl>
            <c:spPr>
              <a:noFill/>
              <a:ln>
                <a:noFill/>
              </a:ln>
              <a:effectLst/>
            </c:spPr>
            <c:txPr>
              <a:bodyPr rot="0" spcFirstLastPara="1" vertOverflow="ellipsis" vert="horz" wrap="square" lIns="38100" tIns="19050" rIns="38100" bIns="19050" anchor="ctr" anchorCtr="1">
                <a:spAutoFit/>
              </a:bodyPr>
              <a:lstStyle/>
              <a:p>
                <a:pPr>
                  <a:defRPr sz="800" b="1" i="0" u="none" strike="noStrike" kern="1200" baseline="0">
                    <a:solidFill>
                      <a:sysClr val="windowText" lastClr="000000"/>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'Stoku i Borxhit'!$B$25:$F$25</c:f>
              <c:strCache>
                <c:ptCount val="5"/>
                <c:pt idx="0">
                  <c:v>2016</c:v>
                </c:pt>
                <c:pt idx="1">
                  <c:v>2017</c:v>
                </c:pt>
                <c:pt idx="2">
                  <c:v>2018</c:v>
                </c:pt>
                <c:pt idx="3">
                  <c:v>2019</c:v>
                </c:pt>
                <c:pt idx="4">
                  <c:v>Mars 2020</c:v>
                </c:pt>
              </c:strCache>
            </c:strRef>
          </c:cat>
          <c:val>
            <c:numRef>
              <c:f>'Stoku i Borxhit'!$B$29:$F$29</c:f>
              <c:numCache>
                <c:formatCode>0.0%</c:formatCode>
                <c:ptCount val="5"/>
                <c:pt idx="0">
                  <c:v>0.72436340713990199</c:v>
                </c:pt>
                <c:pt idx="1">
                  <c:v>0.70146482255726894</c:v>
                </c:pt>
                <c:pt idx="2">
                  <c:v>0.67893877488466858</c:v>
                </c:pt>
                <c:pt idx="3">
                  <c:v>0.65878962228777238</c:v>
                </c:pt>
                <c:pt idx="4">
                  <c:v>0.66740874573131848</c:v>
                </c:pt>
              </c:numCache>
            </c:numRef>
          </c:val>
          <c:smooth val="1"/>
        </c:ser>
        <c:dLbls>
          <c:showLegendKey val="0"/>
          <c:showVal val="0"/>
          <c:showCatName val="0"/>
          <c:showSerName val="0"/>
          <c:showPercent val="0"/>
          <c:showBubbleSize val="0"/>
        </c:dLbls>
        <c:marker val="1"/>
        <c:smooth val="0"/>
        <c:axId val="-1752706192"/>
        <c:axId val="-1752723600"/>
      </c:lineChart>
      <c:catAx>
        <c:axId val="-1753193568"/>
        <c:scaling>
          <c:orientation val="minMax"/>
        </c:scaling>
        <c:delete val="0"/>
        <c:axPos val="b"/>
        <c:numFmt formatCode="General" sourceLinked="1"/>
        <c:majorTickMark val="none"/>
        <c:minorTickMark val="none"/>
        <c:tickLblPos val="nextTo"/>
        <c:spPr>
          <a:noFill/>
          <a:ln w="9525" cap="flat" cmpd="sng" algn="ctr">
            <a:solidFill>
              <a:schemeClr val="tx1"/>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en-US"/>
          </a:p>
        </c:txPr>
        <c:crossAx val="-1753193024"/>
        <c:crosses val="autoZero"/>
        <c:auto val="1"/>
        <c:lblAlgn val="ctr"/>
        <c:lblOffset val="100"/>
        <c:noMultiLvlLbl val="0"/>
      </c:catAx>
      <c:valAx>
        <c:axId val="-1753193024"/>
        <c:scaling>
          <c:orientation val="minMax"/>
          <c:max val="1300"/>
          <c:min val="0"/>
        </c:scaling>
        <c:delete val="0"/>
        <c:axPos val="l"/>
        <c:title>
          <c:tx>
            <c:rich>
              <a:bodyPr rot="-5400000" spcFirstLastPara="1" vertOverflow="ellipsis" vert="horz" wrap="square" anchor="ctr" anchorCtr="1"/>
              <a:lstStyle/>
              <a:p>
                <a:pPr>
                  <a:defRPr sz="900" b="1" i="0" u="none" strike="noStrike" kern="1200" baseline="0">
                    <a:solidFill>
                      <a:sysClr val="windowText" lastClr="000000"/>
                    </a:solidFill>
                    <a:latin typeface="+mn-lt"/>
                    <a:ea typeface="+mn-ea"/>
                    <a:cs typeface="+mn-cs"/>
                  </a:defRPr>
                </a:pPr>
                <a:r>
                  <a:rPr lang="en-US" sz="900" b="1">
                    <a:solidFill>
                      <a:sysClr val="windowText" lastClr="000000"/>
                    </a:solidFill>
                  </a:rPr>
                  <a:t>në miliard Lekë</a:t>
                </a:r>
              </a:p>
            </c:rich>
          </c:tx>
          <c:layout>
            <c:manualLayout>
              <c:xMode val="edge"/>
              <c:yMode val="edge"/>
              <c:x val="6.5607547955184014E-3"/>
              <c:y val="0.20480391905409218"/>
            </c:manualLayout>
          </c:layout>
          <c:overlay val="0"/>
          <c:spPr>
            <a:noFill/>
            <a:ln>
              <a:noFill/>
            </a:ln>
            <a:effectLst/>
          </c:spPr>
        </c:title>
        <c:numFmt formatCode="0" sourceLinked="0"/>
        <c:majorTickMark val="none"/>
        <c:minorTickMark val="none"/>
        <c:tickLblPos val="nextTo"/>
        <c:spPr>
          <a:noFill/>
          <a:ln>
            <a:solidFill>
              <a:schemeClr val="tx1"/>
            </a:solid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en-US"/>
          </a:p>
        </c:txPr>
        <c:crossAx val="-1753193568"/>
        <c:crosses val="autoZero"/>
        <c:crossBetween val="between"/>
        <c:majorUnit val="300"/>
      </c:valAx>
      <c:valAx>
        <c:axId val="-1752723600"/>
        <c:scaling>
          <c:orientation val="minMax"/>
          <c:max val="0.76000000000000012"/>
          <c:min val="0.5"/>
        </c:scaling>
        <c:delete val="0"/>
        <c:axPos val="r"/>
        <c:numFmt formatCode="0%" sourceLinked="0"/>
        <c:majorTickMark val="none"/>
        <c:minorTickMark val="none"/>
        <c:tickLblPos val="nextTo"/>
        <c:spPr>
          <a:noFill/>
          <a:ln>
            <a:solidFill>
              <a:schemeClr val="tx1"/>
            </a:solid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en-US"/>
          </a:p>
        </c:txPr>
        <c:crossAx val="-1752706192"/>
        <c:crosses val="max"/>
        <c:crossBetween val="between"/>
        <c:majorUnit val="5.000000000000001E-2"/>
      </c:valAx>
      <c:catAx>
        <c:axId val="-1752706192"/>
        <c:scaling>
          <c:orientation val="minMax"/>
        </c:scaling>
        <c:delete val="1"/>
        <c:axPos val="b"/>
        <c:numFmt formatCode="General" sourceLinked="1"/>
        <c:majorTickMark val="none"/>
        <c:minorTickMark val="none"/>
        <c:tickLblPos val="nextTo"/>
        <c:crossAx val="-1752723600"/>
        <c:crosses val="autoZero"/>
        <c:auto val="1"/>
        <c:lblAlgn val="ctr"/>
        <c:lblOffset val="100"/>
        <c:noMultiLvlLbl val="0"/>
      </c:catAx>
      <c:spPr>
        <a:noFill/>
        <a:ln>
          <a:noFill/>
        </a:ln>
        <a:effectLst/>
      </c:spPr>
    </c:plotArea>
    <c:legend>
      <c:legendPos val="b"/>
      <c:layout>
        <c:manualLayout>
          <c:xMode val="edge"/>
          <c:yMode val="edge"/>
          <c:x val="6.9509348225744921E-2"/>
          <c:y val="0.91226807561106982"/>
          <c:w val="0.87502990278707826"/>
          <c:h val="8.555192958294662E-2"/>
        </c:manualLayout>
      </c:layout>
      <c:overlay val="0"/>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en-US"/>
        </a:p>
      </c:txPr>
    </c:legend>
    <c:plotVisOnly val="1"/>
    <c:dispBlanksAs val="gap"/>
    <c:showDLblsOverMax val="0"/>
  </c:chart>
  <c:spPr>
    <a:solidFill>
      <a:schemeClr val="bg1"/>
    </a:solidFill>
    <a:ln w="6350" cap="flat" cmpd="sng" algn="ctr">
      <a:solidFill>
        <a:schemeClr val="bg1">
          <a:lumMod val="75000"/>
        </a:schemeClr>
      </a:solidFill>
      <a:round/>
    </a:ln>
    <a:effectLst/>
  </c:spPr>
  <c:txPr>
    <a:bodyPr/>
    <a:lstStyle/>
    <a:p>
      <a:pPr>
        <a:defRPr/>
      </a:pPr>
      <a:endParaRPr lang="en-US"/>
    </a:p>
  </c:txPr>
  <c:externalData r:id="rId1">
    <c:autoUpdate val="0"/>
  </c:externalData>
</c:chartSpace>
</file>

<file path=word/charts/chart2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6.65782713415803E-2"/>
          <c:y val="6.4081028337287113E-2"/>
          <c:w val="0.93283994610162779"/>
          <c:h val="0.66354198457750924"/>
        </c:manualLayout>
      </c:layout>
      <c:barChart>
        <c:barDir val="col"/>
        <c:grouping val="clustered"/>
        <c:varyColors val="0"/>
        <c:ser>
          <c:idx val="0"/>
          <c:order val="0"/>
          <c:tx>
            <c:strRef>
              <c:f>'Kompozimi '!$A$15</c:f>
              <c:strCache>
                <c:ptCount val="1"/>
                <c:pt idx="0">
                  <c:v>Instrumente të tregtueshme</c:v>
                </c:pt>
              </c:strCache>
            </c:strRef>
          </c:tx>
          <c:spPr>
            <a:solidFill>
              <a:srgbClr val="5B9BD5"/>
            </a:solidFill>
            <a:ln>
              <a:noFill/>
            </a:ln>
            <a:effectLst/>
          </c:spPr>
          <c:invertIfNegative val="0"/>
          <c:dLbls>
            <c:dLbl>
              <c:idx val="0"/>
              <c:layout>
                <c:manualLayout>
                  <c:x val="-4.4316419233325945E-3"/>
                  <c:y val="2.5839793281653745E-2"/>
                </c:manualLayout>
              </c:layout>
              <c:showLegendKey val="0"/>
              <c:showVal val="1"/>
              <c:showCatName val="0"/>
              <c:showSerName val="0"/>
              <c:showPercent val="0"/>
              <c:showBubbleSize val="0"/>
              <c:extLst>
                <c:ext xmlns:c15="http://schemas.microsoft.com/office/drawing/2012/chart" uri="{CE6537A1-D6FC-4f65-9D91-7224C49458BB}"/>
              </c:extLst>
            </c:dLbl>
            <c:dLbl>
              <c:idx val="1"/>
              <c:layout>
                <c:manualLayout>
                  <c:x val="0"/>
                  <c:y val="2.5839793281653763E-2"/>
                </c:manualLayout>
              </c:layout>
              <c:showLegendKey val="0"/>
              <c:showVal val="1"/>
              <c:showCatName val="0"/>
              <c:showSerName val="0"/>
              <c:showPercent val="0"/>
              <c:showBubbleSize val="0"/>
              <c:extLst>
                <c:ext xmlns:c15="http://schemas.microsoft.com/office/drawing/2012/chart" uri="{CE6537A1-D6FC-4f65-9D91-7224C49458BB}"/>
              </c:extLst>
            </c:dLbl>
            <c:dLbl>
              <c:idx val="2"/>
              <c:layout>
                <c:manualLayout>
                  <c:x val="-8.1245830035669357E-17"/>
                  <c:y val="2.5839793281653745E-2"/>
                </c:manualLayout>
              </c:layout>
              <c:showLegendKey val="0"/>
              <c:showVal val="1"/>
              <c:showCatName val="0"/>
              <c:showSerName val="0"/>
              <c:showPercent val="0"/>
              <c:showBubbleSize val="0"/>
              <c:extLst>
                <c:ext xmlns:c15="http://schemas.microsoft.com/office/drawing/2012/chart" uri="{CE6537A1-D6FC-4f65-9D91-7224C49458BB}"/>
              </c:extLst>
            </c:dLbl>
            <c:dLbl>
              <c:idx val="3"/>
              <c:layout>
                <c:manualLayout>
                  <c:x val="-2.2158209616662161E-3"/>
                  <c:y val="2.5839793281653745E-2"/>
                </c:manualLayout>
              </c:layout>
              <c:showLegendKey val="0"/>
              <c:showVal val="1"/>
              <c:showCatName val="0"/>
              <c:showSerName val="0"/>
              <c:showPercent val="0"/>
              <c:showBubbleSize val="0"/>
              <c:extLst>
                <c:ext xmlns:c15="http://schemas.microsoft.com/office/drawing/2012/chart" uri="{CE6537A1-D6FC-4f65-9D91-7224C49458BB}"/>
              </c:extLst>
            </c:dLbl>
            <c:dLbl>
              <c:idx val="4"/>
              <c:layout>
                <c:manualLayout>
                  <c:x val="-2.2158209616662972E-3"/>
                  <c:y val="2.5839793281653745E-2"/>
                </c:manualLayout>
              </c:layout>
              <c:showLegendKey val="0"/>
              <c:showVal val="1"/>
              <c:showCatName val="0"/>
              <c:showSerName val="0"/>
              <c:showPercent val="0"/>
              <c:showBubbleSize val="0"/>
              <c:extLst>
                <c:ext xmlns:c15="http://schemas.microsoft.com/office/drawing/2012/chart" uri="{CE6537A1-D6FC-4f65-9D91-7224C49458BB}"/>
              </c:extLst>
            </c:dLbl>
            <c:numFmt formatCode="0.0%" sourceLinked="0"/>
            <c:spPr>
              <a:noFill/>
              <a:ln>
                <a:noFill/>
              </a:ln>
              <a:effectLst/>
            </c:spPr>
            <c:txPr>
              <a:bodyPr rot="-5400000" spcFirstLastPara="1" vertOverflow="ellipsis" wrap="square" lIns="38100" tIns="19050" rIns="38100" bIns="19050" anchor="ctr" anchorCtr="1">
                <a:spAutoFit/>
              </a:bodyPr>
              <a:lstStyle/>
              <a:p>
                <a:pPr>
                  <a:defRPr sz="800" b="1" i="0" u="none" strike="noStrike" kern="1200" baseline="0">
                    <a:solidFill>
                      <a:schemeClr val="accent1"/>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'Kompozimi '!$B$14:$F$14</c:f>
              <c:strCache>
                <c:ptCount val="5"/>
                <c:pt idx="0">
                  <c:v>2016</c:v>
                </c:pt>
                <c:pt idx="1">
                  <c:v>2017</c:v>
                </c:pt>
                <c:pt idx="2">
                  <c:v>2018</c:v>
                </c:pt>
                <c:pt idx="3">
                  <c:v>2019</c:v>
                </c:pt>
                <c:pt idx="4">
                  <c:v>Mars 2020</c:v>
                </c:pt>
              </c:strCache>
            </c:strRef>
          </c:cat>
          <c:val>
            <c:numRef>
              <c:f>'Kompozimi '!$B$15:$F$15</c:f>
              <c:numCache>
                <c:formatCode>0.0%</c:formatCode>
                <c:ptCount val="5"/>
                <c:pt idx="0">
                  <c:v>0.5547363819572344</c:v>
                </c:pt>
                <c:pt idx="1">
                  <c:v>0.55760278269323005</c:v>
                </c:pt>
                <c:pt idx="2">
                  <c:v>0.59393726202654296</c:v>
                </c:pt>
                <c:pt idx="3">
                  <c:v>0.60529156436625553</c:v>
                </c:pt>
                <c:pt idx="4">
                  <c:v>0.59443569955763476</c:v>
                </c:pt>
              </c:numCache>
            </c:numRef>
          </c:val>
        </c:ser>
        <c:ser>
          <c:idx val="1"/>
          <c:order val="1"/>
          <c:tx>
            <c:strRef>
              <c:f>'Kompozimi '!$A$16</c:f>
              <c:strCache>
                <c:ptCount val="1"/>
                <c:pt idx="0">
                  <c:v>Hua për financim projektesh</c:v>
                </c:pt>
              </c:strCache>
            </c:strRef>
          </c:tx>
          <c:spPr>
            <a:solidFill>
              <a:srgbClr val="7030A0"/>
            </a:solidFill>
            <a:ln>
              <a:noFill/>
            </a:ln>
            <a:effectLst/>
          </c:spPr>
          <c:invertIfNegative val="0"/>
          <c:dLbls>
            <c:dLbl>
              <c:idx val="0"/>
              <c:layout>
                <c:manualLayout>
                  <c:x val="-3.0026991141950377E-3"/>
                  <c:y val="2.1640318216036888E-2"/>
                </c:manualLayout>
              </c:layout>
              <c:showLegendKey val="0"/>
              <c:showVal val="1"/>
              <c:showCatName val="0"/>
              <c:showSerName val="0"/>
              <c:showPercent val="0"/>
              <c:showBubbleSize val="0"/>
              <c:extLst xmlns:c15="http://schemas.microsoft.com/office/drawing/2012/chart">
                <c:ext xmlns:c15="http://schemas.microsoft.com/office/drawing/2012/chart" uri="{CE6537A1-D6FC-4f65-9D91-7224C49458BB}"/>
              </c:extLst>
            </c:dLbl>
            <c:dLbl>
              <c:idx val="1"/>
              <c:layout>
                <c:manualLayout>
                  <c:x val="-3.2068338012146885E-4"/>
                  <c:y val="3.5476306740727173E-2"/>
                </c:manualLayout>
              </c:layout>
              <c:showLegendKey val="0"/>
              <c:showVal val="1"/>
              <c:showCatName val="0"/>
              <c:showSerName val="0"/>
              <c:showPercent val="0"/>
              <c:showBubbleSize val="0"/>
              <c:extLst>
                <c:ext xmlns:c15="http://schemas.microsoft.com/office/drawing/2012/chart" uri="{CE6537A1-D6FC-4f65-9D91-7224C49458BB}"/>
              </c:extLst>
            </c:dLbl>
            <c:dLbl>
              <c:idx val="2"/>
              <c:layout>
                <c:manualLayout>
                  <c:x val="-1.4074824958867733E-3"/>
                  <c:y val="2.9016358420313682E-2"/>
                </c:manualLayout>
              </c:layout>
              <c:showLegendKey val="0"/>
              <c:showVal val="1"/>
              <c:showCatName val="0"/>
              <c:showSerName val="0"/>
              <c:showPercent val="0"/>
              <c:showBubbleSize val="0"/>
              <c:extLst>
                <c:ext xmlns:c15="http://schemas.microsoft.com/office/drawing/2012/chart" uri="{CE6537A1-D6FC-4f65-9D91-7224C49458BB}"/>
              </c:extLst>
            </c:dLbl>
            <c:dLbl>
              <c:idx val="3"/>
              <c:layout>
                <c:manualLayout>
                  <c:x val="-6.0559957149155011E-4"/>
                  <c:y val="1.937984496124031E-2"/>
                </c:manualLayout>
              </c:layout>
              <c:showLegendKey val="0"/>
              <c:showVal val="1"/>
              <c:showCatName val="0"/>
              <c:showSerName val="0"/>
              <c:showPercent val="0"/>
              <c:showBubbleSize val="0"/>
              <c:extLst>
                <c:ext xmlns:c15="http://schemas.microsoft.com/office/drawing/2012/chart" uri="{CE6537A1-D6FC-4f65-9D91-7224C49458BB}"/>
              </c:extLst>
            </c:dLbl>
            <c:dLbl>
              <c:idx val="4"/>
              <c:layout>
                <c:manualLayout>
                  <c:x val="-3.1780455761221738E-3"/>
                  <c:y val="2.4745671325967975E-2"/>
                </c:manualLayout>
              </c:layout>
              <c:showLegendKey val="0"/>
              <c:showVal val="1"/>
              <c:showCatName val="0"/>
              <c:showSerName val="0"/>
              <c:showPercent val="0"/>
              <c:showBubbleSize val="0"/>
              <c:extLst>
                <c:ext xmlns:c15="http://schemas.microsoft.com/office/drawing/2012/chart" uri="{CE6537A1-D6FC-4f65-9D91-7224C49458BB}"/>
              </c:extLst>
            </c:dLbl>
            <c:spPr>
              <a:noFill/>
              <a:ln>
                <a:noFill/>
              </a:ln>
              <a:effectLst/>
            </c:spPr>
            <c:txPr>
              <a:bodyPr rot="-5400000" spcFirstLastPara="1" vertOverflow="ellipsis" wrap="square" lIns="38100" tIns="19050" rIns="38100" bIns="19050" anchor="ctr" anchorCtr="1">
                <a:spAutoFit/>
              </a:bodyPr>
              <a:lstStyle/>
              <a:p>
                <a:pPr>
                  <a:defRPr sz="800" b="1" i="0" u="none" strike="noStrike" kern="1200" baseline="0">
                    <a:solidFill>
                      <a:srgbClr val="7030A0"/>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'Kompozimi '!$B$14:$F$14</c:f>
              <c:strCache>
                <c:ptCount val="5"/>
                <c:pt idx="0">
                  <c:v>2016</c:v>
                </c:pt>
                <c:pt idx="1">
                  <c:v>2017</c:v>
                </c:pt>
                <c:pt idx="2">
                  <c:v>2018</c:v>
                </c:pt>
                <c:pt idx="3">
                  <c:v>2019</c:v>
                </c:pt>
                <c:pt idx="4">
                  <c:v>Mars 2020</c:v>
                </c:pt>
              </c:strCache>
            </c:strRef>
          </c:cat>
          <c:val>
            <c:numRef>
              <c:f>'Kompozimi '!$B$16:$F$16</c:f>
              <c:numCache>
                <c:formatCode>0.0%</c:formatCode>
                <c:ptCount val="5"/>
                <c:pt idx="0">
                  <c:v>0.27457813143227411</c:v>
                </c:pt>
                <c:pt idx="1">
                  <c:v>0.25970334956782659</c:v>
                </c:pt>
                <c:pt idx="2">
                  <c:v>0.24189824736914217</c:v>
                </c:pt>
                <c:pt idx="3">
                  <c:v>0.23866664262345219</c:v>
                </c:pt>
                <c:pt idx="4">
                  <c:v>0.24654093418253048</c:v>
                </c:pt>
              </c:numCache>
            </c:numRef>
          </c:val>
          <c:extLst/>
        </c:ser>
        <c:ser>
          <c:idx val="2"/>
          <c:order val="2"/>
          <c:tx>
            <c:strRef>
              <c:f>'Kompozimi '!$A$17</c:f>
              <c:strCache>
                <c:ptCount val="1"/>
                <c:pt idx="0">
                  <c:v>Mbështetje Buxhetore</c:v>
                </c:pt>
              </c:strCache>
            </c:strRef>
          </c:tx>
          <c:spPr>
            <a:solidFill>
              <a:srgbClr val="C00000"/>
            </a:solidFill>
            <a:ln>
              <a:noFill/>
            </a:ln>
            <a:effectLst/>
          </c:spPr>
          <c:invertIfNegative val="0"/>
          <c:dLbls>
            <c:dLbl>
              <c:idx val="0"/>
              <c:layout>
                <c:manualLayout>
                  <c:x val="-2.091595408539829E-3"/>
                  <c:y val="1.9379844961240192E-2"/>
                </c:manualLayout>
              </c:layout>
              <c:showLegendKey val="0"/>
              <c:showVal val="1"/>
              <c:showCatName val="0"/>
              <c:showSerName val="0"/>
              <c:showPercent val="0"/>
              <c:showBubbleSize val="0"/>
              <c:extLst xmlns:c15="http://schemas.microsoft.com/office/drawing/2012/chart">
                <c:ext xmlns:c15="http://schemas.microsoft.com/office/drawing/2012/chart" uri="{CE6537A1-D6FC-4f65-9D91-7224C49458BB}"/>
              </c:extLst>
            </c:dLbl>
            <c:dLbl>
              <c:idx val="1"/>
              <c:layout>
                <c:manualLayout>
                  <c:x val="-1.3615958098302599E-3"/>
                  <c:y val="3.2299741602067243E-2"/>
                </c:manualLayout>
              </c:layout>
              <c:showLegendKey val="0"/>
              <c:showVal val="1"/>
              <c:showCatName val="0"/>
              <c:showSerName val="0"/>
              <c:showPercent val="0"/>
              <c:showBubbleSize val="0"/>
              <c:extLst>
                <c:ext xmlns:c15="http://schemas.microsoft.com/office/drawing/2012/chart" uri="{CE6537A1-D6FC-4f65-9D91-7224C49458BB}"/>
              </c:extLst>
            </c:dLbl>
            <c:dLbl>
              <c:idx val="2"/>
              <c:layout>
                <c:manualLayout>
                  <c:x val="-3.7016423246230049E-3"/>
                  <c:y val="2.9016358420313741E-2"/>
                </c:manualLayout>
              </c:layout>
              <c:showLegendKey val="0"/>
              <c:showVal val="1"/>
              <c:showCatName val="0"/>
              <c:showSerName val="0"/>
              <c:showPercent val="0"/>
              <c:showBubbleSize val="0"/>
              <c:extLst>
                <c:ext xmlns:c15="http://schemas.microsoft.com/office/drawing/2012/chart" uri="{CE6537A1-D6FC-4f65-9D91-7224C49458BB}"/>
              </c:extLst>
            </c:dLbl>
            <c:dLbl>
              <c:idx val="3"/>
              <c:layout>
                <c:manualLayout>
                  <c:x val="-2.0915114694328549E-3"/>
                  <c:y val="1.5180262630496424E-2"/>
                </c:manualLayout>
              </c:layout>
              <c:showLegendKey val="0"/>
              <c:showVal val="1"/>
              <c:showCatName val="0"/>
              <c:showSerName val="0"/>
              <c:showPercent val="0"/>
              <c:showBubbleSize val="0"/>
              <c:extLst>
                <c:ext xmlns:c15="http://schemas.microsoft.com/office/drawing/2012/chart" uri="{CE6537A1-D6FC-4f65-9D91-7224C49458BB}"/>
              </c:extLst>
            </c:dLbl>
            <c:dLbl>
              <c:idx val="4"/>
              <c:layout>
                <c:manualLayout>
                  <c:x val="-3.5414751086537406E-3"/>
                  <c:y val="2.1640318216036829E-2"/>
                </c:manualLayout>
              </c:layout>
              <c:showLegendKey val="0"/>
              <c:showVal val="1"/>
              <c:showCatName val="0"/>
              <c:showSerName val="0"/>
              <c:showPercent val="0"/>
              <c:showBubbleSize val="0"/>
              <c:extLst>
                <c:ext xmlns:c15="http://schemas.microsoft.com/office/drawing/2012/chart" uri="{CE6537A1-D6FC-4f65-9D91-7224C49458BB}"/>
              </c:extLst>
            </c:dLbl>
            <c:spPr>
              <a:noFill/>
              <a:ln>
                <a:noFill/>
              </a:ln>
              <a:effectLst/>
            </c:spPr>
            <c:txPr>
              <a:bodyPr rot="-5400000" spcFirstLastPara="1" vertOverflow="ellipsis" wrap="square" lIns="38100" tIns="19050" rIns="38100" bIns="19050" anchor="ctr" anchorCtr="1">
                <a:spAutoFit/>
              </a:bodyPr>
              <a:lstStyle/>
              <a:p>
                <a:pPr>
                  <a:defRPr sz="800" b="1" i="0" u="none" strike="noStrike" kern="1200" baseline="0">
                    <a:solidFill>
                      <a:srgbClr val="C00000"/>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'Kompozimi '!$B$14:$F$14</c:f>
              <c:strCache>
                <c:ptCount val="5"/>
                <c:pt idx="0">
                  <c:v>2016</c:v>
                </c:pt>
                <c:pt idx="1">
                  <c:v>2017</c:v>
                </c:pt>
                <c:pt idx="2">
                  <c:v>2018</c:v>
                </c:pt>
                <c:pt idx="3">
                  <c:v>2019</c:v>
                </c:pt>
                <c:pt idx="4">
                  <c:v>Mars 2020</c:v>
                </c:pt>
              </c:strCache>
            </c:strRef>
          </c:cat>
          <c:val>
            <c:numRef>
              <c:f>'Kompozimi '!$B$17:$F$17</c:f>
              <c:numCache>
                <c:formatCode>0.0%</c:formatCode>
                <c:ptCount val="5"/>
                <c:pt idx="0">
                  <c:v>0.11971156343127334</c:v>
                </c:pt>
                <c:pt idx="1">
                  <c:v>0.136090242664443</c:v>
                </c:pt>
                <c:pt idx="2">
                  <c:v>0.12317436165022319</c:v>
                </c:pt>
                <c:pt idx="3">
                  <c:v>0.11790273355684378</c:v>
                </c:pt>
                <c:pt idx="4">
                  <c:v>0.12070355177308997</c:v>
                </c:pt>
              </c:numCache>
            </c:numRef>
          </c:val>
          <c:extLst/>
        </c:ser>
        <c:ser>
          <c:idx val="3"/>
          <c:order val="3"/>
          <c:tx>
            <c:strRef>
              <c:f>'Kompozimi '!$A$18</c:f>
              <c:strCache>
                <c:ptCount val="1"/>
                <c:pt idx="0">
                  <c:v>Garanci</c:v>
                </c:pt>
              </c:strCache>
            </c:strRef>
          </c:tx>
          <c:spPr>
            <a:solidFill>
              <a:schemeClr val="bg1">
                <a:lumMod val="50000"/>
              </a:schemeClr>
            </a:solidFill>
            <a:ln>
              <a:noFill/>
            </a:ln>
            <a:effectLst/>
          </c:spPr>
          <c:invertIfNegative val="0"/>
          <c:dLbls>
            <c:dLbl>
              <c:idx val="0"/>
              <c:layout>
                <c:manualLayout>
                  <c:x val="-3.2085785421293863E-4"/>
                  <c:y val="1.828572300555454E-2"/>
                </c:manualLayout>
              </c:layout>
              <c:showLegendKey val="0"/>
              <c:showVal val="1"/>
              <c:showCatName val="0"/>
              <c:showSerName val="0"/>
              <c:showPercent val="0"/>
              <c:showBubbleSize val="0"/>
              <c:extLst xmlns:c15="http://schemas.microsoft.com/office/drawing/2012/chart">
                <c:ext xmlns:c15="http://schemas.microsoft.com/office/drawing/2012/chart" uri="{CE6537A1-D6FC-4f65-9D91-7224C49458BB}"/>
              </c:extLst>
            </c:dLbl>
            <c:dLbl>
              <c:idx val="1"/>
              <c:layout>
                <c:manualLayout>
                  <c:x val="-4.0622915017834678E-17"/>
                  <c:y val="6.4599483204134363E-3"/>
                </c:manualLayout>
              </c:layout>
              <c:showLegendKey val="0"/>
              <c:showVal val="1"/>
              <c:showCatName val="0"/>
              <c:showSerName val="0"/>
              <c:showPercent val="0"/>
              <c:showBubbleSize val="0"/>
              <c:extLst>
                <c:ext xmlns:c15="http://schemas.microsoft.com/office/drawing/2012/chart" uri="{CE6537A1-D6FC-4f65-9D91-7224C49458BB}"/>
              </c:extLst>
            </c:dLbl>
            <c:dLbl>
              <c:idx val="2"/>
              <c:layout>
                <c:manualLayout>
                  <c:x val="-2.2519370986006245E-3"/>
                  <c:y val="2.8100266536450268E-2"/>
                </c:manualLayout>
              </c:layout>
              <c:showLegendKey val="0"/>
              <c:showVal val="1"/>
              <c:showCatName val="0"/>
              <c:showSerName val="0"/>
              <c:showPercent val="0"/>
              <c:showBubbleSize val="0"/>
              <c:extLst>
                <c:ext xmlns:c15="http://schemas.microsoft.com/office/drawing/2012/chart" uri="{CE6537A1-D6FC-4f65-9D91-7224C49458BB}"/>
              </c:extLst>
            </c:dLbl>
            <c:dLbl>
              <c:idx val="3"/>
              <c:layout>
                <c:manualLayout>
                  <c:x val="-3.2085785421293863E-4"/>
                  <c:y val="1.828572300555454E-2"/>
                </c:manualLayout>
              </c:layout>
              <c:showLegendKey val="0"/>
              <c:showVal val="1"/>
              <c:showCatName val="0"/>
              <c:showSerName val="0"/>
              <c:showPercent val="0"/>
              <c:showBubbleSize val="0"/>
              <c:extLst>
                <c:ext xmlns:c15="http://schemas.microsoft.com/office/drawing/2012/chart" uri="{CE6537A1-D6FC-4f65-9D91-7224C49458BB}"/>
              </c:extLst>
            </c:dLbl>
            <c:dLbl>
              <c:idx val="4"/>
              <c:layout>
                <c:manualLayout>
                  <c:x val="-2.2519370986007056E-3"/>
                  <c:y val="2.1640318216036947E-2"/>
                </c:manualLayout>
              </c:layout>
              <c:showLegendKey val="0"/>
              <c:showVal val="1"/>
              <c:showCatName val="0"/>
              <c:showSerName val="0"/>
              <c:showPercent val="0"/>
              <c:showBubbleSize val="0"/>
              <c:extLst>
                <c:ext xmlns:c15="http://schemas.microsoft.com/office/drawing/2012/chart" uri="{CE6537A1-D6FC-4f65-9D91-7224C49458BB}"/>
              </c:extLst>
            </c:dLbl>
            <c:spPr>
              <a:noFill/>
              <a:ln>
                <a:noFill/>
              </a:ln>
              <a:effectLst/>
            </c:spPr>
            <c:txPr>
              <a:bodyPr rot="-5400000" spcFirstLastPara="1" vertOverflow="ellipsis" wrap="square" lIns="38100" tIns="19050" rIns="38100" bIns="19050" anchor="ctr" anchorCtr="1">
                <a:spAutoFit/>
              </a:bodyPr>
              <a:lstStyle/>
              <a:p>
                <a:pPr>
                  <a:defRPr sz="800" b="1" i="0" u="none" strike="noStrike" kern="1200" baseline="0">
                    <a:solidFill>
                      <a:sysClr val="windowText" lastClr="000000"/>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'Kompozimi '!$B$14:$F$14</c:f>
              <c:strCache>
                <c:ptCount val="5"/>
                <c:pt idx="0">
                  <c:v>2016</c:v>
                </c:pt>
                <c:pt idx="1">
                  <c:v>2017</c:v>
                </c:pt>
                <c:pt idx="2">
                  <c:v>2018</c:v>
                </c:pt>
                <c:pt idx="3">
                  <c:v>2019</c:v>
                </c:pt>
                <c:pt idx="4">
                  <c:v>Mars 2020</c:v>
                </c:pt>
              </c:strCache>
            </c:strRef>
          </c:cat>
          <c:val>
            <c:numRef>
              <c:f>'Kompozimi '!$B$18:$F$18</c:f>
              <c:numCache>
                <c:formatCode>0.0%</c:formatCode>
                <c:ptCount val="5"/>
                <c:pt idx="0">
                  <c:v>5.0128872716616181E-2</c:v>
                </c:pt>
                <c:pt idx="1">
                  <c:v>4.5843210333488496E-2</c:v>
                </c:pt>
                <c:pt idx="2">
                  <c:v>4.0343809343843788E-2</c:v>
                </c:pt>
                <c:pt idx="3">
                  <c:v>3.7616232088568298E-2</c:v>
                </c:pt>
                <c:pt idx="4">
                  <c:v>3.7849799946851136E-2</c:v>
                </c:pt>
              </c:numCache>
            </c:numRef>
          </c:val>
          <c:extLst/>
        </c:ser>
        <c:ser>
          <c:idx val="4"/>
          <c:order val="4"/>
          <c:tx>
            <c:strRef>
              <c:f>'Kompozimi '!$A$19</c:f>
              <c:strCache>
                <c:ptCount val="1"/>
                <c:pt idx="0">
                  <c:v>Borxhi i Pushtetit Lokal</c:v>
                </c:pt>
              </c:strCache>
            </c:strRef>
          </c:tx>
          <c:spPr>
            <a:solidFill>
              <a:schemeClr val="accent6">
                <a:lumMod val="75000"/>
              </a:schemeClr>
            </a:solidFill>
            <a:ln>
              <a:noFill/>
            </a:ln>
            <a:effectLst/>
          </c:spPr>
          <c:invertIfNegative val="0"/>
          <c:dLbls>
            <c:dLbl>
              <c:idx val="0"/>
              <c:layout>
                <c:manualLayout>
                  <c:x val="2.9336073739730018E-3"/>
                  <c:y val="1.2919896640826873E-2"/>
                </c:manualLayout>
              </c:layout>
              <c:showLegendKey val="0"/>
              <c:showVal val="1"/>
              <c:showCatName val="0"/>
              <c:showSerName val="0"/>
              <c:showPercent val="0"/>
              <c:showBubbleSize val="0"/>
              <c:extLst>
                <c:ext xmlns:c15="http://schemas.microsoft.com/office/drawing/2012/chart" uri="{CE6537A1-D6FC-4f65-9D91-7224C49458BB}"/>
              </c:extLst>
            </c:dLbl>
            <c:dLbl>
              <c:idx val="1"/>
              <c:layout>
                <c:manualLayout>
                  <c:x val="4.400411060959503E-3"/>
                  <c:y val="2.2320393090398585E-2"/>
                </c:manualLayout>
              </c:layout>
              <c:showLegendKey val="0"/>
              <c:showVal val="1"/>
              <c:showCatName val="0"/>
              <c:showSerName val="0"/>
              <c:showPercent val="0"/>
              <c:showBubbleSize val="0"/>
              <c:extLst>
                <c:ext xmlns:c15="http://schemas.microsoft.com/office/drawing/2012/chart" uri="{CE6537A1-D6FC-4f65-9D91-7224C49458BB}"/>
              </c:extLst>
            </c:dLbl>
            <c:dLbl>
              <c:idx val="2"/>
              <c:layout>
                <c:manualLayout>
                  <c:x val="2.9336270348283896E-3"/>
                  <c:y val="9.4007015736182267E-3"/>
                </c:manualLayout>
              </c:layout>
              <c:showLegendKey val="0"/>
              <c:showVal val="1"/>
              <c:showCatName val="0"/>
              <c:showSerName val="0"/>
              <c:showPercent val="0"/>
              <c:showBubbleSize val="0"/>
              <c:extLst>
                <c:ext xmlns:c15="http://schemas.microsoft.com/office/drawing/2012/chart" uri="{CE6537A1-D6FC-4f65-9D91-7224C49458BB}"/>
              </c:extLst>
            </c:dLbl>
            <c:dLbl>
              <c:idx val="3"/>
              <c:layout>
                <c:manualLayout>
                  <c:x val="0"/>
                  <c:y val="1.9187063826324034E-2"/>
                </c:manualLayout>
              </c:layout>
              <c:showLegendKey val="0"/>
              <c:showVal val="1"/>
              <c:showCatName val="0"/>
              <c:showSerName val="0"/>
              <c:showPercent val="0"/>
              <c:showBubbleSize val="0"/>
              <c:extLst>
                <c:ext xmlns:c15="http://schemas.microsoft.com/office/drawing/2012/chart" uri="{CE6537A1-D6FC-4f65-9D91-7224C49458BB}"/>
              </c:extLst>
            </c:dLbl>
            <c:dLbl>
              <c:idx val="4"/>
              <c:layout>
                <c:manualLayout>
                  <c:x val="0"/>
                  <c:y val="1.5860444769985146E-2"/>
                </c:manualLayout>
              </c:layout>
              <c:showLegendKey val="0"/>
              <c:showVal val="1"/>
              <c:showCatName val="0"/>
              <c:showSerName val="0"/>
              <c:showPercent val="0"/>
              <c:showBubbleSize val="0"/>
              <c:extLst>
                <c:ext xmlns:c15="http://schemas.microsoft.com/office/drawing/2012/chart" uri="{CE6537A1-D6FC-4f65-9D91-7224C49458BB}"/>
              </c:extLst>
            </c:dLbl>
            <c:spPr>
              <a:noFill/>
              <a:ln>
                <a:noFill/>
              </a:ln>
              <a:effectLst/>
            </c:spPr>
            <c:txPr>
              <a:bodyPr rot="-5400000" spcFirstLastPara="1" vertOverflow="ellipsis" wrap="square" lIns="38100" tIns="19050" rIns="38100" bIns="19050" anchor="ctr" anchorCtr="1">
                <a:spAutoFit/>
              </a:bodyPr>
              <a:lstStyle/>
              <a:p>
                <a:pPr>
                  <a:defRPr sz="800" b="1" i="0" u="none" strike="noStrike" kern="1200" baseline="0">
                    <a:solidFill>
                      <a:schemeClr val="accent6">
                        <a:lumMod val="7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'Kompozimi '!$B$14:$F$14</c:f>
              <c:strCache>
                <c:ptCount val="5"/>
                <c:pt idx="0">
                  <c:v>2016</c:v>
                </c:pt>
                <c:pt idx="1">
                  <c:v>2017</c:v>
                </c:pt>
                <c:pt idx="2">
                  <c:v>2018</c:v>
                </c:pt>
                <c:pt idx="3">
                  <c:v>2019</c:v>
                </c:pt>
                <c:pt idx="4">
                  <c:v>Mars 2020</c:v>
                </c:pt>
              </c:strCache>
            </c:strRef>
          </c:cat>
          <c:val>
            <c:numRef>
              <c:f>'Kompozimi '!$B$19:$F$19</c:f>
              <c:numCache>
                <c:formatCode>0.0%</c:formatCode>
                <c:ptCount val="5"/>
                <c:pt idx="0">
                  <c:v>8.4505046260183344E-4</c:v>
                </c:pt>
                <c:pt idx="1">
                  <c:v>7.604147410120197E-4</c:v>
                </c:pt>
                <c:pt idx="2">
                  <c:v>6.4631961024783937E-4</c:v>
                </c:pt>
                <c:pt idx="3">
                  <c:v>5.2282736488029971E-4</c:v>
                </c:pt>
                <c:pt idx="4">
                  <c:v>4.7001453989348153E-4</c:v>
                </c:pt>
              </c:numCache>
            </c:numRef>
          </c:val>
        </c:ser>
        <c:dLbls>
          <c:showLegendKey val="0"/>
          <c:showVal val="0"/>
          <c:showCatName val="0"/>
          <c:showSerName val="0"/>
          <c:showPercent val="0"/>
          <c:showBubbleSize val="0"/>
        </c:dLbls>
        <c:gapWidth val="118"/>
        <c:axId val="-1749747344"/>
        <c:axId val="-1749751152"/>
      </c:barChart>
      <c:catAx>
        <c:axId val="-1749747344"/>
        <c:scaling>
          <c:orientation val="minMax"/>
        </c:scaling>
        <c:delete val="0"/>
        <c:axPos val="b"/>
        <c:numFmt formatCode="General" sourceLinked="1"/>
        <c:majorTickMark val="none"/>
        <c:minorTickMark val="none"/>
        <c:tickLblPos val="nextTo"/>
        <c:spPr>
          <a:noFill/>
          <a:ln w="9525" cap="flat" cmpd="sng" algn="ctr">
            <a:solidFill>
              <a:schemeClr val="tx1"/>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en-US"/>
          </a:p>
        </c:txPr>
        <c:crossAx val="-1749751152"/>
        <c:crosses val="autoZero"/>
        <c:auto val="1"/>
        <c:lblAlgn val="ctr"/>
        <c:lblOffset val="100"/>
        <c:noMultiLvlLbl val="0"/>
      </c:catAx>
      <c:valAx>
        <c:axId val="-1749751152"/>
        <c:scaling>
          <c:orientation val="minMax"/>
          <c:max val="0.8"/>
        </c:scaling>
        <c:delete val="0"/>
        <c:axPos val="l"/>
        <c:numFmt formatCode="0%" sourceLinked="0"/>
        <c:majorTickMark val="none"/>
        <c:minorTickMark val="none"/>
        <c:tickLblPos val="nextTo"/>
        <c:spPr>
          <a:noFill/>
          <a:ln>
            <a:solidFill>
              <a:schemeClr val="tx1"/>
            </a:solid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en-US"/>
          </a:p>
        </c:txPr>
        <c:crossAx val="-1749747344"/>
        <c:crosses val="autoZero"/>
        <c:crossBetween val="between"/>
        <c:majorUnit val="0.2"/>
      </c:valAx>
      <c:spPr>
        <a:noFill/>
        <a:ln>
          <a:noFill/>
        </a:ln>
        <a:effectLst/>
      </c:spPr>
    </c:plotArea>
    <c:legend>
      <c:legendPos val="b"/>
      <c:layout>
        <c:manualLayout>
          <c:xMode val="edge"/>
          <c:yMode val="edge"/>
          <c:x val="7.005204562148544E-2"/>
          <c:y val="0.87312428051756685"/>
          <c:w val="0.8889250609826207"/>
          <c:h val="0.1250264231537053"/>
        </c:manualLayout>
      </c:layout>
      <c:overlay val="0"/>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en-US"/>
        </a:p>
      </c:txPr>
    </c:legend>
    <c:plotVisOnly val="1"/>
    <c:dispBlanksAs val="gap"/>
    <c:showDLblsOverMax val="0"/>
  </c:chart>
  <c:spPr>
    <a:solidFill>
      <a:schemeClr val="bg1"/>
    </a:solidFill>
    <a:ln w="6350" cap="flat" cmpd="sng" algn="ctr">
      <a:solidFill>
        <a:schemeClr val="bg1">
          <a:lumMod val="75000"/>
        </a:schemeClr>
      </a:solidFill>
      <a:round/>
    </a:ln>
    <a:effectLst/>
  </c:spPr>
  <c:txPr>
    <a:bodyPr/>
    <a:lstStyle/>
    <a:p>
      <a:pPr>
        <a:defRPr/>
      </a:pPr>
      <a:endParaRPr lang="en-US"/>
    </a:p>
  </c:txPr>
  <c:externalData r:id="rId2">
    <c:autoUpdate val="0"/>
  </c:externalData>
</c:chartSpace>
</file>

<file path=word/charts/chart2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8.4149618778320626E-2"/>
          <c:y val="5.0925925925925923E-2"/>
          <c:w val="0.88937625868155079"/>
          <c:h val="0.72782408296523904"/>
        </c:manualLayout>
      </c:layout>
      <c:barChart>
        <c:barDir val="col"/>
        <c:grouping val="stacked"/>
        <c:varyColors val="0"/>
        <c:ser>
          <c:idx val="0"/>
          <c:order val="0"/>
          <c:tx>
            <c:strRef>
              <c:f>'Kompozimi '!$A$46</c:f>
              <c:strCache>
                <c:ptCount val="1"/>
                <c:pt idx="0">
                  <c:v>Tituj Shtetërorë Vendas</c:v>
                </c:pt>
              </c:strCache>
            </c:strRef>
          </c:tx>
          <c:spPr>
            <a:solidFill>
              <a:srgbClr val="5B9BD5"/>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800" b="1" i="0" u="none" strike="noStrike" kern="1200" baseline="0">
                    <a:solidFill>
                      <a:sysClr val="windowText" lastClr="000000"/>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'Kompozimi '!$B$45:$F$45</c:f>
              <c:strCache>
                <c:ptCount val="5"/>
                <c:pt idx="0">
                  <c:v>2016</c:v>
                </c:pt>
                <c:pt idx="1">
                  <c:v>2017</c:v>
                </c:pt>
                <c:pt idx="2">
                  <c:v>2018</c:v>
                </c:pt>
                <c:pt idx="3">
                  <c:v>2019</c:v>
                </c:pt>
                <c:pt idx="4">
                  <c:v>Mars 2020</c:v>
                </c:pt>
              </c:strCache>
            </c:strRef>
          </c:cat>
          <c:val>
            <c:numRef>
              <c:f>'Kompozimi '!$B$46:$F$46</c:f>
              <c:numCache>
                <c:formatCode>0.0%</c:formatCode>
                <c:ptCount val="5"/>
                <c:pt idx="0">
                  <c:v>0.52441471617272073</c:v>
                </c:pt>
                <c:pt idx="1">
                  <c:v>0.52719188125054073</c:v>
                </c:pt>
                <c:pt idx="2">
                  <c:v>0.53215391762800057</c:v>
                </c:pt>
                <c:pt idx="3">
                  <c:v>0.54395463759693086</c:v>
                </c:pt>
                <c:pt idx="4">
                  <c:v>0.53045761257889368</c:v>
                </c:pt>
              </c:numCache>
            </c:numRef>
          </c:val>
        </c:ser>
        <c:ser>
          <c:idx val="1"/>
          <c:order val="1"/>
          <c:tx>
            <c:strRef>
              <c:f>'Kompozimi '!$A$47</c:f>
              <c:strCache>
                <c:ptCount val="1"/>
                <c:pt idx="0">
                  <c:v>Tituj Ndërkombëtarë</c:v>
                </c:pt>
              </c:strCache>
            </c:strRef>
          </c:tx>
          <c:spPr>
            <a:solidFill>
              <a:srgbClr val="C00000"/>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800" b="1" i="0" u="none" strike="noStrike" kern="1200" baseline="0">
                    <a:solidFill>
                      <a:sysClr val="windowText" lastClr="000000"/>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'Kompozimi '!$B$45:$F$45</c:f>
              <c:strCache>
                <c:ptCount val="5"/>
                <c:pt idx="0">
                  <c:v>2016</c:v>
                </c:pt>
                <c:pt idx="1">
                  <c:v>2017</c:v>
                </c:pt>
                <c:pt idx="2">
                  <c:v>2018</c:v>
                </c:pt>
                <c:pt idx="3">
                  <c:v>2019</c:v>
                </c:pt>
                <c:pt idx="4">
                  <c:v>Mars 2020</c:v>
                </c:pt>
              </c:strCache>
            </c:strRef>
          </c:cat>
          <c:val>
            <c:numRef>
              <c:f>'Kompozimi '!$B$47:$F$47</c:f>
              <c:numCache>
                <c:formatCode>0.0%</c:formatCode>
                <c:ptCount val="5"/>
                <c:pt idx="0">
                  <c:v>6.0117569616085005E-2</c:v>
                </c:pt>
                <c:pt idx="1">
                  <c:v>5.766746724111086E-2</c:v>
                </c:pt>
                <c:pt idx="2">
                  <c:v>8.7169490773194941E-2</c:v>
                </c:pt>
                <c:pt idx="3">
                  <c:v>8.5337538486562989E-2</c:v>
                </c:pt>
                <c:pt idx="4">
                  <c:v>8.7664408142974895E-2</c:v>
                </c:pt>
              </c:numCache>
            </c:numRef>
          </c:val>
        </c:ser>
        <c:ser>
          <c:idx val="2"/>
          <c:order val="2"/>
          <c:tx>
            <c:strRef>
              <c:f>'Kompozimi '!$A$48</c:f>
              <c:strCache>
                <c:ptCount val="1"/>
                <c:pt idx="0">
                  <c:v>Hua (terma konsesionale)</c:v>
                </c:pt>
              </c:strCache>
            </c:strRef>
          </c:tx>
          <c:spPr>
            <a:solidFill>
              <a:schemeClr val="bg1">
                <a:lumMod val="50000"/>
              </a:schemeClr>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800" b="1" i="0" u="none" strike="noStrike" kern="1200" baseline="0">
                    <a:solidFill>
                      <a:sysClr val="windowText" lastClr="000000"/>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'Kompozimi '!$B$45:$F$45</c:f>
              <c:strCache>
                <c:ptCount val="5"/>
                <c:pt idx="0">
                  <c:v>2016</c:v>
                </c:pt>
                <c:pt idx="1">
                  <c:v>2017</c:v>
                </c:pt>
                <c:pt idx="2">
                  <c:v>2018</c:v>
                </c:pt>
                <c:pt idx="3">
                  <c:v>2019</c:v>
                </c:pt>
                <c:pt idx="4">
                  <c:v>Mars 2020</c:v>
                </c:pt>
              </c:strCache>
            </c:strRef>
          </c:cat>
          <c:val>
            <c:numRef>
              <c:f>'Kompozimi '!$B$48:$F$48</c:f>
              <c:numCache>
                <c:formatCode>0.0%</c:formatCode>
                <c:ptCount val="5"/>
                <c:pt idx="0">
                  <c:v>0.23837070574414806</c:v>
                </c:pt>
                <c:pt idx="1">
                  <c:v>0.23874347488201014</c:v>
                </c:pt>
                <c:pt idx="2">
                  <c:v>0.21839607793539587</c:v>
                </c:pt>
                <c:pt idx="3">
                  <c:v>0.21027132013156263</c:v>
                </c:pt>
                <c:pt idx="4">
                  <c:v>0.21633775407677228</c:v>
                </c:pt>
              </c:numCache>
            </c:numRef>
          </c:val>
        </c:ser>
        <c:ser>
          <c:idx val="3"/>
          <c:order val="3"/>
          <c:tx>
            <c:strRef>
              <c:f>'Kompozimi '!$A$49</c:f>
              <c:strCache>
                <c:ptCount val="1"/>
                <c:pt idx="0">
                  <c:v>Hua (terma jo-konsesionale)</c:v>
                </c:pt>
              </c:strCache>
            </c:strRef>
          </c:tx>
          <c:spPr>
            <a:solidFill>
              <a:schemeClr val="accent6"/>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800" b="1" i="0" u="none" strike="noStrike" kern="1200" baseline="0">
                    <a:solidFill>
                      <a:sysClr val="windowText" lastClr="000000"/>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'Kompozimi '!$B$45:$F$45</c:f>
              <c:strCache>
                <c:ptCount val="5"/>
                <c:pt idx="0">
                  <c:v>2016</c:v>
                </c:pt>
                <c:pt idx="1">
                  <c:v>2017</c:v>
                </c:pt>
                <c:pt idx="2">
                  <c:v>2018</c:v>
                </c:pt>
                <c:pt idx="3">
                  <c:v>2019</c:v>
                </c:pt>
                <c:pt idx="4">
                  <c:v>Mars 2020</c:v>
                </c:pt>
              </c:strCache>
            </c:strRef>
          </c:cat>
          <c:val>
            <c:numRef>
              <c:f>'Kompozimi '!$B$49:$F$49</c:f>
              <c:numCache>
                <c:formatCode>0.0%</c:formatCode>
                <c:ptCount val="5"/>
                <c:pt idx="0">
                  <c:v>0.17709700846704618</c:v>
                </c:pt>
                <c:pt idx="1">
                  <c:v>0.17639717662633841</c:v>
                </c:pt>
                <c:pt idx="2">
                  <c:v>0.16228051366340859</c:v>
                </c:pt>
                <c:pt idx="3">
                  <c:v>0.16043650378494348</c:v>
                </c:pt>
                <c:pt idx="4">
                  <c:v>0.16554022520135903</c:v>
                </c:pt>
              </c:numCache>
            </c:numRef>
          </c:val>
        </c:ser>
        <c:dLbls>
          <c:showLegendKey val="0"/>
          <c:showVal val="0"/>
          <c:showCatName val="0"/>
          <c:showSerName val="0"/>
          <c:showPercent val="0"/>
          <c:showBubbleSize val="0"/>
        </c:dLbls>
        <c:gapWidth val="250"/>
        <c:overlap val="100"/>
        <c:axId val="-1749763120"/>
        <c:axId val="-1749748976"/>
      </c:barChart>
      <c:catAx>
        <c:axId val="-1749763120"/>
        <c:scaling>
          <c:orientation val="minMax"/>
        </c:scaling>
        <c:delete val="0"/>
        <c:axPos val="b"/>
        <c:numFmt formatCode="General" sourceLinked="1"/>
        <c:majorTickMark val="none"/>
        <c:minorTickMark val="none"/>
        <c:tickLblPos val="nextTo"/>
        <c:spPr>
          <a:noFill/>
          <a:ln w="9525" cap="flat" cmpd="sng" algn="ctr">
            <a:solidFill>
              <a:schemeClr val="tx1"/>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en-US"/>
          </a:p>
        </c:txPr>
        <c:crossAx val="-1749748976"/>
        <c:crosses val="autoZero"/>
        <c:auto val="1"/>
        <c:lblAlgn val="ctr"/>
        <c:lblOffset val="100"/>
        <c:noMultiLvlLbl val="0"/>
      </c:catAx>
      <c:valAx>
        <c:axId val="-1749748976"/>
        <c:scaling>
          <c:orientation val="minMax"/>
          <c:max val="1"/>
          <c:min val="0"/>
        </c:scaling>
        <c:delete val="0"/>
        <c:axPos val="l"/>
        <c:numFmt formatCode="0%" sourceLinked="0"/>
        <c:majorTickMark val="none"/>
        <c:minorTickMark val="none"/>
        <c:tickLblPos val="nextTo"/>
        <c:spPr>
          <a:noFill/>
          <a:ln>
            <a:solidFill>
              <a:schemeClr val="tx1"/>
            </a:solid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en-US"/>
          </a:p>
        </c:txPr>
        <c:crossAx val="-1749763120"/>
        <c:crosses val="autoZero"/>
        <c:crossBetween val="between"/>
        <c:majorUnit val="0.2"/>
      </c:valAx>
      <c:spPr>
        <a:noFill/>
        <a:ln>
          <a:noFill/>
        </a:ln>
        <a:effectLst/>
      </c:spPr>
    </c:plotArea>
    <c:legend>
      <c:legendPos val="b"/>
      <c:layout>
        <c:manualLayout>
          <c:xMode val="edge"/>
          <c:yMode val="edge"/>
          <c:x val="7.5642021038085955E-2"/>
          <c:y val="0.9098551095747176"/>
          <c:w val="0.90231195618606619"/>
          <c:h val="9.0144890425282218E-2"/>
        </c:manualLayout>
      </c:layout>
      <c:overlay val="0"/>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en-US"/>
        </a:p>
      </c:txPr>
    </c:legend>
    <c:plotVisOnly val="1"/>
    <c:dispBlanksAs val="gap"/>
    <c:showDLblsOverMax val="0"/>
  </c:chart>
  <c:spPr>
    <a:solidFill>
      <a:schemeClr val="bg1"/>
    </a:solidFill>
    <a:ln w="6350" cap="flat" cmpd="sng" algn="ctr">
      <a:solidFill>
        <a:schemeClr val="bg1">
          <a:lumMod val="75000"/>
        </a:schemeClr>
      </a:solidFill>
      <a:round/>
    </a:ln>
    <a:effectLst/>
  </c:spPr>
  <c:txPr>
    <a:bodyPr/>
    <a:lstStyle/>
    <a:p>
      <a:pPr>
        <a:defRPr/>
      </a:pPr>
      <a:endParaRPr lang="en-US"/>
    </a:p>
  </c:txPr>
  <c:externalData r:id="rId2">
    <c:autoUpdate val="0"/>
  </c:externalData>
</c:chartSpace>
</file>

<file path=word/charts/chart23.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12333867049729716"/>
          <c:y val="6.0719187624482716E-2"/>
          <c:w val="0.83284535658894066"/>
          <c:h val="0.72055551542295748"/>
        </c:manualLayout>
      </c:layout>
      <c:barChart>
        <c:barDir val="col"/>
        <c:grouping val="stacked"/>
        <c:varyColors val="0"/>
        <c:ser>
          <c:idx val="0"/>
          <c:order val="0"/>
          <c:tx>
            <c:strRef>
              <c:f>'BB sipas titujve'!$A$21</c:f>
              <c:strCache>
                <c:ptCount val="1"/>
                <c:pt idx="0">
                  <c:v>Deri në 1 vit</c:v>
                </c:pt>
              </c:strCache>
            </c:strRef>
          </c:tx>
          <c:spPr>
            <a:solidFill>
              <a:srgbClr val="5B9BD5"/>
            </a:solidFill>
            <a:ln>
              <a:noFill/>
            </a:ln>
            <a:effectLst/>
          </c:spPr>
          <c:invertIfNegative val="0"/>
          <c:dLbls>
            <c:numFmt formatCode="0.0%" sourceLinked="0"/>
            <c:spPr>
              <a:noFill/>
              <a:ln>
                <a:noFill/>
              </a:ln>
              <a:effectLst/>
            </c:spPr>
            <c:txPr>
              <a:bodyPr rot="0" spcFirstLastPara="1" vertOverflow="ellipsis" vert="horz" wrap="square" lIns="38100" tIns="19050" rIns="38100" bIns="19050" anchor="ctr" anchorCtr="1">
                <a:spAutoFit/>
              </a:bodyPr>
              <a:lstStyle/>
              <a:p>
                <a:pPr>
                  <a:defRPr sz="800" b="1" i="0" u="none" strike="noStrike" kern="1200" baseline="0">
                    <a:solidFill>
                      <a:sysClr val="windowText" lastClr="000000"/>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'BB sipas titujve'!$B$20:$F$20</c:f>
              <c:strCache>
                <c:ptCount val="5"/>
                <c:pt idx="0">
                  <c:v>2016</c:v>
                </c:pt>
                <c:pt idx="1">
                  <c:v>2017</c:v>
                </c:pt>
                <c:pt idx="2">
                  <c:v>2018</c:v>
                </c:pt>
                <c:pt idx="3">
                  <c:v>2019</c:v>
                </c:pt>
                <c:pt idx="4">
                  <c:v>Mars 2020</c:v>
                </c:pt>
              </c:strCache>
            </c:strRef>
          </c:cat>
          <c:val>
            <c:numRef>
              <c:f>'BB sipas titujve'!$B$21:$F$21</c:f>
              <c:numCache>
                <c:formatCode>0.0%</c:formatCode>
                <c:ptCount val="5"/>
                <c:pt idx="0">
                  <c:v>0.39448993948019762</c:v>
                </c:pt>
                <c:pt idx="1">
                  <c:v>0.35661495929817533</c:v>
                </c:pt>
                <c:pt idx="2">
                  <c:v>0.3442709566429682</c:v>
                </c:pt>
                <c:pt idx="3">
                  <c:v>0.33280782747200321</c:v>
                </c:pt>
                <c:pt idx="4">
                  <c:v>0.33305159446118804</c:v>
                </c:pt>
              </c:numCache>
            </c:numRef>
          </c:val>
        </c:ser>
        <c:ser>
          <c:idx val="1"/>
          <c:order val="1"/>
          <c:tx>
            <c:strRef>
              <c:f>'BB sipas titujve'!$A$22</c:f>
              <c:strCache>
                <c:ptCount val="1"/>
                <c:pt idx="0">
                  <c:v>1 deri në 3 vite</c:v>
                </c:pt>
              </c:strCache>
            </c:strRef>
          </c:tx>
          <c:spPr>
            <a:solidFill>
              <a:srgbClr val="C00000"/>
            </a:solidFill>
            <a:ln>
              <a:noFill/>
            </a:ln>
            <a:effectLst/>
          </c:spPr>
          <c:invertIfNegative val="0"/>
          <c:dLbls>
            <c:numFmt formatCode="0.0%" sourceLinked="0"/>
            <c:spPr>
              <a:noFill/>
              <a:ln>
                <a:noFill/>
              </a:ln>
              <a:effectLst/>
            </c:spPr>
            <c:txPr>
              <a:bodyPr rot="0" spcFirstLastPara="1" vertOverflow="ellipsis" vert="horz" wrap="square" lIns="38100" tIns="19050" rIns="38100" bIns="19050" anchor="ctr" anchorCtr="1">
                <a:spAutoFit/>
              </a:bodyPr>
              <a:lstStyle/>
              <a:p>
                <a:pPr>
                  <a:defRPr sz="800" b="1" i="0" u="none" strike="noStrike" kern="1200" baseline="0">
                    <a:solidFill>
                      <a:sysClr val="windowText" lastClr="000000"/>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'BB sipas titujve'!$B$20:$F$20</c:f>
              <c:strCache>
                <c:ptCount val="5"/>
                <c:pt idx="0">
                  <c:v>2016</c:v>
                </c:pt>
                <c:pt idx="1">
                  <c:v>2017</c:v>
                </c:pt>
                <c:pt idx="2">
                  <c:v>2018</c:v>
                </c:pt>
                <c:pt idx="3">
                  <c:v>2019</c:v>
                </c:pt>
                <c:pt idx="4">
                  <c:v>Mars 2020</c:v>
                </c:pt>
              </c:strCache>
            </c:strRef>
          </c:cat>
          <c:val>
            <c:numRef>
              <c:f>'BB sipas titujve'!$B$22:$F$22</c:f>
              <c:numCache>
                <c:formatCode>0.0%</c:formatCode>
                <c:ptCount val="5"/>
                <c:pt idx="0">
                  <c:v>0.21210635631980793</c:v>
                </c:pt>
                <c:pt idx="1">
                  <c:v>0.21967232831650157</c:v>
                </c:pt>
                <c:pt idx="2">
                  <c:v>0.211345530552463</c:v>
                </c:pt>
                <c:pt idx="3">
                  <c:v>0.19409928641828114</c:v>
                </c:pt>
                <c:pt idx="4">
                  <c:v>0.19675663582114808</c:v>
                </c:pt>
              </c:numCache>
            </c:numRef>
          </c:val>
        </c:ser>
        <c:ser>
          <c:idx val="2"/>
          <c:order val="2"/>
          <c:tx>
            <c:strRef>
              <c:f>'BB sipas titujve'!$A$23</c:f>
              <c:strCache>
                <c:ptCount val="1"/>
                <c:pt idx="0">
                  <c:v>3 deri në 5 vite</c:v>
                </c:pt>
              </c:strCache>
            </c:strRef>
          </c:tx>
          <c:spPr>
            <a:solidFill>
              <a:srgbClr val="ED7D31"/>
            </a:solidFill>
            <a:ln>
              <a:noFill/>
            </a:ln>
            <a:effectLst/>
          </c:spPr>
          <c:invertIfNegative val="0"/>
          <c:dLbls>
            <c:numFmt formatCode="0.0%" sourceLinked="0"/>
            <c:spPr>
              <a:noFill/>
              <a:ln>
                <a:noFill/>
              </a:ln>
              <a:effectLst/>
            </c:spPr>
            <c:txPr>
              <a:bodyPr rot="0" spcFirstLastPara="1" vertOverflow="ellipsis" vert="horz" wrap="square" lIns="38100" tIns="19050" rIns="38100" bIns="19050" anchor="ctr" anchorCtr="1">
                <a:spAutoFit/>
              </a:bodyPr>
              <a:lstStyle/>
              <a:p>
                <a:pPr>
                  <a:defRPr sz="800" b="1" i="0" u="none" strike="noStrike" kern="1200" baseline="0">
                    <a:solidFill>
                      <a:sysClr val="windowText" lastClr="000000"/>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'BB sipas titujve'!$B$20:$F$20</c:f>
              <c:strCache>
                <c:ptCount val="5"/>
                <c:pt idx="0">
                  <c:v>2016</c:v>
                </c:pt>
                <c:pt idx="1">
                  <c:v>2017</c:v>
                </c:pt>
                <c:pt idx="2">
                  <c:v>2018</c:v>
                </c:pt>
                <c:pt idx="3">
                  <c:v>2019</c:v>
                </c:pt>
                <c:pt idx="4">
                  <c:v>Mars 2020</c:v>
                </c:pt>
              </c:strCache>
            </c:strRef>
          </c:cat>
          <c:val>
            <c:numRef>
              <c:f>'BB sipas titujve'!$B$23:$F$23</c:f>
              <c:numCache>
                <c:formatCode>0.0%</c:formatCode>
                <c:ptCount val="5"/>
                <c:pt idx="0">
                  <c:v>0.18542036666349801</c:v>
                </c:pt>
                <c:pt idx="1">
                  <c:v>0.18854049117130847</c:v>
                </c:pt>
                <c:pt idx="2">
                  <c:v>0.17920198206823099</c:v>
                </c:pt>
                <c:pt idx="3">
                  <c:v>0.18478358708844891</c:v>
                </c:pt>
                <c:pt idx="4">
                  <c:v>0.18356638061150168</c:v>
                </c:pt>
              </c:numCache>
            </c:numRef>
          </c:val>
        </c:ser>
        <c:ser>
          <c:idx val="3"/>
          <c:order val="3"/>
          <c:tx>
            <c:strRef>
              <c:f>'BB sipas titujve'!$A$24</c:f>
              <c:strCache>
                <c:ptCount val="1"/>
                <c:pt idx="0">
                  <c:v>Mbi 5 vite</c:v>
                </c:pt>
              </c:strCache>
            </c:strRef>
          </c:tx>
          <c:spPr>
            <a:solidFill>
              <a:srgbClr val="FFC000"/>
            </a:solidFill>
            <a:ln>
              <a:noFill/>
            </a:ln>
            <a:effectLst/>
          </c:spPr>
          <c:invertIfNegative val="0"/>
          <c:dLbls>
            <c:numFmt formatCode="0.0%" sourceLinked="0"/>
            <c:spPr>
              <a:noFill/>
              <a:ln>
                <a:noFill/>
              </a:ln>
              <a:effectLst/>
            </c:spPr>
            <c:txPr>
              <a:bodyPr rot="0" spcFirstLastPara="1" vertOverflow="ellipsis" vert="horz" wrap="square" lIns="38100" tIns="19050" rIns="38100" bIns="19050" anchor="ctr" anchorCtr="1">
                <a:spAutoFit/>
              </a:bodyPr>
              <a:lstStyle/>
              <a:p>
                <a:pPr>
                  <a:defRPr sz="800" b="1" i="0" u="none" strike="noStrike" kern="1200" baseline="0">
                    <a:solidFill>
                      <a:sysClr val="windowText" lastClr="000000"/>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'BB sipas titujve'!$B$20:$F$20</c:f>
              <c:strCache>
                <c:ptCount val="5"/>
                <c:pt idx="0">
                  <c:v>2016</c:v>
                </c:pt>
                <c:pt idx="1">
                  <c:v>2017</c:v>
                </c:pt>
                <c:pt idx="2">
                  <c:v>2018</c:v>
                </c:pt>
                <c:pt idx="3">
                  <c:v>2019</c:v>
                </c:pt>
                <c:pt idx="4">
                  <c:v>Mars 2020</c:v>
                </c:pt>
              </c:strCache>
            </c:strRef>
          </c:cat>
          <c:val>
            <c:numRef>
              <c:f>'BB sipas titujve'!$B$24:$F$24</c:f>
              <c:numCache>
                <c:formatCode>0.0%</c:formatCode>
                <c:ptCount val="5"/>
                <c:pt idx="0">
                  <c:v>0.20798333753649637</c:v>
                </c:pt>
                <c:pt idx="1">
                  <c:v>0.23517222121401465</c:v>
                </c:pt>
                <c:pt idx="2">
                  <c:v>0.26518153073633771</c:v>
                </c:pt>
                <c:pt idx="3">
                  <c:v>0.28830929902126662</c:v>
                </c:pt>
                <c:pt idx="4">
                  <c:v>0.2866253891061622</c:v>
                </c:pt>
              </c:numCache>
            </c:numRef>
          </c:val>
        </c:ser>
        <c:dLbls>
          <c:showLegendKey val="0"/>
          <c:showVal val="0"/>
          <c:showCatName val="0"/>
          <c:showSerName val="0"/>
          <c:showPercent val="0"/>
          <c:showBubbleSize val="0"/>
        </c:dLbls>
        <c:gapWidth val="80"/>
        <c:overlap val="100"/>
        <c:axId val="-1749752784"/>
        <c:axId val="-1749753872"/>
      </c:barChart>
      <c:catAx>
        <c:axId val="-1749752784"/>
        <c:scaling>
          <c:orientation val="minMax"/>
        </c:scaling>
        <c:delete val="0"/>
        <c:axPos val="b"/>
        <c:numFmt formatCode="General" sourceLinked="1"/>
        <c:majorTickMark val="none"/>
        <c:minorTickMark val="none"/>
        <c:tickLblPos val="nextTo"/>
        <c:spPr>
          <a:noFill/>
          <a:ln w="9525" cap="flat" cmpd="sng" algn="ctr">
            <a:solidFill>
              <a:schemeClr val="tx1"/>
            </a:solidFill>
            <a:round/>
          </a:ln>
          <a:effectLst/>
        </c:spPr>
        <c:txPr>
          <a:bodyPr rot="-60000000" spcFirstLastPara="1" vertOverflow="ellipsis" vert="horz" wrap="square" anchor="ctr" anchorCtr="1"/>
          <a:lstStyle/>
          <a:p>
            <a:pPr>
              <a:defRPr sz="800" b="0" i="0" u="none" strike="noStrike" kern="1200" baseline="0">
                <a:solidFill>
                  <a:sysClr val="windowText" lastClr="000000"/>
                </a:solidFill>
                <a:latin typeface="+mn-lt"/>
                <a:ea typeface="+mn-ea"/>
                <a:cs typeface="+mn-cs"/>
              </a:defRPr>
            </a:pPr>
            <a:endParaRPr lang="en-US"/>
          </a:p>
        </c:txPr>
        <c:crossAx val="-1749753872"/>
        <c:crosses val="autoZero"/>
        <c:auto val="1"/>
        <c:lblAlgn val="ctr"/>
        <c:lblOffset val="100"/>
        <c:noMultiLvlLbl val="0"/>
      </c:catAx>
      <c:valAx>
        <c:axId val="-1749753872"/>
        <c:scaling>
          <c:orientation val="minMax"/>
          <c:max val="1"/>
        </c:scaling>
        <c:delete val="0"/>
        <c:axPos val="l"/>
        <c:numFmt formatCode="0%" sourceLinked="0"/>
        <c:majorTickMark val="none"/>
        <c:minorTickMark val="none"/>
        <c:tickLblPos val="nextTo"/>
        <c:spPr>
          <a:noFill/>
          <a:ln>
            <a:solidFill>
              <a:schemeClr val="tx1"/>
            </a:solidFill>
          </a:ln>
          <a:effectLst/>
        </c:spPr>
        <c:txPr>
          <a:bodyPr rot="-60000000" spcFirstLastPara="1" vertOverflow="ellipsis" vert="horz" wrap="square" anchor="ctr" anchorCtr="1"/>
          <a:lstStyle/>
          <a:p>
            <a:pPr>
              <a:defRPr sz="800" b="0" i="0" u="none" strike="noStrike" kern="1200" baseline="0">
                <a:solidFill>
                  <a:sysClr val="windowText" lastClr="000000"/>
                </a:solidFill>
                <a:latin typeface="+mn-lt"/>
                <a:ea typeface="+mn-ea"/>
                <a:cs typeface="+mn-cs"/>
              </a:defRPr>
            </a:pPr>
            <a:endParaRPr lang="en-US"/>
          </a:p>
        </c:txPr>
        <c:crossAx val="-1749752784"/>
        <c:crosses val="autoZero"/>
        <c:crossBetween val="between"/>
        <c:majorUnit val="0.2"/>
      </c:valAx>
      <c:spPr>
        <a:noFill/>
        <a:ln>
          <a:noFill/>
        </a:ln>
        <a:effectLst/>
      </c:spPr>
    </c:plotArea>
    <c:legend>
      <c:legendPos val="b"/>
      <c:layout>
        <c:manualLayout>
          <c:xMode val="edge"/>
          <c:yMode val="edge"/>
          <c:x val="1.8073694603435615E-2"/>
          <c:y val="0.91649931373257243"/>
          <c:w val="0.93731649905044478"/>
          <c:h val="8.0935818274514251E-2"/>
        </c:manualLayout>
      </c:layout>
      <c:overlay val="0"/>
      <c:spPr>
        <a:noFill/>
        <a:ln>
          <a:noFill/>
        </a:ln>
        <a:effectLst/>
      </c:spPr>
      <c:txPr>
        <a:bodyPr rot="0" spcFirstLastPara="1" vertOverflow="ellipsis" vert="horz" wrap="square" anchor="ctr" anchorCtr="1"/>
        <a:lstStyle/>
        <a:p>
          <a:pPr>
            <a:defRPr sz="800" b="0" i="0" u="none" strike="noStrike" kern="1200" baseline="0">
              <a:solidFill>
                <a:sysClr val="windowText" lastClr="000000"/>
              </a:solidFill>
              <a:latin typeface="+mn-lt"/>
              <a:ea typeface="+mn-ea"/>
              <a:cs typeface="+mn-cs"/>
            </a:defRPr>
          </a:pPr>
          <a:endParaRPr lang="en-US"/>
        </a:p>
      </c:txPr>
    </c:legend>
    <c:plotVisOnly val="1"/>
    <c:dispBlanksAs val="gap"/>
    <c:showDLblsOverMax val="0"/>
  </c:chart>
  <c:spPr>
    <a:solidFill>
      <a:schemeClr val="bg1"/>
    </a:solidFill>
    <a:ln w="6350" cap="flat" cmpd="sng" algn="ctr">
      <a:noFill/>
      <a:round/>
    </a:ln>
    <a:effectLst/>
  </c:spPr>
  <c:txPr>
    <a:bodyPr/>
    <a:lstStyle/>
    <a:p>
      <a:pPr>
        <a:defRPr/>
      </a:pPr>
      <a:endParaRPr lang="en-US"/>
    </a:p>
  </c:txPr>
  <c:externalData r:id="rId2">
    <c:autoUpdate val="0"/>
  </c:externalData>
</c:chartSpace>
</file>

<file path=word/charts/chart24.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13713580424872521"/>
          <c:y val="7.0242656449553006E-2"/>
          <c:w val="0.83540424151786519"/>
          <c:h val="0.71310770786679178"/>
        </c:manualLayout>
      </c:layout>
      <c:barChart>
        <c:barDir val="col"/>
        <c:grouping val="stacked"/>
        <c:varyColors val="0"/>
        <c:ser>
          <c:idx val="0"/>
          <c:order val="0"/>
          <c:tx>
            <c:strRef>
              <c:f>'BB Fix Variabel'!$A$8</c:f>
              <c:strCache>
                <c:ptCount val="1"/>
                <c:pt idx="0">
                  <c:v>Fiks</c:v>
                </c:pt>
              </c:strCache>
            </c:strRef>
          </c:tx>
          <c:spPr>
            <a:solidFill>
              <a:srgbClr val="5B9BD5"/>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800" b="1" i="0" u="none" strike="noStrike" kern="1200" baseline="0">
                    <a:solidFill>
                      <a:sysClr val="windowText" lastClr="000000"/>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'BB Fix Variabel'!$B$7:$F$7</c:f>
              <c:strCache>
                <c:ptCount val="5"/>
                <c:pt idx="0">
                  <c:v>2016</c:v>
                </c:pt>
                <c:pt idx="1">
                  <c:v>2017</c:v>
                </c:pt>
                <c:pt idx="2">
                  <c:v>2018</c:v>
                </c:pt>
                <c:pt idx="3">
                  <c:v>2019</c:v>
                </c:pt>
                <c:pt idx="4">
                  <c:v>Mars 2020</c:v>
                </c:pt>
              </c:strCache>
            </c:strRef>
          </c:cat>
          <c:val>
            <c:numRef>
              <c:f>'BB Fix Variabel'!$B$8:$F$8</c:f>
              <c:numCache>
                <c:formatCode>0.0%</c:formatCode>
                <c:ptCount val="5"/>
                <c:pt idx="0">
                  <c:v>0.87327515660342026</c:v>
                </c:pt>
                <c:pt idx="1">
                  <c:v>0.9120890588503141</c:v>
                </c:pt>
                <c:pt idx="2">
                  <c:v>0.93514088654326621</c:v>
                </c:pt>
                <c:pt idx="3">
                  <c:v>0.95232828722443164</c:v>
                </c:pt>
                <c:pt idx="4">
                  <c:v>0.95801595091733094</c:v>
                </c:pt>
              </c:numCache>
            </c:numRef>
          </c:val>
        </c:ser>
        <c:ser>
          <c:idx val="1"/>
          <c:order val="1"/>
          <c:tx>
            <c:strRef>
              <c:f>'BB Fix Variabel'!$A$9</c:f>
              <c:strCache>
                <c:ptCount val="1"/>
                <c:pt idx="0">
                  <c:v>Me norma të ndryshueshme</c:v>
                </c:pt>
              </c:strCache>
            </c:strRef>
          </c:tx>
          <c:spPr>
            <a:solidFill>
              <a:srgbClr val="C00000"/>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tx1"/>
                    </a:solidFill>
                    <a:latin typeface="+mn-lt"/>
                    <a:ea typeface="+mn-ea"/>
                    <a:cs typeface="+mn-cs"/>
                  </a:defRPr>
                </a:pPr>
                <a:endParaRPr lang="en-US"/>
              </a:p>
            </c:txPr>
            <c:dLblPos val="inBase"/>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'BB Fix Variabel'!$B$7:$F$7</c:f>
              <c:strCache>
                <c:ptCount val="5"/>
                <c:pt idx="0">
                  <c:v>2016</c:v>
                </c:pt>
                <c:pt idx="1">
                  <c:v>2017</c:v>
                </c:pt>
                <c:pt idx="2">
                  <c:v>2018</c:v>
                </c:pt>
                <c:pt idx="3">
                  <c:v>2019</c:v>
                </c:pt>
                <c:pt idx="4">
                  <c:v>Mars 2020</c:v>
                </c:pt>
              </c:strCache>
            </c:strRef>
          </c:cat>
          <c:val>
            <c:numRef>
              <c:f>'BB Fix Variabel'!$B$9:$F$9</c:f>
              <c:numCache>
                <c:formatCode>0.0%</c:formatCode>
                <c:ptCount val="5"/>
                <c:pt idx="0">
                  <c:v>0.12672484339657963</c:v>
                </c:pt>
                <c:pt idx="1">
                  <c:v>8.7910941149686006E-2</c:v>
                </c:pt>
                <c:pt idx="2">
                  <c:v>6.485911345673373E-2</c:v>
                </c:pt>
                <c:pt idx="3">
                  <c:v>4.7671712775568281E-2</c:v>
                </c:pt>
                <c:pt idx="4">
                  <c:v>4.1984049082669186E-2</c:v>
                </c:pt>
              </c:numCache>
            </c:numRef>
          </c:val>
          <c:extLst/>
        </c:ser>
        <c:dLbls>
          <c:showLegendKey val="0"/>
          <c:showVal val="0"/>
          <c:showCatName val="0"/>
          <c:showSerName val="0"/>
          <c:showPercent val="0"/>
          <c:showBubbleSize val="0"/>
        </c:dLbls>
        <c:gapWidth val="80"/>
        <c:overlap val="100"/>
        <c:axId val="-1749739184"/>
        <c:axId val="-1749738096"/>
      </c:barChart>
      <c:catAx>
        <c:axId val="-1749739184"/>
        <c:scaling>
          <c:orientation val="minMax"/>
        </c:scaling>
        <c:delete val="0"/>
        <c:axPos val="b"/>
        <c:numFmt formatCode="General" sourceLinked="1"/>
        <c:majorTickMark val="none"/>
        <c:minorTickMark val="none"/>
        <c:tickLblPos val="nextTo"/>
        <c:spPr>
          <a:noFill/>
          <a:ln w="9525" cap="flat" cmpd="sng" algn="ctr">
            <a:solidFill>
              <a:schemeClr val="tx1"/>
            </a:solidFill>
            <a:round/>
          </a:ln>
          <a:effectLst/>
        </c:spPr>
        <c:txPr>
          <a:bodyPr rot="-60000000" spcFirstLastPara="1" vertOverflow="ellipsis" vert="horz" wrap="square" anchor="ctr" anchorCtr="1"/>
          <a:lstStyle/>
          <a:p>
            <a:pPr>
              <a:defRPr sz="800" b="0" i="0" u="none" strike="noStrike" kern="1200" baseline="0">
                <a:solidFill>
                  <a:sysClr val="windowText" lastClr="000000"/>
                </a:solidFill>
                <a:latin typeface="+mn-lt"/>
                <a:ea typeface="+mn-ea"/>
                <a:cs typeface="+mn-cs"/>
              </a:defRPr>
            </a:pPr>
            <a:endParaRPr lang="en-US"/>
          </a:p>
        </c:txPr>
        <c:crossAx val="-1749738096"/>
        <c:crosses val="autoZero"/>
        <c:auto val="1"/>
        <c:lblAlgn val="ctr"/>
        <c:lblOffset val="100"/>
        <c:noMultiLvlLbl val="0"/>
      </c:catAx>
      <c:valAx>
        <c:axId val="-1749738096"/>
        <c:scaling>
          <c:orientation val="minMax"/>
          <c:max val="1"/>
          <c:min val="0"/>
        </c:scaling>
        <c:delete val="0"/>
        <c:axPos val="l"/>
        <c:numFmt formatCode="0%" sourceLinked="0"/>
        <c:majorTickMark val="none"/>
        <c:minorTickMark val="none"/>
        <c:tickLblPos val="nextTo"/>
        <c:spPr>
          <a:noFill/>
          <a:ln>
            <a:solidFill>
              <a:schemeClr val="tx1"/>
            </a:solidFill>
          </a:ln>
          <a:effectLst/>
        </c:spPr>
        <c:txPr>
          <a:bodyPr rot="-60000000" spcFirstLastPara="1" vertOverflow="ellipsis" vert="horz" wrap="square" anchor="ctr" anchorCtr="1"/>
          <a:lstStyle/>
          <a:p>
            <a:pPr>
              <a:defRPr sz="800" b="0" i="0" u="none" strike="noStrike" kern="1200" baseline="0">
                <a:solidFill>
                  <a:sysClr val="windowText" lastClr="000000"/>
                </a:solidFill>
                <a:latin typeface="+mn-lt"/>
                <a:ea typeface="+mn-ea"/>
                <a:cs typeface="+mn-cs"/>
              </a:defRPr>
            </a:pPr>
            <a:endParaRPr lang="en-US"/>
          </a:p>
        </c:txPr>
        <c:crossAx val="-1749739184"/>
        <c:crosses val="autoZero"/>
        <c:crossBetween val="between"/>
        <c:majorUnit val="0.2"/>
      </c:valAx>
      <c:spPr>
        <a:noFill/>
        <a:ln>
          <a:noFill/>
        </a:ln>
        <a:effectLst/>
      </c:spPr>
    </c:plotArea>
    <c:legend>
      <c:legendPos val="b"/>
      <c:layout>
        <c:manualLayout>
          <c:xMode val="edge"/>
          <c:yMode val="edge"/>
          <c:x val="0.17739465547896613"/>
          <c:y val="0.89929567290327239"/>
          <c:w val="0.75530478026631109"/>
          <c:h val="9.4653305951434966E-2"/>
        </c:manualLayout>
      </c:layout>
      <c:overlay val="0"/>
      <c:spPr>
        <a:noFill/>
        <a:ln>
          <a:noFill/>
        </a:ln>
        <a:effectLst/>
      </c:spPr>
      <c:txPr>
        <a:bodyPr rot="0" spcFirstLastPara="1" vertOverflow="ellipsis" vert="horz" wrap="square" anchor="ctr" anchorCtr="1"/>
        <a:lstStyle/>
        <a:p>
          <a:pPr>
            <a:defRPr sz="800" b="0" i="0" u="none" strike="noStrike" kern="1200" baseline="0">
              <a:solidFill>
                <a:sysClr val="windowText" lastClr="000000"/>
              </a:solidFill>
              <a:latin typeface="+mn-lt"/>
              <a:ea typeface="+mn-ea"/>
              <a:cs typeface="+mn-cs"/>
            </a:defRPr>
          </a:pPr>
          <a:endParaRPr lang="en-US"/>
        </a:p>
      </c:txPr>
    </c:legend>
    <c:plotVisOnly val="1"/>
    <c:dispBlanksAs val="gap"/>
    <c:showDLblsOverMax val="0"/>
  </c:chart>
  <c:spPr>
    <a:solidFill>
      <a:schemeClr val="bg1"/>
    </a:solidFill>
    <a:ln w="6350" cap="flat" cmpd="sng" algn="ctr">
      <a:noFill/>
      <a:round/>
    </a:ln>
    <a:effectLst/>
  </c:spPr>
  <c:txPr>
    <a:bodyPr/>
    <a:lstStyle/>
    <a:p>
      <a:pPr>
        <a:defRPr/>
      </a:pPr>
      <a:endParaRPr lang="en-US"/>
    </a:p>
  </c:txPr>
  <c:externalData r:id="rId2">
    <c:autoUpdate val="0"/>
  </c:externalData>
</c:chartSpace>
</file>

<file path=word/charts/chart25.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14875206648945524"/>
          <c:y val="6.4991094863142113E-2"/>
          <c:w val="0.80444938001128929"/>
          <c:h val="0.75299962504686913"/>
        </c:manualLayout>
      </c:layout>
      <c:barChart>
        <c:barDir val="col"/>
        <c:grouping val="percentStacked"/>
        <c:varyColors val="0"/>
        <c:ser>
          <c:idx val="0"/>
          <c:order val="0"/>
          <c:tx>
            <c:strRef>
              <c:f>'Kompozimi sipas interesit'!$A$21</c:f>
              <c:strCache>
                <c:ptCount val="1"/>
                <c:pt idx="0">
                  <c:v>Fiks</c:v>
                </c:pt>
              </c:strCache>
            </c:strRef>
          </c:tx>
          <c:spPr>
            <a:solidFill>
              <a:schemeClr val="accent1"/>
            </a:solidFill>
            <a:ln>
              <a:noFill/>
            </a:ln>
            <a:effectLst/>
          </c:spPr>
          <c:invertIfNegative val="0"/>
          <c:dLbls>
            <c:spPr>
              <a:noFill/>
              <a:ln>
                <a:noFill/>
              </a:ln>
              <a:effectLst/>
            </c:spPr>
            <c:txPr>
              <a:bodyPr rot="-5400000" spcFirstLastPara="1" vertOverflow="ellipsis" wrap="square" lIns="38100" tIns="19050" rIns="38100" bIns="19050" anchor="ctr" anchorCtr="1">
                <a:spAutoFit/>
              </a:bodyPr>
              <a:lstStyle/>
              <a:p>
                <a:pPr>
                  <a:defRPr sz="800" b="1" i="0" u="none" strike="noStrike" kern="1200" baseline="0">
                    <a:solidFill>
                      <a:sysClr val="windowText" lastClr="000000"/>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'Kompozimi sipas interesit'!$B$20:$F$20</c:f>
              <c:strCache>
                <c:ptCount val="5"/>
                <c:pt idx="0">
                  <c:v>2016</c:v>
                </c:pt>
                <c:pt idx="1">
                  <c:v>2017</c:v>
                </c:pt>
                <c:pt idx="2">
                  <c:v>2018</c:v>
                </c:pt>
                <c:pt idx="3">
                  <c:v>2019</c:v>
                </c:pt>
                <c:pt idx="4">
                  <c:v>Mars 2020</c:v>
                </c:pt>
              </c:strCache>
            </c:strRef>
          </c:cat>
          <c:val>
            <c:numRef>
              <c:f>'Kompozimi sipas interesit'!$B$21:$F$21</c:f>
              <c:numCache>
                <c:formatCode>0.0%</c:formatCode>
                <c:ptCount val="5"/>
                <c:pt idx="0">
                  <c:v>0.53883845614000803</c:v>
                </c:pt>
                <c:pt idx="1">
                  <c:v>0.49920566515941572</c:v>
                </c:pt>
                <c:pt idx="2">
                  <c:v>0.52621890666633608</c:v>
                </c:pt>
                <c:pt idx="3">
                  <c:v>0.51683051110632583</c:v>
                </c:pt>
                <c:pt idx="4">
                  <c:v>0.51700851382682134</c:v>
                </c:pt>
              </c:numCache>
            </c:numRef>
          </c:val>
        </c:ser>
        <c:ser>
          <c:idx val="1"/>
          <c:order val="1"/>
          <c:tx>
            <c:strRef>
              <c:f>'Kompozimi sipas interesit'!$A$22</c:f>
              <c:strCache>
                <c:ptCount val="1"/>
                <c:pt idx="0">
                  <c:v>Me norma të ndryshueshme</c:v>
                </c:pt>
              </c:strCache>
            </c:strRef>
          </c:tx>
          <c:spPr>
            <a:solidFill>
              <a:srgbClr val="C00000"/>
            </a:solidFill>
            <a:ln>
              <a:noFill/>
            </a:ln>
            <a:effectLst/>
          </c:spPr>
          <c:invertIfNegative val="0"/>
          <c:dLbls>
            <c:spPr>
              <a:noFill/>
              <a:ln>
                <a:noFill/>
              </a:ln>
              <a:effectLst/>
            </c:spPr>
            <c:txPr>
              <a:bodyPr rot="-5400000" spcFirstLastPara="1" vertOverflow="ellipsis" wrap="square" lIns="38100" tIns="19050" rIns="38100" bIns="19050" anchor="ctr" anchorCtr="1">
                <a:spAutoFit/>
              </a:bodyPr>
              <a:lstStyle/>
              <a:p>
                <a:pPr>
                  <a:defRPr sz="800" b="1" i="0" u="none" strike="noStrike" kern="1200" baseline="0">
                    <a:solidFill>
                      <a:sysClr val="windowText" lastClr="000000"/>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'Kompozimi sipas interesit'!$B$20:$F$20</c:f>
              <c:strCache>
                <c:ptCount val="5"/>
                <c:pt idx="0">
                  <c:v>2016</c:v>
                </c:pt>
                <c:pt idx="1">
                  <c:v>2017</c:v>
                </c:pt>
                <c:pt idx="2">
                  <c:v>2018</c:v>
                </c:pt>
                <c:pt idx="3">
                  <c:v>2019</c:v>
                </c:pt>
                <c:pt idx="4">
                  <c:v>Mars 2020</c:v>
                </c:pt>
              </c:strCache>
            </c:strRef>
          </c:cat>
          <c:val>
            <c:numRef>
              <c:f>'Kompozimi sipas interesit'!$B$22:$F$22</c:f>
              <c:numCache>
                <c:formatCode>0.0%</c:formatCode>
                <c:ptCount val="5"/>
                <c:pt idx="0">
                  <c:v>0.46116154385999197</c:v>
                </c:pt>
                <c:pt idx="1">
                  <c:v>0.50079433484058422</c:v>
                </c:pt>
                <c:pt idx="2">
                  <c:v>0.47378109333366392</c:v>
                </c:pt>
                <c:pt idx="3">
                  <c:v>0.48316948889367417</c:v>
                </c:pt>
                <c:pt idx="4">
                  <c:v>0.48299148617317866</c:v>
                </c:pt>
              </c:numCache>
            </c:numRef>
          </c:val>
        </c:ser>
        <c:dLbls>
          <c:showLegendKey val="0"/>
          <c:showVal val="0"/>
          <c:showCatName val="0"/>
          <c:showSerName val="0"/>
          <c:showPercent val="0"/>
          <c:showBubbleSize val="0"/>
        </c:dLbls>
        <c:gapWidth val="80"/>
        <c:overlap val="100"/>
        <c:axId val="-1749759856"/>
        <c:axId val="-1749748432"/>
      </c:barChart>
      <c:catAx>
        <c:axId val="-1749759856"/>
        <c:scaling>
          <c:orientation val="minMax"/>
        </c:scaling>
        <c:delete val="0"/>
        <c:axPos val="b"/>
        <c:numFmt formatCode="General" sourceLinked="1"/>
        <c:majorTickMark val="none"/>
        <c:minorTickMark val="none"/>
        <c:tickLblPos val="nextTo"/>
        <c:spPr>
          <a:noFill/>
          <a:ln w="9525" cap="flat" cmpd="sng" algn="ctr">
            <a:solidFill>
              <a:schemeClr val="tx1"/>
            </a:solidFill>
            <a:round/>
          </a:ln>
          <a:effectLst/>
        </c:spPr>
        <c:txPr>
          <a:bodyPr rot="-60000000" spcFirstLastPara="1" vertOverflow="ellipsis" vert="horz" wrap="square" anchor="ctr" anchorCtr="1"/>
          <a:lstStyle/>
          <a:p>
            <a:pPr>
              <a:defRPr sz="800" b="0" i="0" u="none" strike="noStrike" kern="1200" baseline="0">
                <a:solidFill>
                  <a:sysClr val="windowText" lastClr="000000"/>
                </a:solidFill>
                <a:latin typeface="+mn-lt"/>
                <a:ea typeface="+mn-ea"/>
                <a:cs typeface="+mn-cs"/>
              </a:defRPr>
            </a:pPr>
            <a:endParaRPr lang="en-US"/>
          </a:p>
        </c:txPr>
        <c:crossAx val="-1749748432"/>
        <c:crosses val="autoZero"/>
        <c:auto val="1"/>
        <c:lblAlgn val="ctr"/>
        <c:lblOffset val="100"/>
        <c:noMultiLvlLbl val="0"/>
      </c:catAx>
      <c:valAx>
        <c:axId val="-1749748432"/>
        <c:scaling>
          <c:orientation val="minMax"/>
        </c:scaling>
        <c:delete val="0"/>
        <c:axPos val="l"/>
        <c:numFmt formatCode="0%" sourceLinked="1"/>
        <c:majorTickMark val="none"/>
        <c:minorTickMark val="none"/>
        <c:tickLblPos val="nextTo"/>
        <c:spPr>
          <a:noFill/>
          <a:ln>
            <a:solidFill>
              <a:schemeClr val="tx1"/>
            </a:solidFill>
          </a:ln>
          <a:effectLst/>
        </c:spPr>
        <c:txPr>
          <a:bodyPr rot="-60000000" spcFirstLastPara="1" vertOverflow="ellipsis" vert="horz" wrap="square" anchor="ctr" anchorCtr="1"/>
          <a:lstStyle/>
          <a:p>
            <a:pPr>
              <a:defRPr sz="800" b="0" i="0" u="none" strike="noStrike" kern="1200" baseline="0">
                <a:solidFill>
                  <a:sysClr val="windowText" lastClr="000000"/>
                </a:solidFill>
                <a:latin typeface="+mn-lt"/>
                <a:ea typeface="+mn-ea"/>
                <a:cs typeface="+mn-cs"/>
              </a:defRPr>
            </a:pPr>
            <a:endParaRPr lang="en-US"/>
          </a:p>
        </c:txPr>
        <c:crossAx val="-1749759856"/>
        <c:crosses val="autoZero"/>
        <c:crossBetween val="between"/>
        <c:majorUnit val="0.2"/>
      </c:valAx>
      <c:spPr>
        <a:noFill/>
        <a:ln>
          <a:noFill/>
        </a:ln>
        <a:effectLst/>
      </c:spPr>
    </c:plotArea>
    <c:legend>
      <c:legendPos val="b"/>
      <c:layout>
        <c:manualLayout>
          <c:xMode val="edge"/>
          <c:yMode val="edge"/>
          <c:x val="0.19403627908633567"/>
          <c:y val="0.92225971753530811"/>
          <c:w val="0.70212335455515407"/>
          <c:h val="7.1861531680703292E-2"/>
        </c:manualLayout>
      </c:layout>
      <c:overlay val="0"/>
      <c:spPr>
        <a:noFill/>
        <a:ln>
          <a:noFill/>
        </a:ln>
        <a:effectLst/>
      </c:spPr>
      <c:txPr>
        <a:bodyPr rot="0" spcFirstLastPara="1" vertOverflow="ellipsis" vert="horz" wrap="square" anchor="ctr" anchorCtr="1"/>
        <a:lstStyle/>
        <a:p>
          <a:pPr>
            <a:defRPr sz="800" b="0" i="0" u="none" strike="noStrike" kern="1200" baseline="0">
              <a:solidFill>
                <a:sysClr val="windowText" lastClr="000000"/>
              </a:solidFill>
              <a:latin typeface="+mn-lt"/>
              <a:ea typeface="+mn-ea"/>
              <a:cs typeface="+mn-cs"/>
            </a:defRPr>
          </a:pPr>
          <a:endParaRPr lang="en-US"/>
        </a:p>
      </c:txPr>
    </c:legend>
    <c:plotVisOnly val="1"/>
    <c:dispBlanksAs val="gap"/>
    <c:showDLblsOverMax val="0"/>
  </c:chart>
  <c:spPr>
    <a:solidFill>
      <a:schemeClr val="bg1"/>
    </a:solidFill>
    <a:ln w="6350" cap="flat" cmpd="sng" algn="ctr">
      <a:noFill/>
      <a:round/>
    </a:ln>
    <a:effectLst/>
  </c:spPr>
  <c:txPr>
    <a:bodyPr/>
    <a:lstStyle/>
    <a:p>
      <a:pPr>
        <a:defRPr/>
      </a:pPr>
      <a:endParaRPr lang="en-US"/>
    </a:p>
  </c:txPr>
  <c:externalData r:id="rId2">
    <c:autoUpdate val="0"/>
  </c:externalData>
</c:chartSpace>
</file>

<file path=word/charts/chart26.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9.1567147856517928E-2"/>
          <c:y val="5.0925925925925923E-2"/>
          <c:w val="0.87232174103237092"/>
          <c:h val="0.74952847525736432"/>
        </c:manualLayout>
      </c:layout>
      <c:barChart>
        <c:barDir val="col"/>
        <c:grouping val="percentStacked"/>
        <c:varyColors val="0"/>
        <c:ser>
          <c:idx val="0"/>
          <c:order val="0"/>
          <c:tx>
            <c:strRef>
              <c:f>'B.Jashtem sipas instr'!$A$13</c:f>
              <c:strCache>
                <c:ptCount val="1"/>
                <c:pt idx="0">
                  <c:v>Kredi</c:v>
                </c:pt>
              </c:strCache>
            </c:strRef>
          </c:tx>
          <c:spPr>
            <a:solidFill>
              <a:schemeClr val="accent1"/>
            </a:solidFill>
            <a:ln>
              <a:noFill/>
            </a:ln>
            <a:effectLst/>
          </c:spPr>
          <c:invertIfNegative val="0"/>
          <c:dLbls>
            <c:numFmt formatCode="0.0%" sourceLinked="0"/>
            <c:spPr>
              <a:noFill/>
              <a:ln>
                <a:noFill/>
              </a:ln>
              <a:effectLst/>
            </c:spPr>
            <c:txPr>
              <a:bodyPr rot="0" spcFirstLastPara="1" vertOverflow="ellipsis" vert="horz" wrap="square" lIns="38100" tIns="19050" rIns="38100" bIns="19050" anchor="ctr" anchorCtr="1">
                <a:spAutoFit/>
              </a:bodyPr>
              <a:lstStyle/>
              <a:p>
                <a:pPr>
                  <a:defRPr sz="800" b="1" i="0" u="none" strike="noStrike" kern="1200" baseline="0">
                    <a:solidFill>
                      <a:sysClr val="windowText" lastClr="000000"/>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'B.Jashtem sipas instr'!$B$12:$F$12</c:f>
              <c:strCache>
                <c:ptCount val="5"/>
                <c:pt idx="0">
                  <c:v>2016</c:v>
                </c:pt>
                <c:pt idx="1">
                  <c:v>2017</c:v>
                </c:pt>
                <c:pt idx="2">
                  <c:v>2018</c:v>
                </c:pt>
                <c:pt idx="3">
                  <c:v>2019</c:v>
                </c:pt>
                <c:pt idx="4">
                  <c:v>Mars 2020</c:v>
                </c:pt>
              </c:strCache>
            </c:strRef>
          </c:cat>
          <c:val>
            <c:numRef>
              <c:f>'B.Jashtem sipas instr'!$B$13:$F$13</c:f>
              <c:numCache>
                <c:formatCode>0.0%</c:formatCode>
                <c:ptCount val="5"/>
                <c:pt idx="0">
                  <c:v>0.60835823562029878</c:v>
                </c:pt>
                <c:pt idx="1">
                  <c:v>0.57612819477198618</c:v>
                </c:pt>
                <c:pt idx="2">
                  <c:v>0.53914670138026288</c:v>
                </c:pt>
                <c:pt idx="3">
                  <c:v>0.54409157434764577</c:v>
                </c:pt>
                <c:pt idx="4">
                  <c:v>0.54598878444369936</c:v>
                </c:pt>
              </c:numCache>
            </c:numRef>
          </c:val>
        </c:ser>
        <c:ser>
          <c:idx val="1"/>
          <c:order val="1"/>
          <c:tx>
            <c:strRef>
              <c:f>'B.Jashtem sipas instr'!$A$14</c:f>
              <c:strCache>
                <c:ptCount val="1"/>
                <c:pt idx="0">
                  <c:v>Mbështetje buxhetore</c:v>
                </c:pt>
              </c:strCache>
            </c:strRef>
          </c:tx>
          <c:spPr>
            <a:solidFill>
              <a:srgbClr val="C00000"/>
            </a:solidFill>
            <a:ln>
              <a:noFill/>
            </a:ln>
            <a:effectLst/>
          </c:spPr>
          <c:invertIfNegative val="0"/>
          <c:dLbls>
            <c:dLbl>
              <c:idx val="0"/>
              <c:layout>
                <c:manualLayout>
                  <c:x val="0"/>
                  <c:y val="1.3888888888888846E-2"/>
                </c:manualLayout>
              </c:layout>
              <c:showLegendKey val="0"/>
              <c:showVal val="1"/>
              <c:showCatName val="0"/>
              <c:showSerName val="0"/>
              <c:showPercent val="0"/>
              <c:showBubbleSize val="0"/>
              <c:extLst>
                <c:ext xmlns:c15="http://schemas.microsoft.com/office/drawing/2012/chart" uri="{CE6537A1-D6FC-4f65-9D91-7224C49458BB}"/>
              </c:extLst>
            </c:dLbl>
            <c:numFmt formatCode="0.0%" sourceLinked="0"/>
            <c:spPr>
              <a:noFill/>
              <a:ln>
                <a:noFill/>
              </a:ln>
              <a:effectLst/>
            </c:spPr>
            <c:txPr>
              <a:bodyPr rot="0" spcFirstLastPara="1" vertOverflow="ellipsis" vert="horz" wrap="square" lIns="38100" tIns="19050" rIns="38100" bIns="19050" anchor="ctr" anchorCtr="1">
                <a:spAutoFit/>
              </a:bodyPr>
              <a:lstStyle/>
              <a:p>
                <a:pPr>
                  <a:defRPr sz="800" b="1" i="0" u="none" strike="noStrike" kern="1200" baseline="0">
                    <a:solidFill>
                      <a:sysClr val="windowText" lastClr="000000"/>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'B.Jashtem sipas instr'!$B$12:$F$12</c:f>
              <c:strCache>
                <c:ptCount val="5"/>
                <c:pt idx="0">
                  <c:v>2016</c:v>
                </c:pt>
                <c:pt idx="1">
                  <c:v>2017</c:v>
                </c:pt>
                <c:pt idx="2">
                  <c:v>2018</c:v>
                </c:pt>
                <c:pt idx="3">
                  <c:v>2019</c:v>
                </c:pt>
                <c:pt idx="4">
                  <c:v>Mars 2020</c:v>
                </c:pt>
              </c:strCache>
            </c:strRef>
          </c:cat>
          <c:val>
            <c:numRef>
              <c:f>'B.Jashtem sipas instr'!$B$14:$F$14</c:f>
              <c:numCache>
                <c:formatCode>0.0%</c:formatCode>
                <c:ptCount val="5"/>
                <c:pt idx="0">
                  <c:v>0.19500780075024285</c:v>
                </c:pt>
                <c:pt idx="1">
                  <c:v>0.23820938393569469</c:v>
                </c:pt>
                <c:pt idx="2">
                  <c:v>0.21987866803136147</c:v>
                </c:pt>
                <c:pt idx="3">
                  <c:v>0.21888377858205368</c:v>
                </c:pt>
                <c:pt idx="4">
                  <c:v>0.21752214720125143</c:v>
                </c:pt>
              </c:numCache>
            </c:numRef>
          </c:val>
        </c:ser>
        <c:ser>
          <c:idx val="2"/>
          <c:order val="2"/>
          <c:tx>
            <c:strRef>
              <c:f>'B.Jashtem sipas instr'!$A$15</c:f>
              <c:strCache>
                <c:ptCount val="1"/>
                <c:pt idx="0">
                  <c:v>Eurobond</c:v>
                </c:pt>
              </c:strCache>
            </c:strRef>
          </c:tx>
          <c:spPr>
            <a:solidFill>
              <a:srgbClr val="ED7D31"/>
            </a:solidFill>
            <a:ln>
              <a:noFill/>
            </a:ln>
            <a:effectLst/>
          </c:spPr>
          <c:invertIfNegative val="0"/>
          <c:dLbls>
            <c:dLbl>
              <c:idx val="4"/>
              <c:layout>
                <c:manualLayout>
                  <c:x val="0"/>
                  <c:y val="1.3888888888888888E-2"/>
                </c:manualLayout>
              </c:layout>
              <c:showLegendKey val="0"/>
              <c:showVal val="1"/>
              <c:showCatName val="0"/>
              <c:showSerName val="0"/>
              <c:showPercent val="0"/>
              <c:showBubbleSize val="0"/>
              <c:extLst xmlns:c15="http://schemas.microsoft.com/office/drawing/2012/chart">
                <c:ext xmlns:c15="http://schemas.microsoft.com/office/drawing/2012/chart" uri="{CE6537A1-D6FC-4f65-9D91-7224C49458BB}"/>
              </c:extLst>
            </c:dLbl>
            <c:dLbl>
              <c:idx val="5"/>
              <c:layout>
                <c:manualLayout>
                  <c:x val="-5.5555555555555558E-3"/>
                  <c:y val="1.8518518518518517E-2"/>
                </c:manualLayout>
              </c:layout>
              <c:showLegendKey val="0"/>
              <c:showVal val="1"/>
              <c:showCatName val="0"/>
              <c:showSerName val="0"/>
              <c:showPercent val="0"/>
              <c:showBubbleSize val="0"/>
              <c:extLst xmlns:c15="http://schemas.microsoft.com/office/drawing/2012/chart">
                <c:ext xmlns:c15="http://schemas.microsoft.com/office/drawing/2012/chart" uri="{CE6537A1-D6FC-4f65-9D91-7224C49458BB}"/>
              </c:extLst>
            </c:dLbl>
            <c:numFmt formatCode="0.0%" sourceLinked="0"/>
            <c:spPr>
              <a:noFill/>
              <a:ln>
                <a:noFill/>
              </a:ln>
              <a:effectLst/>
            </c:spPr>
            <c:txPr>
              <a:bodyPr rot="0" spcFirstLastPara="1" vertOverflow="ellipsis" vert="horz" wrap="square" lIns="38100" tIns="19050" rIns="38100" bIns="19050" anchor="ctr" anchorCtr="1">
                <a:spAutoFit/>
              </a:bodyPr>
              <a:lstStyle/>
              <a:p>
                <a:pPr>
                  <a:defRPr sz="800" b="1" i="0" u="none" strike="noStrike" kern="1200" baseline="0">
                    <a:solidFill>
                      <a:sysClr val="windowText" lastClr="000000"/>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'B.Jashtem sipas instr'!$B$12:$F$12</c:f>
              <c:strCache>
                <c:ptCount val="5"/>
                <c:pt idx="0">
                  <c:v>2016</c:v>
                </c:pt>
                <c:pt idx="1">
                  <c:v>2017</c:v>
                </c:pt>
                <c:pt idx="2">
                  <c:v>2018</c:v>
                </c:pt>
                <c:pt idx="3">
                  <c:v>2019</c:v>
                </c:pt>
                <c:pt idx="4">
                  <c:v>Mars 2020</c:v>
                </c:pt>
              </c:strCache>
            </c:strRef>
          </c:cat>
          <c:val>
            <c:numRef>
              <c:f>'B.Jashtem sipas instr'!$B$15:$F$15</c:f>
              <c:numCache>
                <c:formatCode>0.0%</c:formatCode>
                <c:ptCount val="5"/>
                <c:pt idx="0">
                  <c:v>0.12640754804750903</c:v>
                </c:pt>
                <c:pt idx="1">
                  <c:v>0.12196801398765489</c:v>
                </c:pt>
                <c:pt idx="2">
                  <c:v>0.18632059066111512</c:v>
                </c:pt>
                <c:pt idx="3">
                  <c:v>0.18712472137128988</c:v>
                </c:pt>
                <c:pt idx="4">
                  <c:v>0.18670189606977572</c:v>
                </c:pt>
              </c:numCache>
            </c:numRef>
          </c:val>
          <c:extLst/>
        </c:ser>
        <c:ser>
          <c:idx val="3"/>
          <c:order val="3"/>
          <c:tx>
            <c:strRef>
              <c:f>'B.Jashtem sipas instr'!$A$16</c:f>
              <c:strCache>
                <c:ptCount val="1"/>
                <c:pt idx="0">
                  <c:v>PBG</c:v>
                </c:pt>
              </c:strCache>
            </c:strRef>
          </c:tx>
          <c:spPr>
            <a:solidFill>
              <a:srgbClr val="FFC000">
                <a:lumMod val="60000"/>
                <a:lumOff val="40000"/>
              </a:srgbClr>
            </a:solidFill>
            <a:ln>
              <a:noFill/>
            </a:ln>
            <a:effectLst/>
          </c:spPr>
          <c:invertIfNegative val="0"/>
          <c:dLbls>
            <c:dLbl>
              <c:idx val="2"/>
              <c:layout>
                <c:manualLayout>
                  <c:x val="0"/>
                  <c:y val="-7.8773291300715462E-3"/>
                </c:manualLayout>
              </c:layout>
              <c:showLegendKey val="0"/>
              <c:showVal val="1"/>
              <c:showCatName val="0"/>
              <c:showSerName val="0"/>
              <c:showPercent val="0"/>
              <c:showBubbleSize val="0"/>
              <c:extLst>
                <c:ext xmlns:c15="http://schemas.microsoft.com/office/drawing/2012/chart" uri="{CE6537A1-D6FC-4f65-9D91-7224C49458BB}"/>
              </c:extLst>
            </c:dLbl>
            <c:dLbl>
              <c:idx val="4"/>
              <c:layout>
                <c:manualLayout>
                  <c:x val="0"/>
                  <c:y val="-3.0059475207618886E-3"/>
                </c:manualLayout>
              </c:layout>
              <c:numFmt formatCode="0.0%" sourceLinked="0"/>
              <c:spPr>
                <a:noFill/>
                <a:ln>
                  <a:noFill/>
                </a:ln>
                <a:effectLst/>
              </c:spPr>
              <c:txPr>
                <a:bodyPr rot="0" spcFirstLastPara="1" vertOverflow="ellipsis" vert="horz" wrap="square" lIns="38100" tIns="19050" rIns="38100" bIns="19050" anchor="ctr" anchorCtr="1">
                  <a:noAutofit/>
                </a:bodyPr>
                <a:lstStyle/>
                <a:p>
                  <a:pPr>
                    <a:defRPr sz="800" b="1" i="0" u="none" strike="noStrike" kern="1200" baseline="0">
                      <a:solidFill>
                        <a:sysClr val="windowText" lastClr="000000"/>
                      </a:solidFill>
                      <a:latin typeface="+mn-lt"/>
                      <a:ea typeface="+mn-ea"/>
                      <a:cs typeface="+mn-cs"/>
                    </a:defRPr>
                  </a:pPr>
                  <a:endParaRPr lang="en-US"/>
                </a:p>
              </c:txPr>
              <c:showLegendKey val="0"/>
              <c:showVal val="1"/>
              <c:showCatName val="0"/>
              <c:showSerName val="0"/>
              <c:showPercent val="0"/>
              <c:showBubbleSize val="0"/>
              <c:extLst>
                <c:ext xmlns:c15="http://schemas.microsoft.com/office/drawing/2012/chart" uri="{CE6537A1-D6FC-4f65-9D91-7224C49458BB}">
                  <c15:layout>
                    <c:manualLayout>
                      <c:w val="0.10191615590987414"/>
                      <c:h val="5.8701769582679524E-2"/>
                    </c:manualLayout>
                  </c15:layout>
                </c:ext>
              </c:extLst>
            </c:dLbl>
            <c:numFmt formatCode="0.0%" sourceLinked="0"/>
            <c:spPr>
              <a:noFill/>
              <a:ln>
                <a:noFill/>
              </a:ln>
              <a:effectLst/>
            </c:spPr>
            <c:txPr>
              <a:bodyPr rot="0" spcFirstLastPara="1" vertOverflow="ellipsis" vert="horz" wrap="square" lIns="38100" tIns="19050" rIns="38100" bIns="19050" anchor="ctr" anchorCtr="1">
                <a:spAutoFit/>
              </a:bodyPr>
              <a:lstStyle/>
              <a:p>
                <a:pPr>
                  <a:defRPr sz="800" b="1" i="0" u="none" strike="noStrike" kern="1200" baseline="0">
                    <a:solidFill>
                      <a:sysClr val="windowText" lastClr="000000"/>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'B.Jashtem sipas instr'!$B$12:$F$12</c:f>
              <c:strCache>
                <c:ptCount val="5"/>
                <c:pt idx="0">
                  <c:v>2016</c:v>
                </c:pt>
                <c:pt idx="1">
                  <c:v>2017</c:v>
                </c:pt>
                <c:pt idx="2">
                  <c:v>2018</c:v>
                </c:pt>
                <c:pt idx="3">
                  <c:v>2019</c:v>
                </c:pt>
                <c:pt idx="4">
                  <c:v>Mars 2020</c:v>
                </c:pt>
              </c:strCache>
            </c:strRef>
          </c:cat>
          <c:val>
            <c:numRef>
              <c:f>'B.Jashtem sipas instr'!$B$16:$F$16</c:f>
              <c:numCache>
                <c:formatCode>0.0%</c:formatCode>
                <c:ptCount val="5"/>
                <c:pt idx="0">
                  <c:v>7.0226415581949461E-2</c:v>
                </c:pt>
                <c:pt idx="1">
                  <c:v>6.3694407304664219E-2</c:v>
                </c:pt>
                <c:pt idx="2">
                  <c:v>5.465403992726043E-2</c:v>
                </c:pt>
                <c:pt idx="3">
                  <c:v>4.9899925699010632E-2</c:v>
                </c:pt>
                <c:pt idx="4">
                  <c:v>4.9787172285273525E-2</c:v>
                </c:pt>
              </c:numCache>
            </c:numRef>
          </c:val>
        </c:ser>
        <c:dLbls>
          <c:showLegendKey val="0"/>
          <c:showVal val="0"/>
          <c:showCatName val="0"/>
          <c:showSerName val="0"/>
          <c:showPercent val="0"/>
          <c:showBubbleSize val="0"/>
        </c:dLbls>
        <c:gapWidth val="80"/>
        <c:overlap val="100"/>
        <c:axId val="-1749765296"/>
        <c:axId val="-1749751696"/>
      </c:barChart>
      <c:catAx>
        <c:axId val="-1749765296"/>
        <c:scaling>
          <c:orientation val="minMax"/>
        </c:scaling>
        <c:delete val="0"/>
        <c:axPos val="b"/>
        <c:numFmt formatCode="General" sourceLinked="1"/>
        <c:majorTickMark val="none"/>
        <c:minorTickMark val="none"/>
        <c:tickLblPos val="nextTo"/>
        <c:spPr>
          <a:noFill/>
          <a:ln w="9525" cap="flat" cmpd="sng" algn="ctr">
            <a:solidFill>
              <a:schemeClr val="tx1"/>
            </a:solidFill>
            <a:round/>
          </a:ln>
          <a:effectLst/>
        </c:spPr>
        <c:txPr>
          <a:bodyPr rot="-60000000" spcFirstLastPara="1" vertOverflow="ellipsis" vert="horz" wrap="square" anchor="ctr" anchorCtr="1"/>
          <a:lstStyle/>
          <a:p>
            <a:pPr>
              <a:defRPr sz="800" b="0" i="0" u="none" strike="noStrike" kern="1200" baseline="0">
                <a:solidFill>
                  <a:sysClr val="windowText" lastClr="000000"/>
                </a:solidFill>
                <a:latin typeface="+mn-lt"/>
                <a:ea typeface="+mn-ea"/>
                <a:cs typeface="+mn-cs"/>
              </a:defRPr>
            </a:pPr>
            <a:endParaRPr lang="en-US"/>
          </a:p>
        </c:txPr>
        <c:crossAx val="-1749751696"/>
        <c:crosses val="autoZero"/>
        <c:auto val="1"/>
        <c:lblAlgn val="ctr"/>
        <c:lblOffset val="100"/>
        <c:noMultiLvlLbl val="0"/>
      </c:catAx>
      <c:valAx>
        <c:axId val="-1749751696"/>
        <c:scaling>
          <c:orientation val="minMax"/>
        </c:scaling>
        <c:delete val="0"/>
        <c:axPos val="l"/>
        <c:numFmt formatCode="0%" sourceLinked="0"/>
        <c:majorTickMark val="none"/>
        <c:minorTickMark val="none"/>
        <c:tickLblPos val="nextTo"/>
        <c:spPr>
          <a:noFill/>
          <a:ln>
            <a:solidFill>
              <a:schemeClr val="tx1"/>
            </a:solidFill>
          </a:ln>
          <a:effectLst/>
        </c:spPr>
        <c:txPr>
          <a:bodyPr rot="-60000000" spcFirstLastPara="1" vertOverflow="ellipsis" vert="horz" wrap="square" anchor="ctr" anchorCtr="1"/>
          <a:lstStyle/>
          <a:p>
            <a:pPr>
              <a:defRPr sz="800" b="0" i="0" u="none" strike="noStrike" kern="1200" baseline="0">
                <a:solidFill>
                  <a:sysClr val="windowText" lastClr="000000"/>
                </a:solidFill>
                <a:latin typeface="+mn-lt"/>
                <a:ea typeface="+mn-ea"/>
                <a:cs typeface="+mn-cs"/>
              </a:defRPr>
            </a:pPr>
            <a:endParaRPr lang="en-US"/>
          </a:p>
        </c:txPr>
        <c:crossAx val="-1749765296"/>
        <c:crosses val="autoZero"/>
        <c:crossBetween val="between"/>
        <c:majorUnit val="0.2"/>
      </c:valAx>
      <c:spPr>
        <a:noFill/>
        <a:ln>
          <a:noFill/>
        </a:ln>
        <a:effectLst/>
      </c:spPr>
    </c:plotArea>
    <c:legend>
      <c:legendPos val="b"/>
      <c:layout>
        <c:manualLayout>
          <c:xMode val="edge"/>
          <c:yMode val="edge"/>
          <c:x val="4.9999912413617932E-2"/>
          <c:y val="0.90792052403969625"/>
          <c:w val="0.89999982482723584"/>
          <c:h val="9.2079475960303664E-2"/>
        </c:manualLayout>
      </c:layout>
      <c:overlay val="0"/>
      <c:spPr>
        <a:noFill/>
        <a:ln>
          <a:noFill/>
        </a:ln>
        <a:effectLst/>
      </c:spPr>
      <c:txPr>
        <a:bodyPr rot="0" spcFirstLastPara="1" vertOverflow="ellipsis" vert="horz" wrap="square" anchor="ctr" anchorCtr="1"/>
        <a:lstStyle/>
        <a:p>
          <a:pPr>
            <a:defRPr sz="800" b="0" i="0" u="none" strike="noStrike" kern="1200" baseline="0">
              <a:solidFill>
                <a:sysClr val="windowText" lastClr="000000"/>
              </a:solidFill>
              <a:latin typeface="+mn-lt"/>
              <a:ea typeface="+mn-ea"/>
              <a:cs typeface="+mn-cs"/>
            </a:defRPr>
          </a:pPr>
          <a:endParaRPr lang="en-US"/>
        </a:p>
      </c:txPr>
    </c:legend>
    <c:plotVisOnly val="1"/>
    <c:dispBlanksAs val="gap"/>
    <c:showDLblsOverMax val="0"/>
  </c:chart>
  <c:spPr>
    <a:solidFill>
      <a:schemeClr val="bg1"/>
    </a:solidFill>
    <a:ln w="9525" cap="flat" cmpd="sng" algn="ctr">
      <a:noFill/>
      <a:round/>
    </a:ln>
    <a:effectLst/>
  </c:spPr>
  <c:txPr>
    <a:bodyPr/>
    <a:lstStyle/>
    <a:p>
      <a:pPr>
        <a:defRPr/>
      </a:pPr>
      <a:endParaRPr lang="en-US"/>
    </a:p>
  </c:txPr>
  <c:externalData r:id="rId2">
    <c:autoUpdate val="0"/>
  </c:externalData>
</c:chartSpace>
</file>

<file path=word/charts/chart27.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9.4203796207282198E-2"/>
          <c:y val="8.1632653061224483E-2"/>
          <c:w val="0.82832185584601614"/>
          <c:h val="0.66616744335529476"/>
        </c:manualLayout>
      </c:layout>
      <c:barChart>
        <c:barDir val="col"/>
        <c:grouping val="clustered"/>
        <c:varyColors val="0"/>
        <c:ser>
          <c:idx val="0"/>
          <c:order val="0"/>
          <c:tx>
            <c:strRef>
              <c:f>' Huamarrja e Brendshme'!$A$66</c:f>
              <c:strCache>
                <c:ptCount val="1"/>
                <c:pt idx="0">
                  <c:v>Emetime</c:v>
                </c:pt>
              </c:strCache>
            </c:strRef>
          </c:tx>
          <c:spPr>
            <a:solidFill>
              <a:srgbClr val="5B9BD5"/>
            </a:solidFill>
            <a:ln>
              <a:noFill/>
            </a:ln>
            <a:effectLst/>
          </c:spPr>
          <c:invertIfNegative val="0"/>
          <c:dLbls>
            <c:spPr>
              <a:noFill/>
              <a:ln>
                <a:noFill/>
              </a:ln>
              <a:effectLst/>
            </c:spPr>
            <c:txPr>
              <a:bodyPr rot="0" spcFirstLastPara="1" vertOverflow="ellipsis" vert="horz" wrap="square" lIns="38100" tIns="19050" rIns="38100" bIns="19050" anchor="ctr" anchorCtr="0">
                <a:spAutoFit/>
              </a:bodyPr>
              <a:lstStyle/>
              <a:p>
                <a:pPr>
                  <a:defRPr sz="800" b="1" i="0" u="none" strike="noStrike" kern="1200" baseline="0">
                    <a:solidFill>
                      <a:sysClr val="windowText" lastClr="000000"/>
                    </a:solidFill>
                    <a:latin typeface="+mn-lt"/>
                    <a:ea typeface="+mn-ea"/>
                    <a:cs typeface="+mn-cs"/>
                  </a:defRPr>
                </a:pPr>
                <a:endParaRPr lang="en-US"/>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 Huamarrja e Brendshme'!$B$65:$F$65</c:f>
              <c:strCache>
                <c:ptCount val="5"/>
                <c:pt idx="0">
                  <c:v>TM.I 2016</c:v>
                </c:pt>
                <c:pt idx="1">
                  <c:v>TM.I 2017</c:v>
                </c:pt>
                <c:pt idx="2">
                  <c:v>TM.I 2018</c:v>
                </c:pt>
                <c:pt idx="3">
                  <c:v>TM.I 2019</c:v>
                </c:pt>
                <c:pt idx="4">
                  <c:v>TM.I 2020</c:v>
                </c:pt>
              </c:strCache>
            </c:strRef>
          </c:cat>
          <c:val>
            <c:numRef>
              <c:f>' Huamarrja e Brendshme'!$B$66:$F$66</c:f>
              <c:numCache>
                <c:formatCode>_(* #,##0.0_);_(* \(#,##0.0\);_(* "-"??_);_(@_)</c:formatCode>
                <c:ptCount val="5"/>
                <c:pt idx="0">
                  <c:v>102.98567230101999</c:v>
                </c:pt>
                <c:pt idx="1">
                  <c:v>103.33194041266</c:v>
                </c:pt>
                <c:pt idx="2">
                  <c:v>95.618297023769998</c:v>
                </c:pt>
                <c:pt idx="3">
                  <c:v>88.840797242899995</c:v>
                </c:pt>
                <c:pt idx="4">
                  <c:v>91.094808723440011</c:v>
                </c:pt>
              </c:numCache>
            </c:numRef>
          </c:val>
        </c:ser>
        <c:dLbls>
          <c:showLegendKey val="0"/>
          <c:showVal val="0"/>
          <c:showCatName val="0"/>
          <c:showSerName val="0"/>
          <c:showPercent val="0"/>
          <c:showBubbleSize val="0"/>
        </c:dLbls>
        <c:gapWidth val="200"/>
        <c:overlap val="-27"/>
        <c:axId val="-1749769648"/>
        <c:axId val="-1749769104"/>
      </c:barChart>
      <c:lineChart>
        <c:grouping val="standard"/>
        <c:varyColors val="0"/>
        <c:ser>
          <c:idx val="1"/>
          <c:order val="1"/>
          <c:tx>
            <c:strRef>
              <c:f>' Huamarrja e Brendshme'!$A$68</c:f>
              <c:strCache>
                <c:ptCount val="1"/>
                <c:pt idx="0">
                  <c:v>Emetime/Të ardhura tatimore</c:v>
                </c:pt>
              </c:strCache>
            </c:strRef>
          </c:tx>
          <c:spPr>
            <a:ln w="22225" cap="rnd">
              <a:solidFill>
                <a:sysClr val="window" lastClr="FFFFFF">
                  <a:lumMod val="50000"/>
                </a:sysClr>
              </a:solidFill>
              <a:round/>
            </a:ln>
            <a:effectLst/>
          </c:spPr>
          <c:marker>
            <c:symbol val="circle"/>
            <c:size val="5"/>
            <c:spPr>
              <a:solidFill>
                <a:schemeClr val="bg1">
                  <a:lumMod val="50000"/>
                </a:schemeClr>
              </a:solidFill>
              <a:ln w="9525">
                <a:noFill/>
              </a:ln>
              <a:effectLst/>
            </c:spPr>
          </c:marker>
          <c:dLbls>
            <c:dLbl>
              <c:idx val="0"/>
              <c:layout>
                <c:manualLayout>
                  <c:x val="-4.6241915306786542E-2"/>
                  <c:y val="-4.5608482108053322E-2"/>
                </c:manualLayout>
              </c:layout>
              <c:showLegendKey val="0"/>
              <c:showVal val="1"/>
              <c:showCatName val="0"/>
              <c:showSerName val="0"/>
              <c:showPercent val="0"/>
              <c:showBubbleSize val="0"/>
              <c:extLst>
                <c:ext xmlns:c15="http://schemas.microsoft.com/office/drawing/2012/chart" uri="{CE6537A1-D6FC-4f65-9D91-7224C49458BB}"/>
              </c:extLst>
            </c:dLbl>
            <c:dLbl>
              <c:idx val="1"/>
              <c:layout>
                <c:manualLayout>
                  <c:x val="-3.7861575745309663E-2"/>
                  <c:y val="-6.4689033436037893E-2"/>
                </c:manualLayout>
              </c:layout>
              <c:showLegendKey val="0"/>
              <c:showVal val="1"/>
              <c:showCatName val="0"/>
              <c:showSerName val="0"/>
              <c:showPercent val="0"/>
              <c:showBubbleSize val="0"/>
              <c:extLst>
                <c:ext xmlns:c15="http://schemas.microsoft.com/office/drawing/2012/chart" uri="{CE6537A1-D6FC-4f65-9D91-7224C49458BB}"/>
              </c:extLst>
            </c:dLbl>
            <c:dLbl>
              <c:idx val="2"/>
              <c:layout>
                <c:manualLayout>
                  <c:x val="-3.169688267140771E-2"/>
                  <c:y val="-5.6838959486499849E-2"/>
                </c:manualLayout>
              </c:layout>
              <c:showLegendKey val="0"/>
              <c:showVal val="1"/>
              <c:showCatName val="0"/>
              <c:showSerName val="0"/>
              <c:showPercent val="0"/>
              <c:showBubbleSize val="0"/>
              <c:extLst>
                <c:ext xmlns:c15="http://schemas.microsoft.com/office/drawing/2012/chart" uri="{CE6537A1-D6FC-4f65-9D91-7224C49458BB}"/>
              </c:extLst>
            </c:dLbl>
            <c:dLbl>
              <c:idx val="3"/>
              <c:layout>
                <c:manualLayout>
                  <c:x val="-2.8325694276028563E-2"/>
                  <c:y val="-6.4814843689093307E-2"/>
                </c:manualLayout>
              </c:layout>
              <c:showLegendKey val="0"/>
              <c:showVal val="1"/>
              <c:showCatName val="0"/>
              <c:showSerName val="0"/>
              <c:showPercent val="0"/>
              <c:showBubbleSize val="0"/>
              <c:extLst>
                <c:ext xmlns:c15="http://schemas.microsoft.com/office/drawing/2012/chart" uri="{CE6537A1-D6FC-4f65-9D91-7224C49458BB}"/>
              </c:extLst>
            </c:dLbl>
            <c:dLbl>
              <c:idx val="4"/>
              <c:layout>
                <c:manualLayout>
                  <c:x val="-3.3527639313200186E-2"/>
                  <c:y val="-5.4868116732933153E-2"/>
                </c:manualLayout>
              </c:layout>
              <c:showLegendKey val="0"/>
              <c:showVal val="1"/>
              <c:showCatName val="0"/>
              <c:showSerName val="0"/>
              <c:showPercent val="0"/>
              <c:showBubbleSize val="0"/>
              <c:extLst>
                <c:ext xmlns:c15="http://schemas.microsoft.com/office/drawing/2012/chart" uri="{CE6537A1-D6FC-4f65-9D91-7224C49458BB}"/>
              </c:extLst>
            </c:dLbl>
            <c:spPr>
              <a:noFill/>
              <a:ln>
                <a:noFill/>
              </a:ln>
              <a:effectLst/>
            </c:spPr>
            <c:txPr>
              <a:bodyPr rot="0" spcFirstLastPara="1" vertOverflow="ellipsis" vert="horz" wrap="square" lIns="38100" tIns="19050" rIns="38100" bIns="19050" anchor="ctr" anchorCtr="1">
                <a:spAutoFit/>
              </a:bodyPr>
              <a:lstStyle/>
              <a:p>
                <a:pPr>
                  <a:defRPr sz="800" b="1" i="0" u="none" strike="noStrike" kern="1200" baseline="0">
                    <a:solidFill>
                      <a:sysClr val="windowText" lastClr="000000"/>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 Huamarrja e Brendshme'!$B$65:$F$65</c:f>
              <c:strCache>
                <c:ptCount val="5"/>
                <c:pt idx="0">
                  <c:v>TM.I 2016</c:v>
                </c:pt>
                <c:pt idx="1">
                  <c:v>TM.I 2017</c:v>
                </c:pt>
                <c:pt idx="2">
                  <c:v>TM.I 2018</c:v>
                </c:pt>
                <c:pt idx="3">
                  <c:v>TM.I 2019</c:v>
                </c:pt>
                <c:pt idx="4">
                  <c:v>TM.I 2020</c:v>
                </c:pt>
              </c:strCache>
            </c:strRef>
          </c:cat>
          <c:val>
            <c:numRef>
              <c:f>' Huamarrja e Brendshme'!$B$68:$F$68</c:f>
              <c:numCache>
                <c:formatCode>0.0%</c:formatCode>
                <c:ptCount val="5"/>
                <c:pt idx="0">
                  <c:v>1.1681015403053363</c:v>
                </c:pt>
                <c:pt idx="1">
                  <c:v>1.0934944010144239</c:v>
                </c:pt>
                <c:pt idx="2">
                  <c:v>0.97117795790779637</c:v>
                </c:pt>
                <c:pt idx="3">
                  <c:v>0.87483060149381586</c:v>
                </c:pt>
                <c:pt idx="4">
                  <c:v>0.93911205784930063</c:v>
                </c:pt>
              </c:numCache>
            </c:numRef>
          </c:val>
          <c:smooth val="1"/>
        </c:ser>
        <c:dLbls>
          <c:showLegendKey val="0"/>
          <c:showVal val="0"/>
          <c:showCatName val="0"/>
          <c:showSerName val="0"/>
          <c:showPercent val="0"/>
          <c:showBubbleSize val="0"/>
        </c:dLbls>
        <c:marker val="1"/>
        <c:smooth val="0"/>
        <c:axId val="-1749746800"/>
        <c:axId val="-1749741360"/>
      </c:lineChart>
      <c:catAx>
        <c:axId val="-1749769648"/>
        <c:scaling>
          <c:orientation val="minMax"/>
        </c:scaling>
        <c:delete val="0"/>
        <c:axPos val="b"/>
        <c:numFmt formatCode="General" sourceLinked="1"/>
        <c:majorTickMark val="none"/>
        <c:minorTickMark val="none"/>
        <c:tickLblPos val="nextTo"/>
        <c:spPr>
          <a:noFill/>
          <a:ln w="9525" cap="flat" cmpd="sng" algn="ctr">
            <a:solidFill>
              <a:schemeClr val="tx1"/>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en-US"/>
          </a:p>
        </c:txPr>
        <c:crossAx val="-1749769104"/>
        <c:crosses val="autoZero"/>
        <c:auto val="1"/>
        <c:lblAlgn val="ctr"/>
        <c:lblOffset val="100"/>
        <c:noMultiLvlLbl val="0"/>
      </c:catAx>
      <c:valAx>
        <c:axId val="-1749769104"/>
        <c:scaling>
          <c:orientation val="minMax"/>
          <c:min val="0"/>
        </c:scaling>
        <c:delete val="0"/>
        <c:axPos val="l"/>
        <c:title>
          <c:tx>
            <c:rich>
              <a:bodyPr rot="-5400000" spcFirstLastPara="1" vertOverflow="ellipsis" vert="horz" wrap="square" anchor="ctr" anchorCtr="1"/>
              <a:lstStyle/>
              <a:p>
                <a:pPr>
                  <a:defRPr sz="900" b="1" i="0" u="none" strike="noStrike" kern="1200" baseline="0">
                    <a:solidFill>
                      <a:sysClr val="windowText" lastClr="000000"/>
                    </a:solidFill>
                    <a:latin typeface="+mn-lt"/>
                    <a:ea typeface="+mn-ea"/>
                    <a:cs typeface="+mn-cs"/>
                  </a:defRPr>
                </a:pPr>
                <a:r>
                  <a:rPr lang="en-US" sz="900" b="1">
                    <a:solidFill>
                      <a:sysClr val="windowText" lastClr="000000"/>
                    </a:solidFill>
                  </a:rPr>
                  <a:t>në miliard Lekë</a:t>
                </a:r>
              </a:p>
            </c:rich>
          </c:tx>
          <c:layout>
            <c:manualLayout>
              <c:xMode val="edge"/>
              <c:yMode val="edge"/>
              <c:x val="4.5293474145556758E-3"/>
              <c:y val="0.18950559751459639"/>
            </c:manualLayout>
          </c:layout>
          <c:overlay val="0"/>
          <c:spPr>
            <a:noFill/>
            <a:ln>
              <a:noFill/>
            </a:ln>
            <a:effectLst/>
          </c:spPr>
        </c:title>
        <c:numFmt formatCode="0" sourceLinked="0"/>
        <c:majorTickMark val="none"/>
        <c:minorTickMark val="none"/>
        <c:tickLblPos val="nextTo"/>
        <c:spPr>
          <a:noFill/>
          <a:ln>
            <a:solidFill>
              <a:schemeClr val="tx1"/>
            </a:solid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en-US"/>
          </a:p>
        </c:txPr>
        <c:crossAx val="-1749769648"/>
        <c:crosses val="autoZero"/>
        <c:crossBetween val="between"/>
      </c:valAx>
      <c:valAx>
        <c:axId val="-1749741360"/>
        <c:scaling>
          <c:orientation val="minMax"/>
          <c:max val="1.2"/>
        </c:scaling>
        <c:delete val="0"/>
        <c:axPos val="r"/>
        <c:numFmt formatCode="0%" sourceLinked="0"/>
        <c:majorTickMark val="none"/>
        <c:minorTickMark val="none"/>
        <c:tickLblPos val="nextTo"/>
        <c:spPr>
          <a:noFill/>
          <a:ln>
            <a:solidFill>
              <a:schemeClr val="tx1"/>
            </a:solid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en-US"/>
          </a:p>
        </c:txPr>
        <c:crossAx val="-1749746800"/>
        <c:crosses val="max"/>
        <c:crossBetween val="between"/>
      </c:valAx>
      <c:catAx>
        <c:axId val="-1749746800"/>
        <c:scaling>
          <c:orientation val="minMax"/>
        </c:scaling>
        <c:delete val="1"/>
        <c:axPos val="b"/>
        <c:numFmt formatCode="General" sourceLinked="1"/>
        <c:majorTickMark val="out"/>
        <c:minorTickMark val="none"/>
        <c:tickLblPos val="nextTo"/>
        <c:crossAx val="-1749741360"/>
        <c:crosses val="autoZero"/>
        <c:auto val="1"/>
        <c:lblAlgn val="ctr"/>
        <c:lblOffset val="100"/>
        <c:noMultiLvlLbl val="0"/>
      </c:catAx>
      <c:spPr>
        <a:noFill/>
        <a:ln>
          <a:noFill/>
        </a:ln>
        <a:effectLst/>
      </c:spPr>
    </c:plotArea>
    <c:legend>
      <c:legendPos val="b"/>
      <c:layout>
        <c:manualLayout>
          <c:xMode val="edge"/>
          <c:yMode val="edge"/>
          <c:x val="0.24373068432671083"/>
          <c:y val="0.88520312678306512"/>
          <c:w val="0.50810693866014367"/>
          <c:h val="0.11479672183834164"/>
        </c:manualLayout>
      </c:layout>
      <c:overlay val="0"/>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2">
    <c:autoUpdate val="0"/>
  </c:externalData>
</c:chartSpace>
</file>

<file path=word/charts/chart28.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10996979648900672"/>
          <c:y val="7.5336567777512672E-2"/>
          <c:w val="0.82014569786816849"/>
          <c:h val="0.70885323385720789"/>
        </c:manualLayout>
      </c:layout>
      <c:barChart>
        <c:barDir val="col"/>
        <c:grouping val="clustered"/>
        <c:varyColors val="0"/>
        <c:ser>
          <c:idx val="0"/>
          <c:order val="0"/>
          <c:tx>
            <c:strRef>
              <c:f>'Sherbimi i Borxhit'!$A$21</c:f>
              <c:strCache>
                <c:ptCount val="1"/>
                <c:pt idx="0">
                  <c:v>Borxhi Shtetëror</c:v>
                </c:pt>
              </c:strCache>
            </c:strRef>
          </c:tx>
          <c:spPr>
            <a:solidFill>
              <a:srgbClr val="5B9BD5"/>
            </a:solidFill>
            <a:ln>
              <a:noFill/>
            </a:ln>
            <a:effectLst/>
          </c:spPr>
          <c:invertIfNegative val="0"/>
          <c:dLbls>
            <c:numFmt formatCode="#,##0.0" sourceLinked="0"/>
            <c:spPr>
              <a:noFill/>
              <a:ln>
                <a:noFill/>
              </a:ln>
              <a:effectLst/>
            </c:spPr>
            <c:txPr>
              <a:bodyPr rot="-5400000" spcFirstLastPara="1" vertOverflow="ellipsis" wrap="square" lIns="38100" tIns="19050" rIns="38100" bIns="19050" anchor="ctr" anchorCtr="1">
                <a:spAutoFit/>
              </a:bodyPr>
              <a:lstStyle/>
              <a:p>
                <a:pPr>
                  <a:defRPr sz="800" b="1" i="0" u="none" strike="noStrike" kern="1200" baseline="0">
                    <a:solidFill>
                      <a:schemeClr val="bg1"/>
                    </a:solidFill>
                    <a:latin typeface="+mn-lt"/>
                    <a:ea typeface="+mn-ea"/>
                    <a:cs typeface="+mn-cs"/>
                  </a:defRPr>
                </a:pPr>
                <a:endParaRPr lang="en-US"/>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'Sherbimi i Borxhit'!$B$20:$F$20</c:f>
              <c:strCache>
                <c:ptCount val="5"/>
                <c:pt idx="0">
                  <c:v>TM. I 2016</c:v>
                </c:pt>
                <c:pt idx="1">
                  <c:v>TM. I 2017</c:v>
                </c:pt>
                <c:pt idx="2">
                  <c:v>TM. I 2018</c:v>
                </c:pt>
                <c:pt idx="3">
                  <c:v>TM. I 2019</c:v>
                </c:pt>
                <c:pt idx="4">
                  <c:v>TM. I 2020</c:v>
                </c:pt>
              </c:strCache>
            </c:strRef>
          </c:cat>
          <c:val>
            <c:numRef>
              <c:f>'Sherbimi i Borxhit'!$B$21:$F$21</c:f>
              <c:numCache>
                <c:formatCode>_(* #,##0.00_);_(* \(#,##0.00\);_(* "-"??_);_(@_)</c:formatCode>
                <c:ptCount val="5"/>
                <c:pt idx="0">
                  <c:v>1002.7670000000001</c:v>
                </c:pt>
                <c:pt idx="1">
                  <c:v>1037.9153550000001</c:v>
                </c:pt>
                <c:pt idx="2">
                  <c:v>1036.96382804</c:v>
                </c:pt>
                <c:pt idx="3">
                  <c:v>1071.2833191361037</c:v>
                </c:pt>
                <c:pt idx="4">
                  <c:v>1117.8424769905716</c:v>
                </c:pt>
              </c:numCache>
            </c:numRef>
          </c:val>
        </c:ser>
        <c:ser>
          <c:idx val="1"/>
          <c:order val="1"/>
          <c:tx>
            <c:strRef>
              <c:f>'Sherbimi i Borxhit'!$A$22</c:f>
              <c:strCache>
                <c:ptCount val="1"/>
                <c:pt idx="0">
                  <c:v>Interesa</c:v>
                </c:pt>
              </c:strCache>
            </c:strRef>
          </c:tx>
          <c:spPr>
            <a:solidFill>
              <a:srgbClr val="C00000"/>
            </a:solidFill>
            <a:ln>
              <a:noFill/>
            </a:ln>
            <a:effectLst/>
          </c:spPr>
          <c:invertIfNegative val="0"/>
          <c:dLbls>
            <c:numFmt formatCode="#,##0.0" sourceLinked="0"/>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rgbClr val="C00000"/>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'Sherbimi i Borxhit'!$B$20:$F$20</c:f>
              <c:strCache>
                <c:ptCount val="5"/>
                <c:pt idx="0">
                  <c:v>TM. I 2016</c:v>
                </c:pt>
                <c:pt idx="1">
                  <c:v>TM. I 2017</c:v>
                </c:pt>
                <c:pt idx="2">
                  <c:v>TM. I 2018</c:v>
                </c:pt>
                <c:pt idx="3">
                  <c:v>TM. I 2019</c:v>
                </c:pt>
                <c:pt idx="4">
                  <c:v>TM. I 2020</c:v>
                </c:pt>
              </c:strCache>
            </c:strRef>
          </c:cat>
          <c:val>
            <c:numRef>
              <c:f>'Sherbimi i Borxhit'!$B$22:$F$22</c:f>
              <c:numCache>
                <c:formatCode>_(* #,##0.00_);_(* \(#,##0.00\);_(* "-"??_);_(@_)</c:formatCode>
                <c:ptCount val="5"/>
                <c:pt idx="0">
                  <c:v>9.282</c:v>
                </c:pt>
                <c:pt idx="1">
                  <c:v>7.8230000000000004</c:v>
                </c:pt>
                <c:pt idx="2">
                  <c:v>8.4881000000000011</c:v>
                </c:pt>
                <c:pt idx="3">
                  <c:v>9.5246438075489976</c:v>
                </c:pt>
                <c:pt idx="4">
                  <c:v>9.0629600565800015</c:v>
                </c:pt>
              </c:numCache>
            </c:numRef>
          </c:val>
        </c:ser>
        <c:dLbls>
          <c:showLegendKey val="0"/>
          <c:showVal val="0"/>
          <c:showCatName val="0"/>
          <c:showSerName val="0"/>
          <c:showPercent val="0"/>
          <c:showBubbleSize val="0"/>
        </c:dLbls>
        <c:gapWidth val="150"/>
        <c:overlap val="-27"/>
        <c:axId val="-1748747504"/>
        <c:axId val="-1748746960"/>
      </c:barChart>
      <c:lineChart>
        <c:grouping val="standard"/>
        <c:varyColors val="0"/>
        <c:ser>
          <c:idx val="2"/>
          <c:order val="2"/>
          <c:tx>
            <c:strRef>
              <c:f>'Sherbimi i Borxhit'!$A$23</c:f>
              <c:strCache>
                <c:ptCount val="1"/>
                <c:pt idx="0">
                  <c:v>Interesa/PBB</c:v>
                </c:pt>
              </c:strCache>
            </c:strRef>
          </c:tx>
          <c:spPr>
            <a:ln w="22225" cap="rnd">
              <a:solidFill>
                <a:sysClr val="window" lastClr="FFFFFF">
                  <a:lumMod val="50000"/>
                </a:sysClr>
              </a:solidFill>
              <a:round/>
            </a:ln>
            <a:effectLst/>
          </c:spPr>
          <c:marker>
            <c:symbol val="diamond"/>
            <c:size val="5"/>
            <c:spPr>
              <a:solidFill>
                <a:schemeClr val="bg1">
                  <a:lumMod val="50000"/>
                </a:schemeClr>
              </a:solidFill>
              <a:ln w="9525">
                <a:noFill/>
              </a:ln>
              <a:effectLst/>
            </c:spPr>
          </c:marker>
          <c:dLbls>
            <c:dLbl>
              <c:idx val="0"/>
              <c:layout>
                <c:manualLayout>
                  <c:x val="-7.3300997375328088E-3"/>
                  <c:y val="-8.191150348630663E-2"/>
                </c:manualLayout>
              </c:layout>
              <c:showLegendKey val="0"/>
              <c:showVal val="1"/>
              <c:showCatName val="0"/>
              <c:showSerName val="0"/>
              <c:showPercent val="0"/>
              <c:showBubbleSize val="0"/>
              <c:extLst>
                <c:ext xmlns:c15="http://schemas.microsoft.com/office/drawing/2012/chart" uri="{CE6537A1-D6FC-4f65-9D91-7224C49458BB}"/>
              </c:extLst>
            </c:dLbl>
            <c:dLbl>
              <c:idx val="1"/>
              <c:layout>
                <c:manualLayout>
                  <c:x val="-1.632386351706033E-2"/>
                  <c:y val="-9.3641931122246086E-2"/>
                </c:manualLayout>
              </c:layout>
              <c:showLegendKey val="0"/>
              <c:showVal val="1"/>
              <c:showCatName val="0"/>
              <c:showSerName val="0"/>
              <c:showPercent val="0"/>
              <c:showBubbleSize val="0"/>
              <c:extLst>
                <c:ext xmlns:c15="http://schemas.microsoft.com/office/drawing/2012/chart" uri="{CE6537A1-D6FC-4f65-9D91-7224C49458BB}"/>
              </c:extLst>
            </c:dLbl>
            <c:dLbl>
              <c:idx val="2"/>
              <c:layout>
                <c:manualLayout>
                  <c:x val="-1.6885753280839896E-2"/>
                  <c:y val="-0.11501471406983219"/>
                </c:manualLayout>
              </c:layout>
              <c:showLegendKey val="0"/>
              <c:showVal val="1"/>
              <c:showCatName val="0"/>
              <c:showSerName val="0"/>
              <c:showPercent val="0"/>
              <c:showBubbleSize val="0"/>
              <c:extLst>
                <c:ext xmlns:c15="http://schemas.microsoft.com/office/drawing/2012/chart" uri="{CE6537A1-D6FC-4f65-9D91-7224C49458BB}"/>
              </c:extLst>
            </c:dLbl>
            <c:dLbl>
              <c:idx val="3"/>
              <c:layout>
                <c:manualLayout>
                  <c:x val="-1.1894089238845145E-2"/>
                  <c:y val="-9.8690845462499011E-2"/>
                </c:manualLayout>
              </c:layout>
              <c:showLegendKey val="0"/>
              <c:showVal val="1"/>
              <c:showCatName val="0"/>
              <c:showSerName val="0"/>
              <c:showPercent val="0"/>
              <c:showBubbleSize val="0"/>
              <c:extLst>
                <c:ext xmlns:c15="http://schemas.microsoft.com/office/drawing/2012/chart" uri="{CE6537A1-D6FC-4f65-9D91-7224C49458BB}"/>
              </c:extLst>
            </c:dLbl>
            <c:dLbl>
              <c:idx val="4"/>
              <c:layout>
                <c:manualLayout>
                  <c:x val="-1.5172871391076115E-2"/>
                  <c:y val="-9.7447440282085948E-2"/>
                </c:manualLayout>
              </c:layout>
              <c:showLegendKey val="0"/>
              <c:showVal val="1"/>
              <c:showCatName val="0"/>
              <c:showSerName val="0"/>
              <c:showPercent val="0"/>
              <c:showBubbleSize val="0"/>
              <c:extLst>
                <c:ext xmlns:c15="http://schemas.microsoft.com/office/drawing/2012/chart" uri="{CE6537A1-D6FC-4f65-9D91-7224C49458BB}"/>
              </c:extLst>
            </c:dLbl>
            <c:spPr>
              <a:noFill/>
              <a:ln>
                <a:noFill/>
              </a:ln>
              <a:effectLst/>
            </c:spPr>
            <c:txPr>
              <a:bodyPr rot="0" spcFirstLastPara="1" vertOverflow="ellipsis" vert="horz" wrap="square" lIns="38100" tIns="19050" rIns="38100" bIns="19050" anchor="ctr" anchorCtr="1">
                <a:spAutoFit/>
              </a:bodyPr>
              <a:lstStyle/>
              <a:p>
                <a:pPr>
                  <a:defRPr sz="800" b="1" i="0" u="none" strike="noStrike" kern="1200" baseline="0">
                    <a:solidFill>
                      <a:sysClr val="windowText" lastClr="000000"/>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'Sherbimi i Borxhit'!$B$20:$F$20</c:f>
              <c:strCache>
                <c:ptCount val="5"/>
                <c:pt idx="0">
                  <c:v>TM. I 2016</c:v>
                </c:pt>
                <c:pt idx="1">
                  <c:v>TM. I 2017</c:v>
                </c:pt>
                <c:pt idx="2">
                  <c:v>TM. I 2018</c:v>
                </c:pt>
                <c:pt idx="3">
                  <c:v>TM. I 2019</c:v>
                </c:pt>
                <c:pt idx="4">
                  <c:v>TM. I 2020</c:v>
                </c:pt>
              </c:strCache>
            </c:strRef>
          </c:cat>
          <c:val>
            <c:numRef>
              <c:f>'Sherbimi i Borxhit'!$B$23:$F$23</c:f>
              <c:numCache>
                <c:formatCode>0.00%</c:formatCode>
                <c:ptCount val="5"/>
                <c:pt idx="0">
                  <c:v>6.3036526957657001E-3</c:v>
                </c:pt>
                <c:pt idx="1">
                  <c:v>5.0429277370308192E-3</c:v>
                </c:pt>
                <c:pt idx="2">
                  <c:v>5.2045344170795023E-3</c:v>
                </c:pt>
                <c:pt idx="3">
                  <c:v>5.6395743023429628E-3</c:v>
                </c:pt>
                <c:pt idx="4">
                  <c:v>5.2036972164719742E-3</c:v>
                </c:pt>
              </c:numCache>
            </c:numRef>
          </c:val>
          <c:smooth val="1"/>
        </c:ser>
        <c:ser>
          <c:idx val="3"/>
          <c:order val="3"/>
          <c:tx>
            <c:strRef>
              <c:f>'Sherbimi i Borxhit'!$A$24</c:f>
              <c:strCache>
                <c:ptCount val="1"/>
                <c:pt idx="0">
                  <c:v>Interesa/Të Ardhura Tatimore</c:v>
                </c:pt>
              </c:strCache>
            </c:strRef>
          </c:tx>
          <c:spPr>
            <a:ln w="22225" cap="rnd">
              <a:solidFill>
                <a:srgbClr val="C00000"/>
              </a:solidFill>
              <a:round/>
            </a:ln>
            <a:effectLst/>
          </c:spPr>
          <c:marker>
            <c:symbol val="diamond"/>
            <c:size val="5"/>
            <c:spPr>
              <a:solidFill>
                <a:srgbClr val="C00000"/>
              </a:solidFill>
              <a:ln w="9525">
                <a:noFill/>
              </a:ln>
              <a:effectLst/>
            </c:spPr>
          </c:marker>
          <c:dLbls>
            <c:dLbl>
              <c:idx val="0"/>
              <c:layout>
                <c:manualLayout>
                  <c:x val="-8.8632838466651889E-3"/>
                  <c:y val="-3.0694448392506894E-2"/>
                </c:manualLayout>
              </c:layout>
              <c:showLegendKey val="0"/>
              <c:showVal val="1"/>
              <c:showCatName val="0"/>
              <c:showSerName val="0"/>
              <c:showPercent val="0"/>
              <c:showBubbleSize val="0"/>
              <c:extLst>
                <c:ext xmlns:c15="http://schemas.microsoft.com/office/drawing/2012/chart" uri="{CE6537A1-D6FC-4f65-9D91-7224C49458BB}"/>
              </c:extLst>
            </c:dLbl>
            <c:dLbl>
              <c:idx val="1"/>
              <c:layout>
                <c:manualLayout>
                  <c:x val="-1.0645536691029066E-2"/>
                  <c:y val="-5.9575314818499703E-2"/>
                </c:manualLayout>
              </c:layout>
              <c:showLegendKey val="0"/>
              <c:showVal val="1"/>
              <c:showCatName val="0"/>
              <c:showSerName val="0"/>
              <c:showPercent val="0"/>
              <c:showBubbleSize val="0"/>
              <c:extLst>
                <c:ext xmlns:c15="http://schemas.microsoft.com/office/drawing/2012/chart" uri="{CE6537A1-D6FC-4f65-9D91-7224C49458BB}"/>
              </c:extLst>
            </c:dLbl>
            <c:dLbl>
              <c:idx val="2"/>
              <c:layout>
                <c:manualLayout>
                  <c:x val="-1.7726567693330378E-2"/>
                  <c:y val="-6.6083743142215545E-2"/>
                </c:manualLayout>
              </c:layout>
              <c:showLegendKey val="0"/>
              <c:showVal val="1"/>
              <c:showCatName val="0"/>
              <c:showSerName val="0"/>
              <c:showPercent val="0"/>
              <c:showBubbleSize val="0"/>
              <c:extLst>
                <c:ext xmlns:c15="http://schemas.microsoft.com/office/drawing/2012/chart" uri="{CE6537A1-D6FC-4f65-9D91-7224C49458BB}"/>
              </c:extLst>
            </c:dLbl>
            <c:dLbl>
              <c:idx val="3"/>
              <c:layout>
                <c:manualLayout>
                  <c:x val="-8.2128444336658224E-3"/>
                  <c:y val="-7.077858949941726E-2"/>
                </c:manualLayout>
              </c:layout>
              <c:showLegendKey val="0"/>
              <c:showVal val="1"/>
              <c:showCatName val="0"/>
              <c:showSerName val="0"/>
              <c:showPercent val="0"/>
              <c:showBubbleSize val="0"/>
              <c:extLst>
                <c:ext xmlns:c15="http://schemas.microsoft.com/office/drawing/2012/chart" uri="{CE6537A1-D6FC-4f65-9D91-7224C49458BB}"/>
              </c:extLst>
            </c:dLbl>
            <c:dLbl>
              <c:idx val="4"/>
              <c:layout>
                <c:manualLayout>
                  <c:x val="-2.3506719869632958E-2"/>
                  <c:y val="-6.3558372892919074E-2"/>
                </c:manualLayout>
              </c:layout>
              <c:showLegendKey val="0"/>
              <c:showVal val="1"/>
              <c:showCatName val="0"/>
              <c:showSerName val="0"/>
              <c:showPercent val="0"/>
              <c:showBubbleSize val="0"/>
              <c:extLst>
                <c:ext xmlns:c15="http://schemas.microsoft.com/office/drawing/2012/chart" uri="{CE6537A1-D6FC-4f65-9D91-7224C49458BB}"/>
              </c:extLst>
            </c:dLbl>
            <c:numFmt formatCode="0.00%" sourceLinked="0"/>
            <c:spPr>
              <a:noFill/>
              <a:ln>
                <a:noFill/>
              </a:ln>
              <a:effectLst/>
            </c:spPr>
            <c:txPr>
              <a:bodyPr rot="0" spcFirstLastPara="1" vertOverflow="ellipsis" vert="horz" wrap="square" lIns="38100" tIns="19050" rIns="38100" bIns="19050" anchor="ctr" anchorCtr="1">
                <a:spAutoFit/>
              </a:bodyPr>
              <a:lstStyle/>
              <a:p>
                <a:pPr>
                  <a:defRPr sz="800" b="1" i="0" u="none" strike="noStrike" kern="1200" baseline="0">
                    <a:solidFill>
                      <a:srgbClr val="C00000"/>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'Sherbimi i Borxhit'!$B$20:$F$20</c:f>
              <c:strCache>
                <c:ptCount val="5"/>
                <c:pt idx="0">
                  <c:v>TM. I 2016</c:v>
                </c:pt>
                <c:pt idx="1">
                  <c:v>TM. I 2017</c:v>
                </c:pt>
                <c:pt idx="2">
                  <c:v>TM. I 2018</c:v>
                </c:pt>
                <c:pt idx="3">
                  <c:v>TM. I 2019</c:v>
                </c:pt>
                <c:pt idx="4">
                  <c:v>TM. I 2020</c:v>
                </c:pt>
              </c:strCache>
            </c:strRef>
          </c:cat>
          <c:val>
            <c:numRef>
              <c:f>'Sherbimi i Borxhit'!$B$24:$F$24</c:f>
              <c:numCache>
                <c:formatCode>0.00%</c:formatCode>
                <c:ptCount val="5"/>
                <c:pt idx="0">
                  <c:v>0.10527987296546248</c:v>
                </c:pt>
                <c:pt idx="1">
                  <c:v>8.2738416304428297E-2</c:v>
                </c:pt>
                <c:pt idx="2">
                  <c:v>8.621211505647193E-2</c:v>
                </c:pt>
                <c:pt idx="3">
                  <c:v>9.3790804785223308E-2</c:v>
                </c:pt>
                <c:pt idx="4">
                  <c:v>9.3431614690364026E-2</c:v>
                </c:pt>
              </c:numCache>
            </c:numRef>
          </c:val>
          <c:smooth val="1"/>
        </c:ser>
        <c:dLbls>
          <c:showLegendKey val="0"/>
          <c:showVal val="0"/>
          <c:showCatName val="0"/>
          <c:showSerName val="0"/>
          <c:showPercent val="0"/>
          <c:showBubbleSize val="0"/>
        </c:dLbls>
        <c:marker val="1"/>
        <c:smooth val="0"/>
        <c:axId val="-1748748592"/>
        <c:axId val="-1748749136"/>
      </c:lineChart>
      <c:catAx>
        <c:axId val="-1748747504"/>
        <c:scaling>
          <c:orientation val="minMax"/>
        </c:scaling>
        <c:delete val="0"/>
        <c:axPos val="b"/>
        <c:numFmt formatCode="General" sourceLinked="1"/>
        <c:majorTickMark val="none"/>
        <c:minorTickMark val="none"/>
        <c:tickLblPos val="nextTo"/>
        <c:spPr>
          <a:noFill/>
          <a:ln w="9525" cap="flat" cmpd="sng" algn="ctr">
            <a:solidFill>
              <a:schemeClr val="tx1"/>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en-US"/>
          </a:p>
        </c:txPr>
        <c:crossAx val="-1748746960"/>
        <c:crosses val="autoZero"/>
        <c:auto val="1"/>
        <c:lblAlgn val="ctr"/>
        <c:lblOffset val="100"/>
        <c:noMultiLvlLbl val="0"/>
      </c:catAx>
      <c:valAx>
        <c:axId val="-1748746960"/>
        <c:scaling>
          <c:orientation val="minMax"/>
          <c:max val="1200"/>
          <c:min val="0"/>
        </c:scaling>
        <c:delete val="0"/>
        <c:axPos val="l"/>
        <c:title>
          <c:tx>
            <c:rich>
              <a:bodyPr rot="-5400000" spcFirstLastPara="1" vertOverflow="ellipsis" vert="horz" wrap="square" anchor="ctr" anchorCtr="1"/>
              <a:lstStyle/>
              <a:p>
                <a:pPr>
                  <a:defRPr sz="900" b="1" i="0" u="none" strike="noStrike" kern="1200" baseline="0">
                    <a:solidFill>
                      <a:sysClr val="windowText" lastClr="000000"/>
                    </a:solidFill>
                    <a:latin typeface="+mn-lt"/>
                    <a:ea typeface="+mn-ea"/>
                    <a:cs typeface="+mn-cs"/>
                  </a:defRPr>
                </a:pPr>
                <a:r>
                  <a:rPr lang="en-US" sz="900" b="1">
                    <a:solidFill>
                      <a:sysClr val="windowText" lastClr="000000"/>
                    </a:solidFill>
                  </a:rPr>
                  <a:t>në miliard Lekë</a:t>
                </a:r>
              </a:p>
            </c:rich>
          </c:tx>
          <c:layout>
            <c:manualLayout>
              <c:xMode val="edge"/>
              <c:yMode val="edge"/>
              <c:x val="1.0573478891252042E-2"/>
              <c:y val="0.21170550650865608"/>
            </c:manualLayout>
          </c:layout>
          <c:overlay val="0"/>
          <c:spPr>
            <a:noFill/>
            <a:ln>
              <a:noFill/>
            </a:ln>
            <a:effectLst/>
          </c:spPr>
        </c:title>
        <c:numFmt formatCode="#,##0" sourceLinked="0"/>
        <c:majorTickMark val="none"/>
        <c:minorTickMark val="none"/>
        <c:tickLblPos val="nextTo"/>
        <c:spPr>
          <a:noFill/>
          <a:ln>
            <a:solidFill>
              <a:schemeClr val="tx1"/>
            </a:solid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en-US"/>
          </a:p>
        </c:txPr>
        <c:crossAx val="-1748747504"/>
        <c:crosses val="autoZero"/>
        <c:crossBetween val="between"/>
        <c:majorUnit val="200"/>
      </c:valAx>
      <c:valAx>
        <c:axId val="-1748749136"/>
        <c:scaling>
          <c:orientation val="minMax"/>
          <c:max val="0.12000000000000001"/>
        </c:scaling>
        <c:delete val="0"/>
        <c:axPos val="r"/>
        <c:numFmt formatCode="0%" sourceLinked="0"/>
        <c:majorTickMark val="none"/>
        <c:minorTickMark val="none"/>
        <c:tickLblPos val="nextTo"/>
        <c:spPr>
          <a:noFill/>
          <a:ln>
            <a:solidFill>
              <a:schemeClr val="tx1"/>
            </a:solid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en-US"/>
          </a:p>
        </c:txPr>
        <c:crossAx val="-1748748592"/>
        <c:crosses val="max"/>
        <c:crossBetween val="between"/>
        <c:majorUnit val="2.0000000000000004E-2"/>
      </c:valAx>
      <c:catAx>
        <c:axId val="-1748748592"/>
        <c:scaling>
          <c:orientation val="minMax"/>
        </c:scaling>
        <c:delete val="1"/>
        <c:axPos val="b"/>
        <c:numFmt formatCode="General" sourceLinked="1"/>
        <c:majorTickMark val="none"/>
        <c:minorTickMark val="none"/>
        <c:tickLblPos val="nextTo"/>
        <c:crossAx val="-1748749136"/>
        <c:crosses val="autoZero"/>
        <c:auto val="1"/>
        <c:lblAlgn val="ctr"/>
        <c:lblOffset val="100"/>
        <c:noMultiLvlLbl val="0"/>
      </c:catAx>
      <c:spPr>
        <a:noFill/>
        <a:ln>
          <a:noFill/>
        </a:ln>
        <a:effectLst/>
      </c:spPr>
    </c:plotArea>
    <c:legend>
      <c:legendPos val="b"/>
      <c:layout>
        <c:manualLayout>
          <c:xMode val="edge"/>
          <c:yMode val="edge"/>
          <c:x val="0.10244228833239408"/>
          <c:y val="0.91456878496248561"/>
          <c:w val="0.82487738024613511"/>
          <c:h val="7.9225906620827333E-2"/>
        </c:manualLayout>
      </c:layout>
      <c:overlay val="0"/>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2">
    <c:autoUpdate val="0"/>
  </c:externalData>
</c:chartSpace>
</file>

<file path=word/charts/chart29.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071438185611414"/>
          <c:y val="9.0879536840309749E-2"/>
          <c:w val="0.79152746718733524"/>
          <c:h val="0.66325400787150723"/>
        </c:manualLayout>
      </c:layout>
      <c:lineChart>
        <c:grouping val="standard"/>
        <c:varyColors val="0"/>
        <c:ser>
          <c:idx val="0"/>
          <c:order val="0"/>
          <c:tx>
            <c:strRef>
              <c:f>'Sherbimi i Borxhit'!$A$46</c:f>
              <c:strCache>
                <c:ptCount val="1"/>
                <c:pt idx="0">
                  <c:v>Norma mesatare e interesit</c:v>
                </c:pt>
              </c:strCache>
            </c:strRef>
          </c:tx>
          <c:spPr>
            <a:ln w="28575" cap="rnd">
              <a:solidFill>
                <a:schemeClr val="accent1"/>
              </a:solidFill>
              <a:round/>
            </a:ln>
            <a:effectLst/>
          </c:spPr>
          <c:marker>
            <c:symbol val="diamond"/>
            <c:size val="5"/>
            <c:spPr>
              <a:solidFill>
                <a:schemeClr val="accent1"/>
              </a:solidFill>
              <a:ln w="9525">
                <a:solidFill>
                  <a:schemeClr val="accent1"/>
                </a:solidFill>
              </a:ln>
              <a:effectLst/>
            </c:spPr>
          </c:marker>
          <c:dLbls>
            <c:dLbl>
              <c:idx val="0"/>
              <c:layout>
                <c:manualLayout>
                  <c:x val="-4.9066666666666668E-2"/>
                  <c:y val="3.2193152153202211E-2"/>
                </c:manualLayout>
              </c:layout>
              <c:showLegendKey val="0"/>
              <c:showVal val="1"/>
              <c:showCatName val="0"/>
              <c:showSerName val="0"/>
              <c:showPercent val="0"/>
              <c:showBubbleSize val="0"/>
              <c:extLst>
                <c:ext xmlns:c15="http://schemas.microsoft.com/office/drawing/2012/chart" uri="{CE6537A1-D6FC-4f65-9D91-7224C49458BB}"/>
              </c:extLst>
            </c:dLbl>
            <c:dLbl>
              <c:idx val="1"/>
              <c:layout>
                <c:manualLayout>
                  <c:x val="-4.48E-2"/>
                  <c:y val="5.9020778947537413E-2"/>
                </c:manualLayout>
              </c:layout>
              <c:showLegendKey val="0"/>
              <c:showVal val="1"/>
              <c:showCatName val="0"/>
              <c:showSerName val="0"/>
              <c:showPercent val="0"/>
              <c:showBubbleSize val="0"/>
              <c:extLst>
                <c:ext xmlns:c15="http://schemas.microsoft.com/office/drawing/2012/chart" uri="{CE6537A1-D6FC-4f65-9D91-7224C49458BB}"/>
              </c:extLst>
            </c:dLbl>
            <c:dLbl>
              <c:idx val="2"/>
              <c:layout>
                <c:manualLayout>
                  <c:x val="-4.48E-2"/>
                  <c:y val="6.4386304306404449E-2"/>
                </c:manualLayout>
              </c:layout>
              <c:showLegendKey val="0"/>
              <c:showVal val="1"/>
              <c:showCatName val="0"/>
              <c:showSerName val="0"/>
              <c:showPercent val="0"/>
              <c:showBubbleSize val="0"/>
              <c:extLst>
                <c:ext xmlns:c15="http://schemas.microsoft.com/office/drawing/2012/chart" uri="{CE6537A1-D6FC-4f65-9D91-7224C49458BB}"/>
              </c:extLst>
            </c:dLbl>
            <c:dLbl>
              <c:idx val="3"/>
              <c:layout>
                <c:manualLayout>
                  <c:x val="-4.0533333333333331E-2"/>
                  <c:y val="4.8289728229803389E-2"/>
                </c:manualLayout>
              </c:layout>
              <c:showLegendKey val="0"/>
              <c:showVal val="1"/>
              <c:showCatName val="0"/>
              <c:showSerName val="0"/>
              <c:showPercent val="0"/>
              <c:showBubbleSize val="0"/>
              <c:extLst>
                <c:ext xmlns:c15="http://schemas.microsoft.com/office/drawing/2012/chart" uri="{CE6537A1-D6FC-4f65-9D91-7224C49458BB}"/>
              </c:extLst>
            </c:dLbl>
            <c:dLbl>
              <c:idx val="4"/>
              <c:layout>
                <c:manualLayout>
                  <c:x val="-4.6933333333333487E-2"/>
                  <c:y val="4.8289728229803243E-2"/>
                </c:manualLayout>
              </c:layout>
              <c:showLegendKey val="0"/>
              <c:showVal val="1"/>
              <c:showCatName val="0"/>
              <c:showSerName val="0"/>
              <c:showPercent val="0"/>
              <c:showBubbleSize val="0"/>
              <c:extLst>
                <c:ext xmlns:c15="http://schemas.microsoft.com/office/drawing/2012/chart" uri="{CE6537A1-D6FC-4f65-9D91-7224C49458BB}"/>
              </c:extLst>
            </c:dLbl>
            <c:spPr>
              <a:noFill/>
              <a:ln>
                <a:noFill/>
              </a:ln>
              <a:effectLst/>
            </c:spPr>
            <c:txPr>
              <a:bodyPr rot="0" spcFirstLastPara="1" vertOverflow="ellipsis" vert="horz" wrap="square" lIns="38100" tIns="19050" rIns="38100" bIns="19050" anchor="ctr" anchorCtr="1">
                <a:spAutoFit/>
              </a:bodyPr>
              <a:lstStyle/>
              <a:p>
                <a:pPr>
                  <a:defRPr sz="800" b="1" i="0" u="none" strike="noStrike" kern="1200" baseline="0">
                    <a:solidFill>
                      <a:schemeClr val="accent1"/>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'Sherbimi i Borxhit'!$B$45:$F$45</c:f>
              <c:strCache>
                <c:ptCount val="5"/>
                <c:pt idx="0">
                  <c:v>2016</c:v>
                </c:pt>
                <c:pt idx="1">
                  <c:v>2017</c:v>
                </c:pt>
                <c:pt idx="2">
                  <c:v>2018</c:v>
                </c:pt>
                <c:pt idx="3">
                  <c:v>2019</c:v>
                </c:pt>
                <c:pt idx="4">
                  <c:v>Mars 2020</c:v>
                </c:pt>
              </c:strCache>
            </c:strRef>
          </c:cat>
          <c:val>
            <c:numRef>
              <c:f>'Sherbimi i Borxhit'!$B$46:$F$46</c:f>
              <c:numCache>
                <c:formatCode>0.00%</c:formatCode>
                <c:ptCount val="5"/>
                <c:pt idx="0">
                  <c:v>4.3700000000000003E-2</c:v>
                </c:pt>
                <c:pt idx="1">
                  <c:v>4.3299999999999998E-2</c:v>
                </c:pt>
                <c:pt idx="2">
                  <c:v>4.1829999999999999E-2</c:v>
                </c:pt>
                <c:pt idx="3">
                  <c:v>3.8350000000000002E-2</c:v>
                </c:pt>
                <c:pt idx="4">
                  <c:v>3.7889569294742867E-2</c:v>
                </c:pt>
              </c:numCache>
            </c:numRef>
          </c:val>
          <c:smooth val="1"/>
        </c:ser>
        <c:dLbls>
          <c:showLegendKey val="0"/>
          <c:showVal val="0"/>
          <c:showCatName val="0"/>
          <c:showSerName val="0"/>
          <c:showPercent val="0"/>
          <c:showBubbleSize val="0"/>
        </c:dLbls>
        <c:marker val="1"/>
        <c:smooth val="0"/>
        <c:axId val="-1748748048"/>
        <c:axId val="-1748750224"/>
      </c:lineChart>
      <c:lineChart>
        <c:grouping val="standard"/>
        <c:varyColors val="0"/>
        <c:ser>
          <c:idx val="1"/>
          <c:order val="1"/>
          <c:tx>
            <c:strRef>
              <c:f>'Sherbimi i Borxhit'!$A$47</c:f>
              <c:strCache>
                <c:ptCount val="1"/>
                <c:pt idx="0">
                  <c:v>Koha mesatare deri në maturim (në ditë)</c:v>
                </c:pt>
              </c:strCache>
            </c:strRef>
          </c:tx>
          <c:spPr>
            <a:ln w="28575" cap="rnd">
              <a:solidFill>
                <a:srgbClr val="C00000"/>
              </a:solidFill>
              <a:round/>
            </a:ln>
            <a:effectLst/>
          </c:spPr>
          <c:marker>
            <c:symbol val="square"/>
            <c:size val="5"/>
            <c:spPr>
              <a:solidFill>
                <a:srgbClr val="C00000"/>
              </a:solidFill>
              <a:ln w="9525">
                <a:solidFill>
                  <a:srgbClr val="C00000"/>
                </a:solidFill>
              </a:ln>
              <a:effectLst/>
            </c:spPr>
          </c:marker>
          <c:dLbls>
            <c:dLbl>
              <c:idx val="0"/>
              <c:layout>
                <c:manualLayout>
                  <c:x val="-2.3466666666666667E-2"/>
                  <c:y val="-6.9751829665271534E-2"/>
                </c:manualLayout>
              </c:layout>
              <c:showLegendKey val="0"/>
              <c:showVal val="1"/>
              <c:showCatName val="0"/>
              <c:showSerName val="0"/>
              <c:showPercent val="0"/>
              <c:showBubbleSize val="0"/>
              <c:extLst>
                <c:ext xmlns:c15="http://schemas.microsoft.com/office/drawing/2012/chart" uri="{CE6537A1-D6FC-4f65-9D91-7224C49458BB}"/>
              </c:extLst>
            </c:dLbl>
            <c:dLbl>
              <c:idx val="1"/>
              <c:layout>
                <c:manualLayout>
                  <c:x val="-1.2800000000000001E-2"/>
                  <c:y val="-9.1213931100739665E-2"/>
                </c:manualLayout>
              </c:layout>
              <c:showLegendKey val="0"/>
              <c:showVal val="1"/>
              <c:showCatName val="0"/>
              <c:showSerName val="0"/>
              <c:showPercent val="0"/>
              <c:showBubbleSize val="0"/>
              <c:extLst>
                <c:ext xmlns:c15="http://schemas.microsoft.com/office/drawing/2012/chart" uri="{CE6537A1-D6FC-4f65-9D91-7224C49458BB}"/>
              </c:extLst>
            </c:dLbl>
            <c:dLbl>
              <c:idx val="2"/>
              <c:layout>
                <c:manualLayout>
                  <c:x val="-3.2000000000000077E-2"/>
                  <c:y val="-6.4386304306404449E-2"/>
                </c:manualLayout>
              </c:layout>
              <c:showLegendKey val="0"/>
              <c:showVal val="1"/>
              <c:showCatName val="0"/>
              <c:showSerName val="0"/>
              <c:showPercent val="0"/>
              <c:showBubbleSize val="0"/>
              <c:extLst>
                <c:ext xmlns:c15="http://schemas.microsoft.com/office/drawing/2012/chart" uri="{CE6537A1-D6FC-4f65-9D91-7224C49458BB}"/>
              </c:extLst>
            </c:dLbl>
            <c:dLbl>
              <c:idx val="3"/>
              <c:layout>
                <c:manualLayout>
                  <c:x val="-2.3466666666666743E-2"/>
                  <c:y val="-7.5117355024138549E-2"/>
                </c:manualLayout>
              </c:layout>
              <c:showLegendKey val="0"/>
              <c:showVal val="1"/>
              <c:showCatName val="0"/>
              <c:showSerName val="0"/>
              <c:showPercent val="0"/>
              <c:showBubbleSize val="0"/>
              <c:extLst>
                <c:ext xmlns:c15="http://schemas.microsoft.com/office/drawing/2012/chart" uri="{CE6537A1-D6FC-4f65-9D91-7224C49458BB}"/>
              </c:extLst>
            </c:dLbl>
            <c:dLbl>
              <c:idx val="4"/>
              <c:layout>
                <c:manualLayout>
                  <c:x val="-3.2000000000000153E-2"/>
                  <c:y val="-5.9020778947537413E-2"/>
                </c:manualLayout>
              </c:layout>
              <c:showLegendKey val="0"/>
              <c:showVal val="1"/>
              <c:showCatName val="0"/>
              <c:showSerName val="0"/>
              <c:showPercent val="0"/>
              <c:showBubbleSize val="0"/>
              <c:extLst>
                <c:ext xmlns:c15="http://schemas.microsoft.com/office/drawing/2012/chart" uri="{CE6537A1-D6FC-4f65-9D91-7224C49458BB}"/>
              </c:extLst>
            </c:dLbl>
            <c:spPr>
              <a:noFill/>
              <a:ln>
                <a:noFill/>
              </a:ln>
              <a:effectLst/>
            </c:spPr>
            <c:txPr>
              <a:bodyPr rot="0" spcFirstLastPara="1" vertOverflow="ellipsis" vert="horz" wrap="square" lIns="38100" tIns="19050" rIns="38100" bIns="19050" anchor="ctr" anchorCtr="1">
                <a:spAutoFit/>
              </a:bodyPr>
              <a:lstStyle/>
              <a:p>
                <a:pPr>
                  <a:defRPr sz="800" b="1" i="0" u="none" strike="noStrike" kern="1200" baseline="0">
                    <a:solidFill>
                      <a:srgbClr val="C00000"/>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'Sherbimi i Borxhit'!$B$45:$F$45</c:f>
              <c:strCache>
                <c:ptCount val="5"/>
                <c:pt idx="0">
                  <c:v>2016</c:v>
                </c:pt>
                <c:pt idx="1">
                  <c:v>2017</c:v>
                </c:pt>
                <c:pt idx="2">
                  <c:v>2018</c:v>
                </c:pt>
                <c:pt idx="3">
                  <c:v>2019</c:v>
                </c:pt>
                <c:pt idx="4">
                  <c:v>Mars 2020</c:v>
                </c:pt>
              </c:strCache>
            </c:strRef>
          </c:cat>
          <c:val>
            <c:numRef>
              <c:f>'Sherbimi i Borxhit'!$B$47:$F$47</c:f>
              <c:numCache>
                <c:formatCode>General</c:formatCode>
                <c:ptCount val="5"/>
                <c:pt idx="0">
                  <c:v>753</c:v>
                </c:pt>
                <c:pt idx="1">
                  <c:v>780</c:v>
                </c:pt>
                <c:pt idx="2">
                  <c:v>783</c:v>
                </c:pt>
                <c:pt idx="3" formatCode="#,##0">
                  <c:v>787</c:v>
                </c:pt>
                <c:pt idx="4" formatCode="#,##0">
                  <c:v>799.8058110545029</c:v>
                </c:pt>
              </c:numCache>
            </c:numRef>
          </c:val>
          <c:smooth val="1"/>
        </c:ser>
        <c:dLbls>
          <c:showLegendKey val="0"/>
          <c:showVal val="0"/>
          <c:showCatName val="0"/>
          <c:showSerName val="0"/>
          <c:showPercent val="0"/>
          <c:showBubbleSize val="0"/>
        </c:dLbls>
        <c:marker val="1"/>
        <c:smooth val="0"/>
        <c:axId val="-1746591824"/>
        <c:axId val="-1748749680"/>
      </c:lineChart>
      <c:catAx>
        <c:axId val="-1748748048"/>
        <c:scaling>
          <c:orientation val="minMax"/>
        </c:scaling>
        <c:delete val="0"/>
        <c:axPos val="b"/>
        <c:numFmt formatCode="General" sourceLinked="1"/>
        <c:majorTickMark val="none"/>
        <c:minorTickMark val="none"/>
        <c:tickLblPos val="nextTo"/>
        <c:spPr>
          <a:noFill/>
          <a:ln w="9525" cap="flat" cmpd="sng" algn="ctr">
            <a:solidFill>
              <a:schemeClr val="tx1"/>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en-US"/>
          </a:p>
        </c:txPr>
        <c:crossAx val="-1748750224"/>
        <c:crosses val="autoZero"/>
        <c:auto val="1"/>
        <c:lblAlgn val="ctr"/>
        <c:lblOffset val="100"/>
        <c:noMultiLvlLbl val="0"/>
      </c:catAx>
      <c:valAx>
        <c:axId val="-1748750224"/>
        <c:scaling>
          <c:orientation val="minMax"/>
          <c:max val="5.5000000000000007E-2"/>
          <c:min val="3.0000000000000006E-2"/>
        </c:scaling>
        <c:delete val="0"/>
        <c:axPos val="l"/>
        <c:numFmt formatCode="0.0%" sourceLinked="0"/>
        <c:majorTickMark val="none"/>
        <c:minorTickMark val="none"/>
        <c:tickLblPos val="nextTo"/>
        <c:spPr>
          <a:noFill/>
          <a:ln w="6350">
            <a:solidFill>
              <a:schemeClr val="tx1"/>
            </a:solid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en-US"/>
          </a:p>
        </c:txPr>
        <c:crossAx val="-1748748048"/>
        <c:crosses val="autoZero"/>
        <c:crossBetween val="between"/>
      </c:valAx>
      <c:valAx>
        <c:axId val="-1748749680"/>
        <c:scaling>
          <c:orientation val="minMax"/>
          <c:min val="600"/>
        </c:scaling>
        <c:delete val="0"/>
        <c:axPos val="r"/>
        <c:numFmt formatCode="General" sourceLinked="1"/>
        <c:majorTickMark val="none"/>
        <c:minorTickMark val="none"/>
        <c:tickLblPos val="nextTo"/>
        <c:spPr>
          <a:noFill/>
          <a:ln>
            <a:solidFill>
              <a:schemeClr val="tx1"/>
            </a:solid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en-US"/>
          </a:p>
        </c:txPr>
        <c:crossAx val="-1746591824"/>
        <c:crosses val="max"/>
        <c:crossBetween val="between"/>
        <c:majorUnit val="50"/>
      </c:valAx>
      <c:catAx>
        <c:axId val="-1746591824"/>
        <c:scaling>
          <c:orientation val="minMax"/>
        </c:scaling>
        <c:delete val="1"/>
        <c:axPos val="b"/>
        <c:numFmt formatCode="General" sourceLinked="1"/>
        <c:majorTickMark val="out"/>
        <c:minorTickMark val="none"/>
        <c:tickLblPos val="nextTo"/>
        <c:crossAx val="-1748749680"/>
        <c:crosses val="autoZero"/>
        <c:auto val="1"/>
        <c:lblAlgn val="ctr"/>
        <c:lblOffset val="100"/>
        <c:noMultiLvlLbl val="0"/>
      </c:catAx>
      <c:spPr>
        <a:noFill/>
        <a:ln>
          <a:noFill/>
        </a:ln>
        <a:effectLst/>
      </c:spPr>
    </c:plotArea>
    <c:legend>
      <c:legendPos val="b"/>
      <c:layout>
        <c:manualLayout>
          <c:xMode val="edge"/>
          <c:yMode val="edge"/>
          <c:x val="0.12395114072279427"/>
          <c:y val="0.90610229949354448"/>
          <c:w val="0.73927720573389866"/>
          <c:h val="7.7800994850157901E-2"/>
        </c:manualLayout>
      </c:layout>
      <c:overlay val="0"/>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1">
    <c:autoUpdate val="0"/>
  </c:externalData>
</c:chartSpace>
</file>

<file path=word/charts/chart30.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9.2327979002624669E-2"/>
          <c:y val="0.13377150170278304"/>
          <c:w val="0.53439008923884512"/>
          <c:h val="0.5454350231014512"/>
        </c:manualLayout>
      </c:layout>
      <c:barChart>
        <c:barDir val="col"/>
        <c:grouping val="clustered"/>
        <c:varyColors val="0"/>
        <c:ser>
          <c:idx val="0"/>
          <c:order val="0"/>
          <c:tx>
            <c:strRef>
              <c:f>'Tregu primar ankandet'!$H$51</c:f>
              <c:strCache>
                <c:ptCount val="1"/>
                <c:pt idx="0">
                  <c:v>Kërkesa</c:v>
                </c:pt>
              </c:strCache>
            </c:strRef>
          </c:tx>
          <c:spPr>
            <a:solidFill>
              <a:srgbClr val="5B9BD5"/>
            </a:solidFill>
            <a:ln>
              <a:noFill/>
            </a:ln>
            <a:effectLst/>
          </c:spPr>
          <c:invertIfNegative val="0"/>
          <c:dLbls>
            <c:spPr>
              <a:noFill/>
              <a:ln>
                <a:noFill/>
              </a:ln>
              <a:effectLst/>
            </c:spPr>
            <c:txPr>
              <a:bodyPr rot="-5400000" spcFirstLastPara="1" vertOverflow="ellipsis" wrap="square" lIns="38100" tIns="19050" rIns="38100" bIns="19050" anchor="ctr" anchorCtr="1">
                <a:spAutoFit/>
              </a:bodyPr>
              <a:lstStyle/>
              <a:p>
                <a:pPr>
                  <a:defRPr sz="800" b="1" i="0" u="none" strike="noStrike" kern="1200" baseline="0">
                    <a:solidFill>
                      <a:sysClr val="windowText" lastClr="000000"/>
                    </a:solidFill>
                    <a:latin typeface="+mn-lt"/>
                    <a:ea typeface="+mn-ea"/>
                    <a:cs typeface="+mn-cs"/>
                  </a:defRPr>
                </a:pPr>
                <a:endParaRPr lang="en-US"/>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'Tregu primar ankandet'!$A$87:$A$89</c:f>
              <c:strCache>
                <c:ptCount val="3"/>
                <c:pt idx="0">
                  <c:v>Janar</c:v>
                </c:pt>
                <c:pt idx="1">
                  <c:v>Shkurt</c:v>
                </c:pt>
                <c:pt idx="2">
                  <c:v>Mars</c:v>
                </c:pt>
              </c:strCache>
            </c:strRef>
          </c:cat>
          <c:val>
            <c:numRef>
              <c:f>'Tregu primar ankandet'!$H$87:$H$89</c:f>
              <c:numCache>
                <c:formatCode>_-* #,##0.0_L_e_k_-;\-* #,##0.0_L_e_k_-;_-* "-"??_L_e_k_-;_-@_-</c:formatCode>
                <c:ptCount val="3"/>
                <c:pt idx="0">
                  <c:v>35.751899999999999</c:v>
                </c:pt>
                <c:pt idx="1">
                  <c:v>35.540649999999999</c:v>
                </c:pt>
                <c:pt idx="2">
                  <c:v>33.355080000000001</c:v>
                </c:pt>
              </c:numCache>
            </c:numRef>
          </c:val>
        </c:ser>
        <c:ser>
          <c:idx val="1"/>
          <c:order val="1"/>
          <c:tx>
            <c:strRef>
              <c:f>'Tregu primar ankandet'!$I$51</c:f>
              <c:strCache>
                <c:ptCount val="1"/>
                <c:pt idx="0">
                  <c:v>Oferta</c:v>
                </c:pt>
              </c:strCache>
            </c:strRef>
          </c:tx>
          <c:spPr>
            <a:solidFill>
              <a:srgbClr val="C00000"/>
            </a:solidFill>
            <a:ln>
              <a:noFill/>
            </a:ln>
            <a:effectLst/>
          </c:spPr>
          <c:invertIfNegative val="0"/>
          <c:dLbls>
            <c:spPr>
              <a:noFill/>
              <a:ln>
                <a:noFill/>
              </a:ln>
              <a:effectLst/>
            </c:spPr>
            <c:txPr>
              <a:bodyPr rot="-5400000" spcFirstLastPara="1" vertOverflow="ellipsis" wrap="square" lIns="38100" tIns="19050" rIns="38100" bIns="19050" anchor="ctr" anchorCtr="1">
                <a:spAutoFit/>
              </a:bodyPr>
              <a:lstStyle/>
              <a:p>
                <a:pPr>
                  <a:defRPr sz="800" b="1" i="0" u="none" strike="noStrike" kern="1200" baseline="0">
                    <a:solidFill>
                      <a:sysClr val="windowText" lastClr="000000"/>
                    </a:solidFill>
                    <a:latin typeface="+mn-lt"/>
                    <a:ea typeface="+mn-ea"/>
                    <a:cs typeface="+mn-cs"/>
                  </a:defRPr>
                </a:pPr>
                <a:endParaRPr lang="en-US"/>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'Tregu primar ankandet'!$A$87:$A$89</c:f>
              <c:strCache>
                <c:ptCount val="3"/>
                <c:pt idx="0">
                  <c:v>Janar</c:v>
                </c:pt>
                <c:pt idx="1">
                  <c:v>Shkurt</c:v>
                </c:pt>
                <c:pt idx="2">
                  <c:v>Mars</c:v>
                </c:pt>
              </c:strCache>
            </c:strRef>
          </c:cat>
          <c:val>
            <c:numRef>
              <c:f>'Tregu primar ankandet'!$I$87:$I$89</c:f>
              <c:numCache>
                <c:formatCode>_-* #,##0.0_L_e_k_-;\-* #,##0.0_L_e_k_-;_-* "-"??_L_e_k_-;_-@_-</c:formatCode>
                <c:ptCount val="3"/>
                <c:pt idx="0">
                  <c:v>30.2</c:v>
                </c:pt>
                <c:pt idx="1">
                  <c:v>31.1</c:v>
                </c:pt>
                <c:pt idx="2">
                  <c:v>33.6</c:v>
                </c:pt>
              </c:numCache>
            </c:numRef>
          </c:val>
        </c:ser>
        <c:dLbls>
          <c:showLegendKey val="0"/>
          <c:showVal val="0"/>
          <c:showCatName val="0"/>
          <c:showSerName val="0"/>
          <c:showPercent val="0"/>
          <c:showBubbleSize val="0"/>
        </c:dLbls>
        <c:gapWidth val="336"/>
        <c:axId val="-1748737904"/>
        <c:axId val="-1710601856"/>
      </c:barChart>
      <c:lineChart>
        <c:grouping val="standard"/>
        <c:varyColors val="0"/>
        <c:ser>
          <c:idx val="2"/>
          <c:order val="2"/>
          <c:tx>
            <c:strRef>
              <c:f>'Tregu primar ankandet'!$J$51</c:f>
              <c:strCache>
                <c:ptCount val="1"/>
                <c:pt idx="0">
                  <c:v>Raporti i Mbulimit</c:v>
                </c:pt>
              </c:strCache>
            </c:strRef>
          </c:tx>
          <c:spPr>
            <a:ln w="22225" cap="rnd">
              <a:solidFill>
                <a:sysClr val="window" lastClr="FFFFFF">
                  <a:lumMod val="50000"/>
                </a:sysClr>
              </a:solidFill>
              <a:round/>
            </a:ln>
            <a:effectLst/>
          </c:spPr>
          <c:marker>
            <c:symbol val="diamond"/>
            <c:size val="5"/>
            <c:spPr>
              <a:solidFill>
                <a:schemeClr val="bg1">
                  <a:lumMod val="50000"/>
                </a:schemeClr>
              </a:solidFill>
              <a:ln w="9525">
                <a:noFill/>
              </a:ln>
              <a:effectLst/>
            </c:spPr>
          </c:marker>
          <c:dLbls>
            <c:dLbl>
              <c:idx val="0"/>
              <c:layout>
                <c:manualLayout>
                  <c:x val="-3.4945764728666617E-2"/>
                  <c:y val="-6.1305086125681856E-2"/>
                </c:manualLayout>
              </c:layout>
              <c:dLblPos val="r"/>
              <c:showLegendKey val="0"/>
              <c:showVal val="1"/>
              <c:showCatName val="0"/>
              <c:showSerName val="0"/>
              <c:showPercent val="0"/>
              <c:showBubbleSize val="0"/>
              <c:extLst>
                <c:ext xmlns:c15="http://schemas.microsoft.com/office/drawing/2012/chart" uri="{CE6537A1-D6FC-4f65-9D91-7224C49458BB}"/>
              </c:extLst>
            </c:dLbl>
            <c:dLbl>
              <c:idx val="1"/>
              <c:layout>
                <c:manualLayout>
                  <c:x val="-3.8898824219097586E-2"/>
                  <c:y val="-6.5602065620674804E-2"/>
                </c:manualLayout>
              </c:layout>
              <c:dLblPos val="r"/>
              <c:showLegendKey val="0"/>
              <c:showVal val="1"/>
              <c:showCatName val="0"/>
              <c:showSerName val="0"/>
              <c:showPercent val="0"/>
              <c:showBubbleSize val="0"/>
              <c:extLst>
                <c:ext xmlns:c15="http://schemas.microsoft.com/office/drawing/2012/chart" uri="{CE6537A1-D6FC-4f65-9D91-7224C49458BB}"/>
              </c:extLst>
            </c:dLbl>
            <c:dLbl>
              <c:idx val="2"/>
              <c:layout>
                <c:manualLayout>
                  <c:x val="-3.5181304752150991E-2"/>
                  <c:y val="-6.4142988404145201E-2"/>
                </c:manualLayout>
              </c:layout>
              <c:dLblPos val="r"/>
              <c:showLegendKey val="0"/>
              <c:showVal val="1"/>
              <c:showCatName val="0"/>
              <c:showSerName val="0"/>
              <c:showPercent val="0"/>
              <c:showBubbleSize val="0"/>
              <c:extLst>
                <c:ext xmlns:c15="http://schemas.microsoft.com/office/drawing/2012/chart" uri="{CE6537A1-D6FC-4f65-9D91-7224C49458BB}"/>
              </c:extLst>
            </c:dLbl>
            <c:dLbl>
              <c:idx val="3"/>
              <c:layout>
                <c:manualLayout>
                  <c:x val="-2.4483430799220274E-2"/>
                  <c:y val="-0.11282162564325128"/>
                </c:manualLayout>
              </c:layout>
              <c:dLblPos val="r"/>
              <c:showLegendKey val="0"/>
              <c:showVal val="1"/>
              <c:showCatName val="0"/>
              <c:showSerName val="0"/>
              <c:showPercent val="0"/>
              <c:showBubbleSize val="0"/>
              <c:extLst>
                <c:ext xmlns:c15="http://schemas.microsoft.com/office/drawing/2012/chart" uri="{CE6537A1-D6FC-4f65-9D91-7224C49458BB}"/>
              </c:extLst>
            </c:dLbl>
            <c:dLbl>
              <c:idx val="4"/>
              <c:layout>
                <c:manualLayout>
                  <c:x val="-5.3723196881091617E-2"/>
                  <c:y val="-3.4081468162936328E-2"/>
                </c:manualLayout>
              </c:layout>
              <c:dLblPos val="r"/>
              <c:showLegendKey val="0"/>
              <c:showVal val="1"/>
              <c:showCatName val="0"/>
              <c:showSerName val="0"/>
              <c:showPercent val="0"/>
              <c:showBubbleSize val="0"/>
              <c:extLst>
                <c:ext xmlns:c15="http://schemas.microsoft.com/office/drawing/2012/chart" uri="{CE6537A1-D6FC-4f65-9D91-7224C49458BB}"/>
              </c:extLst>
            </c:dLbl>
            <c:dLbl>
              <c:idx val="5"/>
              <c:layout>
                <c:manualLayout>
                  <c:x val="-1.2787524366471735E-2"/>
                  <c:y val="8.7949242565151797E-3"/>
                </c:manualLayout>
              </c:layout>
              <c:dLblPos val="r"/>
              <c:showLegendKey val="0"/>
              <c:showVal val="1"/>
              <c:showCatName val="0"/>
              <c:showSerName val="0"/>
              <c:showPercent val="0"/>
              <c:showBubbleSize val="0"/>
              <c:extLst>
                <c:ext xmlns:c15="http://schemas.microsoft.com/office/drawing/2012/chart" uri="{CE6537A1-D6FC-4f65-9D91-7224C49458BB}"/>
              </c:extLst>
            </c:dLbl>
            <c:spPr>
              <a:noFill/>
              <a:ln>
                <a:noFill/>
              </a:ln>
              <a:effectLst/>
            </c:spPr>
            <c:txPr>
              <a:bodyPr rot="0" spcFirstLastPara="1" vertOverflow="ellipsis" vert="horz" wrap="square" lIns="38100" tIns="19050" rIns="38100" bIns="19050" anchor="ctr" anchorCtr="1">
                <a:spAutoFit/>
              </a:bodyPr>
              <a:lstStyle/>
              <a:p>
                <a:pPr>
                  <a:defRPr sz="800" b="1" i="0" u="none" strike="noStrike" kern="1200" baseline="0">
                    <a:solidFill>
                      <a:sysClr val="windowText" lastClr="000000"/>
                    </a:solidFill>
                    <a:latin typeface="+mn-lt"/>
                    <a:ea typeface="+mn-ea"/>
                    <a:cs typeface="+mn-cs"/>
                  </a:defRPr>
                </a:pPr>
                <a:endParaRPr lang="en-US"/>
              </a:p>
            </c:txPr>
            <c:dLblPos val="t"/>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'Tregu primar ankandet'!$A$87:$A$89</c:f>
              <c:strCache>
                <c:ptCount val="3"/>
                <c:pt idx="0">
                  <c:v>Janar</c:v>
                </c:pt>
                <c:pt idx="1">
                  <c:v>Shkurt</c:v>
                </c:pt>
                <c:pt idx="2">
                  <c:v>Mars</c:v>
                </c:pt>
              </c:strCache>
            </c:strRef>
          </c:cat>
          <c:val>
            <c:numRef>
              <c:f>'Tregu primar ankandet'!$J$87:$J$89</c:f>
              <c:numCache>
                <c:formatCode>_(* #,##0.00_);_(* \(#,##0.00\);_(* "-"??_);_(@_)</c:formatCode>
                <c:ptCount val="3"/>
                <c:pt idx="0">
                  <c:v>1.1838377483443709</c:v>
                </c:pt>
                <c:pt idx="1">
                  <c:v>1.1427861736334404</c:v>
                </c:pt>
                <c:pt idx="2">
                  <c:v>0.99271071428571422</c:v>
                </c:pt>
              </c:numCache>
            </c:numRef>
          </c:val>
          <c:smooth val="1"/>
        </c:ser>
        <c:dLbls>
          <c:showLegendKey val="0"/>
          <c:showVal val="0"/>
          <c:showCatName val="0"/>
          <c:showSerName val="0"/>
          <c:showPercent val="0"/>
          <c:showBubbleSize val="0"/>
        </c:dLbls>
        <c:marker val="1"/>
        <c:smooth val="0"/>
        <c:axId val="-1710600224"/>
        <c:axId val="-1710600768"/>
      </c:lineChart>
      <c:catAx>
        <c:axId val="-1748737904"/>
        <c:scaling>
          <c:orientation val="minMax"/>
        </c:scaling>
        <c:delete val="0"/>
        <c:axPos val="b"/>
        <c:numFmt formatCode="General" sourceLinked="1"/>
        <c:majorTickMark val="none"/>
        <c:minorTickMark val="none"/>
        <c:tickLblPos val="nextTo"/>
        <c:spPr>
          <a:noFill/>
          <a:ln w="9525" cap="flat" cmpd="sng" algn="ctr">
            <a:solidFill>
              <a:schemeClr val="tx1"/>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en-US"/>
          </a:p>
        </c:txPr>
        <c:crossAx val="-1710601856"/>
        <c:crosses val="autoZero"/>
        <c:auto val="1"/>
        <c:lblAlgn val="ctr"/>
        <c:lblOffset val="100"/>
        <c:noMultiLvlLbl val="0"/>
      </c:catAx>
      <c:valAx>
        <c:axId val="-1710601856"/>
        <c:scaling>
          <c:orientation val="minMax"/>
          <c:min val="0"/>
        </c:scaling>
        <c:delete val="0"/>
        <c:axPos val="l"/>
        <c:title>
          <c:tx>
            <c:rich>
              <a:bodyPr rot="-5400000" spcFirstLastPara="1" vertOverflow="ellipsis" vert="horz" wrap="square" anchor="ctr" anchorCtr="1"/>
              <a:lstStyle/>
              <a:p>
                <a:pPr>
                  <a:defRPr sz="900" b="1" i="0" u="none" strike="noStrike" kern="1200" baseline="0">
                    <a:solidFill>
                      <a:sysClr val="windowText" lastClr="000000"/>
                    </a:solidFill>
                    <a:latin typeface="+mn-lt"/>
                    <a:ea typeface="+mn-ea"/>
                    <a:cs typeface="+mn-cs"/>
                  </a:defRPr>
                </a:pPr>
                <a:r>
                  <a:rPr lang="en-US" sz="900" b="1">
                    <a:solidFill>
                      <a:sysClr val="windowText" lastClr="000000"/>
                    </a:solidFill>
                  </a:rPr>
                  <a:t>në miliard Lekë</a:t>
                </a:r>
              </a:p>
            </c:rich>
          </c:tx>
          <c:layout>
            <c:manualLayout>
              <c:xMode val="edge"/>
              <c:yMode val="edge"/>
              <c:x val="8.0659372486482622E-3"/>
              <c:y val="0.20957211117841035"/>
            </c:manualLayout>
          </c:layout>
          <c:overlay val="0"/>
          <c:spPr>
            <a:noFill/>
            <a:ln>
              <a:noFill/>
            </a:ln>
            <a:effectLst/>
          </c:spPr>
        </c:title>
        <c:numFmt formatCode="#,##0" sourceLinked="0"/>
        <c:majorTickMark val="none"/>
        <c:minorTickMark val="none"/>
        <c:tickLblPos val="nextTo"/>
        <c:spPr>
          <a:noFill/>
          <a:ln>
            <a:solidFill>
              <a:schemeClr val="tx1"/>
            </a:solid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en-US"/>
          </a:p>
        </c:txPr>
        <c:crossAx val="-1748737904"/>
        <c:crosses val="autoZero"/>
        <c:crossBetween val="between"/>
        <c:majorUnit val="10"/>
      </c:valAx>
      <c:valAx>
        <c:axId val="-1710600768"/>
        <c:scaling>
          <c:orientation val="minMax"/>
          <c:max val="1.2"/>
          <c:min val="0"/>
        </c:scaling>
        <c:delete val="0"/>
        <c:axPos val="r"/>
        <c:numFmt formatCode="#,##0.0" sourceLinked="0"/>
        <c:majorTickMark val="none"/>
        <c:minorTickMark val="none"/>
        <c:tickLblPos val="nextTo"/>
        <c:spPr>
          <a:noFill/>
          <a:ln>
            <a:solidFill>
              <a:schemeClr val="tx1"/>
            </a:solid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en-US"/>
          </a:p>
        </c:txPr>
        <c:crossAx val="-1710600224"/>
        <c:crosses val="max"/>
        <c:crossBetween val="between"/>
        <c:majorUnit val="0.4"/>
      </c:valAx>
      <c:catAx>
        <c:axId val="-1710600224"/>
        <c:scaling>
          <c:orientation val="minMax"/>
        </c:scaling>
        <c:delete val="1"/>
        <c:axPos val="b"/>
        <c:numFmt formatCode="General" sourceLinked="1"/>
        <c:majorTickMark val="out"/>
        <c:minorTickMark val="none"/>
        <c:tickLblPos val="nextTo"/>
        <c:crossAx val="-1710600768"/>
        <c:crosses val="autoZero"/>
        <c:auto val="1"/>
        <c:lblAlgn val="ctr"/>
        <c:lblOffset val="100"/>
        <c:noMultiLvlLbl val="0"/>
      </c:catAx>
      <c:spPr>
        <a:noFill/>
        <a:ln>
          <a:noFill/>
        </a:ln>
        <a:effectLst/>
      </c:spPr>
    </c:plotArea>
    <c:legend>
      <c:legendPos val="b"/>
      <c:layout>
        <c:manualLayout>
          <c:xMode val="edge"/>
          <c:yMode val="edge"/>
          <c:x val="0.75279655643044618"/>
          <c:y val="0.13680072015791414"/>
          <c:w val="0.2204763044619423"/>
          <c:h val="0.61930760721025579"/>
        </c:manualLayout>
      </c:layout>
      <c:overlay val="0"/>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en-US"/>
        </a:p>
      </c:txPr>
    </c:legend>
    <c:plotVisOnly val="1"/>
    <c:dispBlanksAs val="gap"/>
    <c:showDLblsOverMax val="0"/>
  </c:chart>
  <c:spPr>
    <a:solidFill>
      <a:schemeClr val="bg1"/>
    </a:solidFill>
    <a:ln w="6350" cap="flat" cmpd="sng" algn="ctr">
      <a:solidFill>
        <a:schemeClr val="bg1">
          <a:lumMod val="75000"/>
        </a:schemeClr>
      </a:solidFill>
      <a:round/>
    </a:ln>
    <a:effectLst/>
  </c:spPr>
  <c:txPr>
    <a:bodyPr/>
    <a:lstStyle/>
    <a:p>
      <a:pPr>
        <a:defRPr/>
      </a:pPr>
      <a:endParaRPr lang="en-US"/>
    </a:p>
  </c:txPr>
  <c:externalData r:id="rId2">
    <c:autoUpdate val="0"/>
  </c:externalData>
</c:chartSpace>
</file>

<file path=word/charts/chart3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7.6028178769320498E-2"/>
          <c:y val="5.7172017352253905E-2"/>
          <c:w val="0.91671314523184599"/>
          <c:h val="0.71290765529831523"/>
        </c:manualLayout>
      </c:layout>
      <c:lineChart>
        <c:grouping val="standard"/>
        <c:varyColors val="0"/>
        <c:ser>
          <c:idx val="0"/>
          <c:order val="0"/>
          <c:tx>
            <c:strRef>
              <c:f>'Yeld Mesatar i Ponderuar'!$D$4</c:f>
              <c:strCache>
                <c:ptCount val="1"/>
                <c:pt idx="0">
                  <c:v>2018</c:v>
                </c:pt>
              </c:strCache>
            </c:strRef>
          </c:tx>
          <c:spPr>
            <a:ln w="25400" cap="rnd">
              <a:solidFill>
                <a:srgbClr val="C00000"/>
              </a:solidFill>
              <a:round/>
            </a:ln>
            <a:effectLst/>
          </c:spPr>
          <c:marker>
            <c:symbol val="diamond"/>
            <c:size val="5"/>
            <c:spPr>
              <a:solidFill>
                <a:srgbClr val="C00000"/>
              </a:solidFill>
              <a:ln w="9525">
                <a:noFill/>
              </a:ln>
              <a:effectLst/>
            </c:spPr>
          </c:marker>
          <c:dLbls>
            <c:dLbl>
              <c:idx val="0"/>
              <c:layout>
                <c:manualLayout>
                  <c:x val="-2.6733503934837609E-2"/>
                  <c:y val="-3.9287883902756303E-2"/>
                </c:manualLayout>
              </c:layout>
              <c:showLegendKey val="0"/>
              <c:showVal val="1"/>
              <c:showCatName val="0"/>
              <c:showSerName val="0"/>
              <c:showPercent val="0"/>
              <c:showBubbleSize val="0"/>
              <c:extLst>
                <c:ext xmlns:c15="http://schemas.microsoft.com/office/drawing/2012/chart" uri="{CE6537A1-D6FC-4f65-9D91-7224C49458BB}"/>
              </c:extLst>
            </c:dLbl>
            <c:dLbl>
              <c:idx val="1"/>
              <c:layout>
                <c:manualLayout>
                  <c:x val="-2.506265993891026E-2"/>
                  <c:y val="-5.4020840366289916E-2"/>
                </c:manualLayout>
              </c:layout>
              <c:showLegendKey val="0"/>
              <c:showVal val="1"/>
              <c:showCatName val="0"/>
              <c:showSerName val="0"/>
              <c:showPercent val="0"/>
              <c:showBubbleSize val="0"/>
              <c:extLst>
                <c:ext xmlns:c15="http://schemas.microsoft.com/office/drawing/2012/chart" uri="{CE6537A1-D6FC-4f65-9D91-7224C49458BB}"/>
              </c:extLst>
            </c:dLbl>
            <c:dLbl>
              <c:idx val="2"/>
              <c:layout>
                <c:manualLayout>
                  <c:x val="-5.0125319877821128E-3"/>
                  <c:y val="-4.4198869390600838E-2"/>
                </c:manualLayout>
              </c:layout>
              <c:showLegendKey val="0"/>
              <c:showVal val="1"/>
              <c:showCatName val="0"/>
              <c:showSerName val="0"/>
              <c:showPercent val="0"/>
              <c:showBubbleSize val="0"/>
              <c:extLst>
                <c:ext xmlns:c15="http://schemas.microsoft.com/office/drawing/2012/chart" uri="{CE6537A1-D6FC-4f65-9D91-7224C49458BB}"/>
              </c:extLst>
            </c:dLbl>
            <c:dLbl>
              <c:idx val="3"/>
              <c:layout>
                <c:manualLayout>
                  <c:x val="-8.3542199796368139E-3"/>
                  <c:y val="-6.3842811341978986E-2"/>
                </c:manualLayout>
              </c:layout>
              <c:showLegendKey val="0"/>
              <c:showVal val="1"/>
              <c:showCatName val="0"/>
              <c:showSerName val="0"/>
              <c:showPercent val="0"/>
              <c:showBubbleSize val="0"/>
              <c:extLst>
                <c:ext xmlns:c15="http://schemas.microsoft.com/office/drawing/2012/chart" uri="{CE6537A1-D6FC-4f65-9D91-7224C49458BB}"/>
              </c:extLst>
            </c:dLbl>
            <c:dLbl>
              <c:idx val="4"/>
              <c:layout>
                <c:manualLayout>
                  <c:x val="-2.7777777777777776E-2"/>
                  <c:y val="-4.419886939060088E-2"/>
                </c:manualLayout>
              </c:layout>
              <c:showLegendKey val="0"/>
              <c:showVal val="1"/>
              <c:showCatName val="0"/>
              <c:showSerName val="0"/>
              <c:showPercent val="0"/>
              <c:showBubbleSize val="0"/>
              <c:extLst>
                <c:ext xmlns:c15="http://schemas.microsoft.com/office/drawing/2012/chart" uri="{CE6537A1-D6FC-4f65-9D91-7224C49458BB}"/>
              </c:extLst>
            </c:dLbl>
            <c:dLbl>
              <c:idx val="5"/>
              <c:layout>
                <c:manualLayout>
                  <c:x val="-3.5560785901097618E-2"/>
                  <c:y val="-3.5376533916754216E-2"/>
                </c:manualLayout>
              </c:layout>
              <c:showLegendKey val="0"/>
              <c:showVal val="1"/>
              <c:showCatName val="0"/>
              <c:showSerName val="0"/>
              <c:showPercent val="0"/>
              <c:showBubbleSize val="0"/>
              <c:extLst>
                <c:ext xmlns:c15="http://schemas.microsoft.com/office/drawing/2012/chart" uri="{CE6537A1-D6FC-4f65-9D91-7224C49458BB}"/>
              </c:extLst>
            </c:dLbl>
            <c:dLbl>
              <c:idx val="6"/>
              <c:layout>
                <c:manualLayout>
                  <c:x val="-4.2532596122139006E-2"/>
                  <c:y val="-4.3834331575128074E-2"/>
                </c:manualLayout>
              </c:layout>
              <c:showLegendKey val="0"/>
              <c:showVal val="1"/>
              <c:showCatName val="0"/>
              <c:showSerName val="0"/>
              <c:showPercent val="0"/>
              <c:showBubbleSize val="0"/>
              <c:extLst>
                <c:ext xmlns:c15="http://schemas.microsoft.com/office/drawing/2012/chart" uri="{CE6537A1-D6FC-4f65-9D91-7224C49458BB}">
                  <c15:layout>
                    <c:manualLayout>
                      <c:w val="4.8914334965829247E-2"/>
                      <c:h val="7.0234054305797738E-2"/>
                    </c:manualLayout>
                  </c15:layout>
                </c:ext>
              </c:extLst>
            </c:dLbl>
            <c:dLbl>
              <c:idx val="7"/>
              <c:layout>
                <c:manualLayout>
                  <c:x val="-4.0465601560496271E-2"/>
                  <c:y val="-3.3603309902630808E-2"/>
                </c:manualLayout>
              </c:layout>
              <c:showLegendKey val="0"/>
              <c:showVal val="1"/>
              <c:showCatName val="0"/>
              <c:showSerName val="0"/>
              <c:showPercent val="0"/>
              <c:showBubbleSize val="0"/>
              <c:extLst>
                <c:ext xmlns:c15="http://schemas.microsoft.com/office/drawing/2012/chart" uri="{CE6537A1-D6FC-4f65-9D91-7224C49458BB}"/>
              </c:extLst>
            </c:dLbl>
            <c:numFmt formatCode="0.0%" sourceLinked="0"/>
            <c:spPr>
              <a:noFill/>
              <a:ln>
                <a:noFill/>
              </a:ln>
              <a:effectLst/>
            </c:spPr>
            <c:txPr>
              <a:bodyPr rot="0" spcFirstLastPara="1" vertOverflow="ellipsis" vert="horz" wrap="square" lIns="38100" tIns="19050" rIns="38100" bIns="19050" anchor="ctr" anchorCtr="1">
                <a:spAutoFit/>
              </a:bodyPr>
              <a:lstStyle/>
              <a:p>
                <a:pPr>
                  <a:defRPr sz="800" b="1" i="0" u="none" strike="noStrike" kern="1200" baseline="0">
                    <a:solidFill>
                      <a:srgbClr val="C00000"/>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'Yeld Mesatar i Ponderuar'!$A$5:$A$12</c:f>
              <c:strCache>
                <c:ptCount val="8"/>
                <c:pt idx="0">
                  <c:v>Bono 3 m</c:v>
                </c:pt>
                <c:pt idx="1">
                  <c:v>Bono 6m</c:v>
                </c:pt>
                <c:pt idx="2">
                  <c:v>Bono 12m</c:v>
                </c:pt>
                <c:pt idx="3">
                  <c:v>OB 2vj</c:v>
                </c:pt>
                <c:pt idx="4">
                  <c:v>OB 3vj</c:v>
                </c:pt>
                <c:pt idx="5">
                  <c:v>OB 5vj</c:v>
                </c:pt>
                <c:pt idx="6">
                  <c:v>OB 7vj</c:v>
                </c:pt>
                <c:pt idx="7">
                  <c:v>OB 10vj</c:v>
                </c:pt>
              </c:strCache>
            </c:strRef>
          </c:cat>
          <c:val>
            <c:numRef>
              <c:f>'Yeld Mesatar i Ponderuar'!$D$5:$D$12</c:f>
              <c:numCache>
                <c:formatCode>0.00%</c:formatCode>
                <c:ptCount val="8"/>
                <c:pt idx="0">
                  <c:v>1.3100000000000001E-2</c:v>
                </c:pt>
                <c:pt idx="1">
                  <c:v>1.7399999999999999E-2</c:v>
                </c:pt>
                <c:pt idx="2">
                  <c:v>2.129E-2</c:v>
                </c:pt>
                <c:pt idx="3">
                  <c:v>2.6280000000000001E-2</c:v>
                </c:pt>
                <c:pt idx="4">
                  <c:v>3.61E-2</c:v>
                </c:pt>
                <c:pt idx="5">
                  <c:v>5.2752E-2</c:v>
                </c:pt>
                <c:pt idx="6">
                  <c:v>5.5960000000000003E-2</c:v>
                </c:pt>
                <c:pt idx="7">
                  <c:v>6.8190000000000001E-2</c:v>
                </c:pt>
              </c:numCache>
            </c:numRef>
          </c:val>
          <c:smooth val="1"/>
        </c:ser>
        <c:ser>
          <c:idx val="1"/>
          <c:order val="1"/>
          <c:tx>
            <c:strRef>
              <c:f>'Yeld Mesatar i Ponderuar'!$E$4</c:f>
              <c:strCache>
                <c:ptCount val="1"/>
                <c:pt idx="0">
                  <c:v>2019</c:v>
                </c:pt>
              </c:strCache>
            </c:strRef>
          </c:tx>
          <c:spPr>
            <a:ln w="25400" cap="rnd">
              <a:solidFill>
                <a:schemeClr val="bg1">
                  <a:lumMod val="50000"/>
                </a:schemeClr>
              </a:solidFill>
              <a:round/>
            </a:ln>
            <a:effectLst/>
          </c:spPr>
          <c:marker>
            <c:symbol val="diamond"/>
            <c:size val="5"/>
            <c:spPr>
              <a:solidFill>
                <a:schemeClr val="bg1">
                  <a:lumMod val="50000"/>
                </a:schemeClr>
              </a:solidFill>
              <a:ln w="9525">
                <a:noFill/>
              </a:ln>
              <a:effectLst/>
            </c:spPr>
          </c:marker>
          <c:dPt>
            <c:idx val="0"/>
            <c:marker>
              <c:spPr>
                <a:noFill/>
                <a:ln w="9525">
                  <a:noFill/>
                </a:ln>
                <a:effectLst/>
              </c:spPr>
            </c:marker>
            <c:bubble3D val="0"/>
          </c:dPt>
          <c:dPt>
            <c:idx val="1"/>
            <c:bubble3D val="0"/>
            <c:spPr>
              <a:ln w="25400" cap="rnd">
                <a:solidFill>
                  <a:schemeClr val="bg1"/>
                </a:solidFill>
                <a:round/>
              </a:ln>
              <a:effectLst/>
            </c:spPr>
          </c:dPt>
          <c:dLbls>
            <c:dLbl>
              <c:idx val="0"/>
              <c:delete val="1"/>
              <c:extLst>
                <c:ext xmlns:c15="http://schemas.microsoft.com/office/drawing/2012/chart" uri="{CE6537A1-D6FC-4f65-9D91-7224C49458BB}"/>
              </c:extLst>
            </c:dLbl>
            <c:dLbl>
              <c:idx val="1"/>
              <c:layout>
                <c:manualLayout>
                  <c:x val="-1.9544762200537032E-2"/>
                  <c:y val="3.7553098159841439E-2"/>
                </c:manualLayout>
              </c:layout>
              <c:dLblPos val="r"/>
              <c:showLegendKey val="0"/>
              <c:showVal val="1"/>
              <c:showCatName val="0"/>
              <c:showSerName val="0"/>
              <c:showPercent val="0"/>
              <c:showBubbleSize val="0"/>
              <c:extLst>
                <c:ext xmlns:c15="http://schemas.microsoft.com/office/drawing/2012/chart" uri="{CE6537A1-D6FC-4f65-9D91-7224C49458BB}"/>
              </c:extLst>
            </c:dLbl>
            <c:dLbl>
              <c:idx val="2"/>
              <c:layout>
                <c:manualLayout>
                  <c:x val="-9.6812183874756333E-3"/>
                  <c:y val="5.9902305884391584E-2"/>
                </c:manualLayout>
              </c:layout>
              <c:dLblPos val="r"/>
              <c:showLegendKey val="0"/>
              <c:showVal val="1"/>
              <c:showCatName val="0"/>
              <c:showSerName val="0"/>
              <c:showPercent val="0"/>
              <c:showBubbleSize val="0"/>
              <c:extLst>
                <c:ext xmlns:c15="http://schemas.microsoft.com/office/drawing/2012/chart" uri="{CE6537A1-D6FC-4f65-9D91-7224C49458BB}"/>
              </c:extLst>
            </c:dLbl>
            <c:dLbl>
              <c:idx val="3"/>
              <c:layout>
                <c:manualLayout>
                  <c:x val="-2.7891428262360182E-2"/>
                  <c:y val="3.7361831800794859E-2"/>
                </c:manualLayout>
              </c:layout>
              <c:dLblPos val="r"/>
              <c:showLegendKey val="0"/>
              <c:showVal val="1"/>
              <c:showCatName val="0"/>
              <c:showSerName val="0"/>
              <c:showPercent val="0"/>
              <c:showBubbleSize val="0"/>
              <c:extLst>
                <c:ext xmlns:c15="http://schemas.microsoft.com/office/drawing/2012/chart" uri="{CE6537A1-D6FC-4f65-9D91-7224C49458BB}"/>
              </c:extLst>
            </c:dLbl>
            <c:dLbl>
              <c:idx val="4"/>
              <c:layout>
                <c:manualLayout>
                  <c:x val="-2.2747408623556446E-2"/>
                  <c:y val="3.6543530840782927E-2"/>
                </c:manualLayout>
              </c:layout>
              <c:dLblPos val="r"/>
              <c:showLegendKey val="0"/>
              <c:showVal val="1"/>
              <c:showCatName val="0"/>
              <c:showSerName val="0"/>
              <c:showPercent val="0"/>
              <c:showBubbleSize val="0"/>
              <c:extLst>
                <c:ext xmlns:c15="http://schemas.microsoft.com/office/drawing/2012/chart" uri="{CE6537A1-D6FC-4f65-9D91-7224C49458BB}"/>
              </c:extLst>
            </c:dLbl>
            <c:dLbl>
              <c:idx val="5"/>
              <c:layout>
                <c:manualLayout>
                  <c:x val="-2.1133523277460993E-2"/>
                  <c:y val="4.4841614013403842E-2"/>
                </c:manualLayout>
              </c:layout>
              <c:dLblPos val="r"/>
              <c:showLegendKey val="0"/>
              <c:showVal val="1"/>
              <c:showCatName val="0"/>
              <c:showSerName val="0"/>
              <c:showPercent val="0"/>
              <c:showBubbleSize val="0"/>
              <c:extLst>
                <c:ext xmlns:c15="http://schemas.microsoft.com/office/drawing/2012/chart" uri="{CE6537A1-D6FC-4f65-9D91-7224C49458BB}"/>
              </c:extLst>
            </c:dLbl>
            <c:dLbl>
              <c:idx val="6"/>
              <c:layout>
                <c:manualLayout>
                  <c:x val="-2.0203052947652539E-2"/>
                  <c:y val="5.8737341463678802E-2"/>
                </c:manualLayout>
              </c:layout>
              <c:dLblPos val="r"/>
              <c:showLegendKey val="0"/>
              <c:showVal val="1"/>
              <c:showCatName val="0"/>
              <c:showSerName val="0"/>
              <c:showPercent val="0"/>
              <c:showBubbleSize val="0"/>
              <c:extLst>
                <c:ext xmlns:c15="http://schemas.microsoft.com/office/drawing/2012/chart" uri="{CE6537A1-D6FC-4f65-9D91-7224C49458BB}"/>
              </c:extLst>
            </c:dLbl>
            <c:dLbl>
              <c:idx val="7"/>
              <c:layout>
                <c:manualLayout>
                  <c:x val="-4.0662931757948766E-2"/>
                  <c:y val="-2.9663486011978876E-2"/>
                </c:manualLayout>
              </c:layout>
              <c:dLblPos val="r"/>
              <c:showLegendKey val="0"/>
              <c:showVal val="1"/>
              <c:showCatName val="0"/>
              <c:showSerName val="0"/>
              <c:showPercent val="0"/>
              <c:showBubbleSize val="0"/>
              <c:extLst>
                <c:ext xmlns:c15="http://schemas.microsoft.com/office/drawing/2012/chart" uri="{CE6537A1-D6FC-4f65-9D91-7224C49458BB}"/>
              </c:extLst>
            </c:dLbl>
            <c:numFmt formatCode="0.0%" sourceLinked="0"/>
            <c:spPr>
              <a:noFill/>
              <a:ln>
                <a:noFill/>
              </a:ln>
              <a:effectLst/>
            </c:spPr>
            <c:txPr>
              <a:bodyPr rot="0" spcFirstLastPara="1" vertOverflow="ellipsis" vert="horz" wrap="square" lIns="38100" tIns="19050" rIns="38100" bIns="19050" anchor="ctr" anchorCtr="1">
                <a:spAutoFit/>
              </a:bodyPr>
              <a:lstStyle/>
              <a:p>
                <a:pPr>
                  <a:defRPr sz="800" b="1" i="0" u="none" strike="noStrike" kern="1200" baseline="0">
                    <a:solidFill>
                      <a:sysClr val="windowText" lastClr="000000"/>
                    </a:solidFill>
                    <a:latin typeface="+mn-lt"/>
                    <a:ea typeface="+mn-ea"/>
                    <a:cs typeface="+mn-cs"/>
                  </a:defRPr>
                </a:pPr>
                <a:endParaRPr lang="en-US"/>
              </a:p>
            </c:txPr>
            <c:dLblPos val="t"/>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'Yeld Mesatar i Ponderuar'!$A$5:$A$12</c:f>
              <c:strCache>
                <c:ptCount val="8"/>
                <c:pt idx="0">
                  <c:v>Bono 3 m</c:v>
                </c:pt>
                <c:pt idx="1">
                  <c:v>Bono 6m</c:v>
                </c:pt>
                <c:pt idx="2">
                  <c:v>Bono 12m</c:v>
                </c:pt>
                <c:pt idx="3">
                  <c:v>OB 2vj</c:v>
                </c:pt>
                <c:pt idx="4">
                  <c:v>OB 3vj</c:v>
                </c:pt>
                <c:pt idx="5">
                  <c:v>OB 5vj</c:v>
                </c:pt>
                <c:pt idx="6">
                  <c:v>OB 7vj</c:v>
                </c:pt>
                <c:pt idx="7">
                  <c:v>OB 10vj</c:v>
                </c:pt>
              </c:strCache>
            </c:strRef>
          </c:cat>
          <c:val>
            <c:numRef>
              <c:f>'Yeld Mesatar i Ponderuar'!$E$5:$E$12</c:f>
              <c:numCache>
                <c:formatCode>0.00%</c:formatCode>
                <c:ptCount val="8"/>
                <c:pt idx="0">
                  <c:v>0</c:v>
                </c:pt>
                <c:pt idx="1">
                  <c:v>1.0291233866495501E-2</c:v>
                </c:pt>
                <c:pt idx="2">
                  <c:v>1.5713999999999999E-2</c:v>
                </c:pt>
                <c:pt idx="3">
                  <c:v>1.9650000000000001E-2</c:v>
                </c:pt>
                <c:pt idx="4">
                  <c:v>2.239E-2</c:v>
                </c:pt>
                <c:pt idx="5">
                  <c:v>3.2759000000000003E-2</c:v>
                </c:pt>
                <c:pt idx="6">
                  <c:v>3.9320000000000001E-2</c:v>
                </c:pt>
                <c:pt idx="7">
                  <c:v>5.3969999999999997E-2</c:v>
                </c:pt>
              </c:numCache>
            </c:numRef>
          </c:val>
          <c:smooth val="1"/>
        </c:ser>
        <c:ser>
          <c:idx val="2"/>
          <c:order val="2"/>
          <c:tx>
            <c:strRef>
              <c:f>'Yeld Mesatar i Ponderuar'!$F$4</c:f>
              <c:strCache>
                <c:ptCount val="1"/>
                <c:pt idx="0">
                  <c:v>Mars 2020</c:v>
                </c:pt>
              </c:strCache>
            </c:strRef>
          </c:tx>
          <c:spPr>
            <a:ln w="25400" cap="rnd">
              <a:solidFill>
                <a:schemeClr val="accent5"/>
              </a:solidFill>
              <a:round/>
            </a:ln>
            <a:effectLst/>
          </c:spPr>
          <c:marker>
            <c:symbol val="diamond"/>
            <c:size val="5"/>
            <c:spPr>
              <a:solidFill>
                <a:schemeClr val="accent1"/>
              </a:solidFill>
              <a:ln w="9525">
                <a:noFill/>
              </a:ln>
              <a:effectLst/>
            </c:spPr>
          </c:marker>
          <c:dLbls>
            <c:dLbl>
              <c:idx val="0"/>
              <c:layout>
                <c:manualLayout>
                  <c:x val="-2.0523212905499598E-2"/>
                  <c:y val="4.5381191175037097E-2"/>
                </c:manualLayout>
              </c:layout>
              <c:showLegendKey val="0"/>
              <c:showVal val="1"/>
              <c:showCatName val="0"/>
              <c:showSerName val="0"/>
              <c:showPercent val="0"/>
              <c:showBubbleSize val="0"/>
              <c:extLst>
                <c:ext xmlns:c15="http://schemas.microsoft.com/office/drawing/2012/chart" uri="{CE6537A1-D6FC-4f65-9D91-7224C49458BB}"/>
              </c:extLst>
            </c:dLbl>
            <c:dLbl>
              <c:idx val="1"/>
              <c:layout>
                <c:manualLayout>
                  <c:x val="-4.8784002819501356E-2"/>
                  <c:y val="3.4878799825258551E-2"/>
                </c:manualLayout>
              </c:layout>
              <c:showLegendKey val="0"/>
              <c:showVal val="1"/>
              <c:showCatName val="0"/>
              <c:showSerName val="0"/>
              <c:showPercent val="0"/>
              <c:showBubbleSize val="0"/>
              <c:extLst>
                <c:ext xmlns:c15="http://schemas.microsoft.com/office/drawing/2012/chart" uri="{CE6537A1-D6FC-4f65-9D91-7224C49458BB}"/>
              </c:extLst>
            </c:dLbl>
            <c:dLbl>
              <c:idx val="2"/>
              <c:layout>
                <c:manualLayout>
                  <c:x val="-4.4897243483828952E-2"/>
                  <c:y val="5.0436746827485536E-2"/>
                </c:manualLayout>
              </c:layout>
              <c:showLegendKey val="0"/>
              <c:showVal val="1"/>
              <c:showCatName val="0"/>
              <c:showSerName val="0"/>
              <c:showPercent val="0"/>
              <c:showBubbleSize val="0"/>
              <c:extLst>
                <c:ext xmlns:c15="http://schemas.microsoft.com/office/drawing/2012/chart" uri="{CE6537A1-D6FC-4f65-9D91-7224C49458BB}"/>
              </c:extLst>
            </c:dLbl>
            <c:dLbl>
              <c:idx val="3"/>
              <c:layout>
                <c:manualLayout>
                  <c:x val="1.0539979865689844E-3"/>
                  <c:y val="-3.2239058150743537E-2"/>
                </c:manualLayout>
              </c:layout>
              <c:showLegendKey val="0"/>
              <c:showVal val="1"/>
              <c:showCatName val="0"/>
              <c:showSerName val="0"/>
              <c:showPercent val="0"/>
              <c:showBubbleSize val="0"/>
              <c:extLst>
                <c:ext xmlns:c15="http://schemas.microsoft.com/office/drawing/2012/chart" uri="{CE6537A1-D6FC-4f65-9D91-7224C49458BB}"/>
              </c:extLst>
            </c:dLbl>
            <c:dLbl>
              <c:idx val="4"/>
              <c:layout>
                <c:manualLayout>
                  <c:x val="-2.5062679817360604E-2"/>
                  <c:y val="-5.4203121446132901E-2"/>
                </c:manualLayout>
              </c:layout>
              <c:showLegendKey val="0"/>
              <c:showVal val="1"/>
              <c:showCatName val="0"/>
              <c:showSerName val="0"/>
              <c:showPercent val="0"/>
              <c:showBubbleSize val="0"/>
              <c:extLst>
                <c:ext xmlns:c15="http://schemas.microsoft.com/office/drawing/2012/chart" uri="{CE6537A1-D6FC-4f65-9D91-7224C49458BB}"/>
              </c:extLst>
            </c:dLbl>
            <c:dLbl>
              <c:idx val="5"/>
              <c:layout>
                <c:manualLayout>
                  <c:x val="-3.1602317713831166E-2"/>
                  <c:y val="-4.8375227135069657E-2"/>
                </c:manualLayout>
              </c:layout>
              <c:showLegendKey val="0"/>
              <c:showVal val="1"/>
              <c:showCatName val="0"/>
              <c:showSerName val="0"/>
              <c:showPercent val="0"/>
              <c:showBubbleSize val="0"/>
              <c:extLst>
                <c:ext xmlns:c15="http://schemas.microsoft.com/office/drawing/2012/chart" uri="{CE6537A1-D6FC-4f65-9D91-7224C49458BB}"/>
              </c:extLst>
            </c:dLbl>
            <c:dLbl>
              <c:idx val="6"/>
              <c:layout>
                <c:manualLayout>
                  <c:x val="-3.7123899286575439E-2"/>
                  <c:y val="-3.6558827670612748E-2"/>
                </c:manualLayout>
              </c:layout>
              <c:showLegendKey val="0"/>
              <c:showVal val="1"/>
              <c:showCatName val="0"/>
              <c:showSerName val="0"/>
              <c:showPercent val="0"/>
              <c:showBubbleSize val="0"/>
              <c:extLst>
                <c:ext xmlns:c15="http://schemas.microsoft.com/office/drawing/2012/chart" uri="{CE6537A1-D6FC-4f65-9D91-7224C49458BB}"/>
              </c:extLst>
            </c:dLbl>
            <c:dLbl>
              <c:idx val="7"/>
              <c:layout>
                <c:manualLayout>
                  <c:x val="-2.1225209412528288E-2"/>
                  <c:y val="5.692476532449682E-2"/>
                </c:manualLayout>
              </c:layout>
              <c:numFmt formatCode="0.0%" sourceLinked="0"/>
              <c:spPr>
                <a:noFill/>
                <a:ln>
                  <a:noFill/>
                </a:ln>
                <a:effectLst/>
              </c:spPr>
              <c:txPr>
                <a:bodyPr rot="0" spcFirstLastPara="1" vertOverflow="ellipsis" vert="horz" wrap="square" lIns="38100" tIns="19050" rIns="38100" bIns="19050" anchor="ctr" anchorCtr="1">
                  <a:noAutofit/>
                </a:bodyPr>
                <a:lstStyle/>
                <a:p>
                  <a:pPr>
                    <a:defRPr sz="800" b="1" i="0" u="none" strike="noStrike" kern="1200" baseline="0">
                      <a:solidFill>
                        <a:schemeClr val="accent5"/>
                      </a:solidFill>
                      <a:latin typeface="+mn-lt"/>
                      <a:ea typeface="+mn-ea"/>
                      <a:cs typeface="+mn-cs"/>
                    </a:defRPr>
                  </a:pPr>
                  <a:endParaRPr lang="en-US"/>
                </a:p>
              </c:txPr>
              <c:showLegendKey val="0"/>
              <c:showVal val="1"/>
              <c:showCatName val="0"/>
              <c:showSerName val="0"/>
              <c:showPercent val="0"/>
              <c:showBubbleSize val="0"/>
              <c:extLst>
                <c:ext xmlns:c15="http://schemas.microsoft.com/office/drawing/2012/chart" uri="{CE6537A1-D6FC-4f65-9D91-7224C49458BB}">
                  <c15:layout>
                    <c:manualLayout>
                      <c:w val="6.5242417614464865E-2"/>
                      <c:h val="7.0595609733650574E-2"/>
                    </c:manualLayout>
                  </c15:layout>
                </c:ext>
              </c:extLst>
            </c:dLbl>
            <c:numFmt formatCode="0.0%" sourceLinked="0"/>
            <c:spPr>
              <a:noFill/>
              <a:ln>
                <a:noFill/>
              </a:ln>
              <a:effectLst/>
            </c:spPr>
            <c:txPr>
              <a:bodyPr rot="0" spcFirstLastPara="1" vertOverflow="ellipsis" vert="horz" wrap="square" lIns="38100" tIns="19050" rIns="38100" bIns="19050" anchor="ctr" anchorCtr="1">
                <a:spAutoFit/>
              </a:bodyPr>
              <a:lstStyle/>
              <a:p>
                <a:pPr>
                  <a:defRPr sz="800" b="1" i="0" u="none" strike="noStrike" kern="1200" baseline="0">
                    <a:solidFill>
                      <a:schemeClr val="accent5"/>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'Yeld Mesatar i Ponderuar'!$A$5:$A$12</c:f>
              <c:strCache>
                <c:ptCount val="8"/>
                <c:pt idx="0">
                  <c:v>Bono 3 m</c:v>
                </c:pt>
                <c:pt idx="1">
                  <c:v>Bono 6m</c:v>
                </c:pt>
                <c:pt idx="2">
                  <c:v>Bono 12m</c:v>
                </c:pt>
                <c:pt idx="3">
                  <c:v>OB 2vj</c:v>
                </c:pt>
                <c:pt idx="4">
                  <c:v>OB 3vj</c:v>
                </c:pt>
                <c:pt idx="5">
                  <c:v>OB 5vj</c:v>
                </c:pt>
                <c:pt idx="6">
                  <c:v>OB 7vj</c:v>
                </c:pt>
                <c:pt idx="7">
                  <c:v>OB 10vj</c:v>
                </c:pt>
              </c:strCache>
            </c:strRef>
          </c:cat>
          <c:val>
            <c:numRef>
              <c:f>'Yeld Mesatar i Ponderuar'!$F$5:$F$12</c:f>
              <c:numCache>
                <c:formatCode>0.00%</c:formatCode>
                <c:ptCount val="8"/>
                <c:pt idx="0">
                  <c:v>1.29E-2</c:v>
                </c:pt>
                <c:pt idx="1">
                  <c:v>1.4999999999999999E-2</c:v>
                </c:pt>
                <c:pt idx="2">
                  <c:v>1.8693456448637801E-2</c:v>
                </c:pt>
                <c:pt idx="3">
                  <c:v>2.2110777438512901E-2</c:v>
                </c:pt>
                <c:pt idx="4">
                  <c:v>2.6329999999999999E-2</c:v>
                </c:pt>
                <c:pt idx="5">
                  <c:v>3.9669999999999997E-2</c:v>
                </c:pt>
                <c:pt idx="6">
                  <c:v>4.0800000000000003E-2</c:v>
                </c:pt>
                <c:pt idx="7">
                  <c:v>5.2900000000000003E-2</c:v>
                </c:pt>
              </c:numCache>
            </c:numRef>
          </c:val>
          <c:smooth val="1"/>
        </c:ser>
        <c:dLbls>
          <c:showLegendKey val="0"/>
          <c:showVal val="0"/>
          <c:showCatName val="0"/>
          <c:showSerName val="0"/>
          <c:showPercent val="0"/>
          <c:showBubbleSize val="0"/>
        </c:dLbls>
        <c:marker val="1"/>
        <c:smooth val="0"/>
        <c:axId val="-1710599136"/>
        <c:axId val="-1710601312"/>
      </c:lineChart>
      <c:catAx>
        <c:axId val="-1710599136"/>
        <c:scaling>
          <c:orientation val="minMax"/>
        </c:scaling>
        <c:delete val="0"/>
        <c:axPos val="b"/>
        <c:numFmt formatCode="General" sourceLinked="1"/>
        <c:majorTickMark val="none"/>
        <c:minorTickMark val="none"/>
        <c:tickLblPos val="nextTo"/>
        <c:spPr>
          <a:noFill/>
          <a:ln w="9525" cap="flat" cmpd="sng" algn="ctr">
            <a:solidFill>
              <a:schemeClr val="bg1">
                <a:lumMod val="50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en-US"/>
          </a:p>
        </c:txPr>
        <c:crossAx val="-1710601312"/>
        <c:crosses val="autoZero"/>
        <c:auto val="1"/>
        <c:lblAlgn val="ctr"/>
        <c:lblOffset val="100"/>
        <c:noMultiLvlLbl val="0"/>
      </c:catAx>
      <c:valAx>
        <c:axId val="-1710601312"/>
        <c:scaling>
          <c:orientation val="minMax"/>
        </c:scaling>
        <c:delete val="0"/>
        <c:axPos val="l"/>
        <c:numFmt formatCode="0%" sourceLinked="0"/>
        <c:majorTickMark val="none"/>
        <c:minorTickMark val="none"/>
        <c:tickLblPos val="nextTo"/>
        <c:spPr>
          <a:noFill/>
          <a:ln>
            <a:solidFill>
              <a:schemeClr val="bg1">
                <a:lumMod val="50000"/>
              </a:schemeClr>
            </a:solid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en-US"/>
          </a:p>
        </c:txPr>
        <c:crossAx val="-1710599136"/>
        <c:crosses val="autoZero"/>
        <c:crossBetween val="between"/>
        <c:majorUnit val="2.0000000000000004E-2"/>
      </c:valAx>
      <c:spPr>
        <a:noFill/>
        <a:ln>
          <a:noFill/>
        </a:ln>
        <a:effectLst/>
      </c:spPr>
    </c:plotArea>
    <c:legend>
      <c:legendPos val="b"/>
      <c:layout>
        <c:manualLayout>
          <c:xMode val="edge"/>
          <c:yMode val="edge"/>
          <c:x val="0.29650207786526683"/>
          <c:y val="0.90730456887927835"/>
          <c:w val="0.40468084718576847"/>
          <c:h val="8.2873460145032621E-2"/>
        </c:manualLayout>
      </c:layout>
      <c:overlay val="0"/>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en-US"/>
        </a:p>
      </c:txPr>
    </c:legend>
    <c:plotVisOnly val="1"/>
    <c:dispBlanksAs val="gap"/>
    <c:showDLblsOverMax val="0"/>
  </c:chart>
  <c:spPr>
    <a:solidFill>
      <a:schemeClr val="bg1"/>
    </a:solidFill>
    <a:ln w="6350" cap="flat" cmpd="sng" algn="ctr">
      <a:solidFill>
        <a:schemeClr val="bg1">
          <a:lumMod val="75000"/>
        </a:schemeClr>
      </a:solidFill>
      <a:round/>
    </a:ln>
    <a:effectLst/>
  </c:spPr>
  <c:txPr>
    <a:bodyPr/>
    <a:lstStyle/>
    <a:p>
      <a:pPr>
        <a:defRPr/>
      </a:pPr>
      <a:endParaRPr lang="en-US"/>
    </a:p>
  </c:txPr>
  <c:externalData r:id="rId1">
    <c:autoUpdate val="0"/>
  </c:externalData>
</c:chartSpace>
</file>

<file path=word/charts/chart3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35"/>
    </mc:Choice>
    <mc:Fallback>
      <c:style val="35"/>
    </mc:Fallback>
  </mc:AlternateContent>
  <c:clrMapOvr bg1="lt1" tx1="dk1" bg2="lt2" tx2="dk2" accent1="accent1" accent2="accent2" accent3="accent3" accent4="accent4" accent5="accent5" accent6="accent6" hlink="hlink" folHlink="folHlink"/>
  <c:chart>
    <c:autoTitleDeleted val="0"/>
    <c:plotArea>
      <c:layout>
        <c:manualLayout>
          <c:layoutTarget val="inner"/>
          <c:xMode val="edge"/>
          <c:yMode val="edge"/>
          <c:x val="0.1313287708195354"/>
          <c:y val="0.19106586095342734"/>
          <c:w val="0.74303791465319169"/>
          <c:h val="0.57607178172495876"/>
        </c:manualLayout>
      </c:layout>
      <c:barChart>
        <c:barDir val="col"/>
        <c:grouping val="clustered"/>
        <c:varyColors val="0"/>
        <c:ser>
          <c:idx val="1"/>
          <c:order val="0"/>
          <c:tx>
            <c:strRef>
              <c:f>'V.GJ. Others'!$D$6</c:f>
              <c:strCache>
                <c:ptCount val="1"/>
                <c:pt idx="0">
                  <c:v>Vendime Gjyqesore</c:v>
                </c:pt>
              </c:strCache>
            </c:strRef>
          </c:tx>
          <c:spPr>
            <a:gradFill rotWithShape="1">
              <a:gsLst>
                <a:gs pos="0">
                  <a:schemeClr val="accent1">
                    <a:tint val="50000"/>
                    <a:satMod val="300000"/>
                  </a:schemeClr>
                </a:gs>
                <a:gs pos="35000">
                  <a:schemeClr val="accent1">
                    <a:tint val="37000"/>
                    <a:satMod val="300000"/>
                  </a:schemeClr>
                </a:gs>
                <a:gs pos="100000">
                  <a:schemeClr val="accent1">
                    <a:tint val="15000"/>
                    <a:satMod val="350000"/>
                  </a:schemeClr>
                </a:gs>
              </a:gsLst>
              <a:lin ang="16200000" scaled="1"/>
            </a:gradFill>
            <a:ln w="9522" cap="flat" cmpd="sng" algn="ctr">
              <a:solidFill>
                <a:schemeClr val="accent1">
                  <a:shade val="95000"/>
                  <a:satMod val="105000"/>
                </a:schemeClr>
              </a:solidFill>
              <a:prstDash val="solid"/>
            </a:ln>
            <a:effectLst>
              <a:outerShdw blurRad="40000" dist="20000" dir="5400000" rotWithShape="0">
                <a:srgbClr val="000000">
                  <a:alpha val="38000"/>
                </a:srgbClr>
              </a:outerShdw>
            </a:effectLst>
          </c:spPr>
          <c:invertIfNegative val="0"/>
          <c:dLbls>
            <c:numFmt formatCode="#,##0" sourceLinked="0"/>
            <c:spPr>
              <a:noFill/>
              <a:ln>
                <a:noFill/>
              </a:ln>
              <a:effectLst/>
            </c:spPr>
            <c:txPr>
              <a:bodyPr rot="0" vert="horz"/>
              <a:lstStyle/>
              <a:p>
                <a:pPr>
                  <a:defRPr/>
                </a:pPr>
                <a:endParaRPr lang="en-US"/>
              </a:p>
            </c:txPr>
            <c:dLblPos val="inBase"/>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'V.GJ. Others'!$B$13:$B$16</c:f>
              <c:strCache>
                <c:ptCount val="4"/>
                <c:pt idx="0">
                  <c:v>Qershor 2019</c:v>
                </c:pt>
                <c:pt idx="1">
                  <c:v>Shtator 2019</c:v>
                </c:pt>
                <c:pt idx="2">
                  <c:v>Dhjetor 2019</c:v>
                </c:pt>
                <c:pt idx="3">
                  <c:v>Mars 2020</c:v>
                </c:pt>
              </c:strCache>
            </c:strRef>
          </c:cat>
          <c:val>
            <c:numRef>
              <c:f>'V.GJ. Others'!$D$13:$D$16</c:f>
              <c:numCache>
                <c:formatCode>_-* #,##0_L_e_k_-;\-* #,##0_L_e_k_-;_-* "-"??_L_e_k_-;_-@_-</c:formatCode>
                <c:ptCount val="4"/>
                <c:pt idx="0">
                  <c:v>1698.0782038626999</c:v>
                </c:pt>
                <c:pt idx="1">
                  <c:v>3681.2</c:v>
                </c:pt>
                <c:pt idx="2">
                  <c:v>3425.2876354404843</c:v>
                </c:pt>
                <c:pt idx="3">
                  <c:v>4025.3423668311757</c:v>
                </c:pt>
              </c:numCache>
            </c:numRef>
          </c:val>
        </c:ser>
        <c:dLbls>
          <c:showLegendKey val="0"/>
          <c:showVal val="0"/>
          <c:showCatName val="0"/>
          <c:showSerName val="0"/>
          <c:showPercent val="0"/>
          <c:showBubbleSize val="0"/>
        </c:dLbls>
        <c:gapWidth val="99"/>
        <c:overlap val="-10"/>
        <c:axId val="-1746594000"/>
        <c:axId val="-1746595088"/>
      </c:barChart>
      <c:lineChart>
        <c:grouping val="standard"/>
        <c:varyColors val="0"/>
        <c:ser>
          <c:idx val="0"/>
          <c:order val="1"/>
          <c:tx>
            <c:strRef>
              <c:f>'V.GJ. Others'!$E$6</c:f>
              <c:strCache>
                <c:ptCount val="1"/>
                <c:pt idx="0">
                  <c:v>Ritmi i rritjes </c:v>
                </c:pt>
              </c:strCache>
            </c:strRef>
          </c:tx>
          <c:spPr>
            <a:ln w="25391" cap="flat" cmpd="sng" algn="ctr">
              <a:solidFill>
                <a:schemeClr val="accent2"/>
              </a:solidFill>
              <a:prstDash val="solid"/>
            </a:ln>
            <a:effectLst/>
          </c:spPr>
          <c:marker>
            <c:symbol val="none"/>
          </c:marker>
          <c:dLbls>
            <c:dLbl>
              <c:idx val="0"/>
              <c:delete val="1"/>
              <c:extLst>
                <c:ext xmlns:c15="http://schemas.microsoft.com/office/drawing/2012/chart" uri="{CE6537A1-D6FC-4f65-9D91-7224C49458BB}"/>
              </c:extLst>
            </c:dLbl>
            <c:dLbl>
              <c:idx val="1"/>
              <c:layout>
                <c:manualLayout>
                  <c:x val="-3.3071707382731005E-2"/>
                  <c:y val="-4.1126859142607171E-2"/>
                </c:manualLayout>
              </c:layout>
              <c:spPr/>
              <c:txPr>
                <a:bodyPr rot="0" vert="horz"/>
                <a:lstStyle/>
                <a:p>
                  <a:pPr>
                    <a:defRPr/>
                  </a:pPr>
                  <a:endParaRPr lang="en-US"/>
                </a:p>
              </c:txPr>
              <c:dLblPos val="r"/>
              <c:showLegendKey val="0"/>
              <c:showVal val="1"/>
              <c:showCatName val="0"/>
              <c:showSerName val="0"/>
              <c:showPercent val="0"/>
              <c:showBubbleSize val="0"/>
              <c:extLst>
                <c:ext xmlns:c15="http://schemas.microsoft.com/office/drawing/2012/chart" uri="{CE6537A1-D6FC-4f65-9D91-7224C49458BB}"/>
              </c:extLst>
            </c:dLbl>
            <c:dLbl>
              <c:idx val="4"/>
              <c:layout>
                <c:manualLayout>
                  <c:x val="-4.1775563768814611E-2"/>
                  <c:y val="-9.0399598926538677E-2"/>
                </c:manualLayout>
              </c:layout>
              <c:spPr/>
              <c:txPr>
                <a:bodyPr rot="0" vert="horz"/>
                <a:lstStyle/>
                <a:p>
                  <a:pPr>
                    <a:defRPr/>
                  </a:pPr>
                  <a:endParaRPr lang="en-US"/>
                </a:p>
              </c:txPr>
              <c:dLblPos val="r"/>
              <c:showLegendKey val="0"/>
              <c:showVal val="1"/>
              <c:showCatName val="0"/>
              <c:showSerName val="0"/>
              <c:showPercent val="0"/>
              <c:showBubbleSize val="0"/>
              <c:extLst>
                <c:ext xmlns:c15="http://schemas.microsoft.com/office/drawing/2012/chart" uri="{CE6537A1-D6FC-4f65-9D91-7224C49458BB}"/>
              </c:extLst>
            </c:dLbl>
            <c:dLbl>
              <c:idx val="5"/>
              <c:layout>
                <c:manualLayout>
                  <c:x val="-4.9938829074937074E-2"/>
                  <c:y val="-3.5468656305602198E-2"/>
                </c:manualLayout>
              </c:layout>
              <c:spPr/>
              <c:txPr>
                <a:bodyPr rot="0" vert="horz"/>
                <a:lstStyle/>
                <a:p>
                  <a:pPr>
                    <a:defRPr/>
                  </a:pPr>
                  <a:endParaRPr lang="en-US"/>
                </a:p>
              </c:txPr>
              <c:dLblPos val="r"/>
              <c:showLegendKey val="0"/>
              <c:showVal val="1"/>
              <c:showCatName val="0"/>
              <c:showSerName val="0"/>
              <c:showPercent val="0"/>
              <c:showBubbleSize val="0"/>
              <c:extLst>
                <c:ext xmlns:c15="http://schemas.microsoft.com/office/drawing/2012/chart" uri="{CE6537A1-D6FC-4f65-9D91-7224C49458BB}"/>
              </c:extLst>
            </c:dLbl>
            <c:dLbl>
              <c:idx val="9"/>
              <c:layout>
                <c:manualLayout>
                  <c:x val="-5.0784935703700802E-2"/>
                  <c:y val="-8.6888493776987596E-2"/>
                </c:manualLayout>
              </c:layout>
              <c:spPr/>
              <c:txPr>
                <a:bodyPr rot="0" vert="horz"/>
                <a:lstStyle/>
                <a:p>
                  <a:pPr>
                    <a:defRPr/>
                  </a:pPr>
                  <a:endParaRPr lang="en-US"/>
                </a:p>
              </c:txPr>
              <c:dLblPos val="r"/>
              <c:showLegendKey val="0"/>
              <c:showVal val="1"/>
              <c:showCatName val="0"/>
              <c:showSerName val="0"/>
              <c:showPercent val="0"/>
              <c:showBubbleSize val="0"/>
              <c:extLst>
                <c:ext xmlns:c15="http://schemas.microsoft.com/office/drawing/2012/chart" uri="{CE6537A1-D6FC-4f65-9D91-7224C49458BB}"/>
              </c:extLst>
            </c:dLbl>
            <c:dLbl>
              <c:idx val="10"/>
              <c:layout>
                <c:manualLayout>
                  <c:x val="-4.5604526305281098E-2"/>
                  <c:y val="-8.41499449665567E-2"/>
                </c:manualLayout>
              </c:layout>
              <c:spPr/>
              <c:txPr>
                <a:bodyPr rot="0" vert="horz"/>
                <a:lstStyle/>
                <a:p>
                  <a:pPr>
                    <a:defRPr/>
                  </a:pPr>
                  <a:endParaRPr lang="en-US"/>
                </a:p>
              </c:txPr>
              <c:dLblPos val="r"/>
              <c:showLegendKey val="0"/>
              <c:showVal val="1"/>
              <c:showCatName val="0"/>
              <c:showSerName val="0"/>
              <c:showPercent val="0"/>
              <c:showBubbleSize val="0"/>
              <c:extLst>
                <c:ext xmlns:c15="http://schemas.microsoft.com/office/drawing/2012/chart" uri="{CE6537A1-D6FC-4f65-9D91-7224C49458BB}"/>
              </c:extLst>
            </c:dLbl>
            <c:spPr>
              <a:noFill/>
              <a:ln>
                <a:noFill/>
              </a:ln>
              <a:effectLst/>
            </c:spPr>
            <c:txPr>
              <a:bodyPr rot="0" vert="horz"/>
              <a:lstStyle/>
              <a:p>
                <a:pPr>
                  <a:defRPr/>
                </a:pPr>
                <a:endParaRPr lang="en-US"/>
              </a:p>
            </c:txPr>
            <c:dLblPos val="t"/>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'V.GJ. Others'!$B$13:$B$16</c:f>
              <c:strCache>
                <c:ptCount val="4"/>
                <c:pt idx="0">
                  <c:v>Qershor 2019</c:v>
                </c:pt>
                <c:pt idx="1">
                  <c:v>Shtator 2019</c:v>
                </c:pt>
                <c:pt idx="2">
                  <c:v>Dhjetor 2019</c:v>
                </c:pt>
                <c:pt idx="3">
                  <c:v>Mars 2020</c:v>
                </c:pt>
              </c:strCache>
            </c:strRef>
          </c:cat>
          <c:val>
            <c:numRef>
              <c:f>'V.GJ. Others'!$E$13:$E$16</c:f>
              <c:numCache>
                <c:formatCode>0%</c:formatCode>
                <c:ptCount val="4"/>
                <c:pt idx="0">
                  <c:v>-0.24294328851417751</c:v>
                </c:pt>
                <c:pt idx="1">
                  <c:v>1.167862464535613</c:v>
                </c:pt>
                <c:pt idx="2">
                  <c:v>-6.9518734260435588E-2</c:v>
                </c:pt>
                <c:pt idx="3">
                  <c:v>0.17518374958706953</c:v>
                </c:pt>
              </c:numCache>
            </c:numRef>
          </c:val>
          <c:smooth val="1"/>
        </c:ser>
        <c:dLbls>
          <c:showLegendKey val="0"/>
          <c:showVal val="0"/>
          <c:showCatName val="0"/>
          <c:showSerName val="0"/>
          <c:showPercent val="0"/>
          <c:showBubbleSize val="0"/>
        </c:dLbls>
        <c:marker val="1"/>
        <c:smooth val="0"/>
        <c:axId val="-1746590736"/>
        <c:axId val="-1746594544"/>
      </c:lineChart>
      <c:catAx>
        <c:axId val="-1746594000"/>
        <c:scaling>
          <c:orientation val="minMax"/>
        </c:scaling>
        <c:delete val="0"/>
        <c:axPos val="b"/>
        <c:numFmt formatCode="General" sourceLinked="1"/>
        <c:majorTickMark val="out"/>
        <c:minorTickMark val="none"/>
        <c:tickLblPos val="nextTo"/>
        <c:txPr>
          <a:bodyPr rot="0" vert="horz"/>
          <a:lstStyle/>
          <a:p>
            <a:pPr>
              <a:defRPr b="1">
                <a:solidFill>
                  <a:srgbClr val="C00000"/>
                </a:solidFill>
              </a:defRPr>
            </a:pPr>
            <a:endParaRPr lang="en-US"/>
          </a:p>
        </c:txPr>
        <c:crossAx val="-1746595088"/>
        <c:crosses val="autoZero"/>
        <c:auto val="0"/>
        <c:lblAlgn val="ctr"/>
        <c:lblOffset val="100"/>
        <c:tickLblSkip val="1"/>
        <c:tickMarkSkip val="1"/>
        <c:noMultiLvlLbl val="0"/>
      </c:catAx>
      <c:valAx>
        <c:axId val="-1746595088"/>
        <c:scaling>
          <c:orientation val="minMax"/>
        </c:scaling>
        <c:delete val="0"/>
        <c:axPos val="l"/>
        <c:majorGridlines>
          <c:spPr>
            <a:ln>
              <a:solidFill>
                <a:schemeClr val="bg1">
                  <a:lumMod val="85000"/>
                </a:schemeClr>
              </a:solidFill>
            </a:ln>
          </c:spPr>
        </c:majorGridlines>
        <c:numFmt formatCode="_-* #,##0_L_e_k_-;\-* #,##0_L_e_k_-;_-* &quot;-&quot;??_L_e_k_-;_-@_-" sourceLinked="1"/>
        <c:majorTickMark val="cross"/>
        <c:minorTickMark val="none"/>
        <c:tickLblPos val="nextTo"/>
        <c:txPr>
          <a:bodyPr rot="0" vert="horz"/>
          <a:lstStyle/>
          <a:p>
            <a:pPr>
              <a:defRPr sz="1000">
                <a:solidFill>
                  <a:schemeClr val="bg1">
                    <a:lumMod val="50000"/>
                  </a:schemeClr>
                </a:solidFill>
              </a:defRPr>
            </a:pPr>
            <a:endParaRPr lang="en-US"/>
          </a:p>
        </c:txPr>
        <c:crossAx val="-1746594000"/>
        <c:crosses val="autoZero"/>
        <c:crossBetween val="between"/>
      </c:valAx>
      <c:catAx>
        <c:axId val="-1746590736"/>
        <c:scaling>
          <c:orientation val="minMax"/>
        </c:scaling>
        <c:delete val="1"/>
        <c:axPos val="b"/>
        <c:numFmt formatCode="General" sourceLinked="1"/>
        <c:majorTickMark val="out"/>
        <c:minorTickMark val="none"/>
        <c:tickLblPos val="nextTo"/>
        <c:crossAx val="-1746594544"/>
        <c:crosses val="autoZero"/>
        <c:auto val="0"/>
        <c:lblAlgn val="ctr"/>
        <c:lblOffset val="100"/>
        <c:noMultiLvlLbl val="0"/>
      </c:catAx>
      <c:valAx>
        <c:axId val="-1746594544"/>
        <c:scaling>
          <c:orientation val="minMax"/>
        </c:scaling>
        <c:delete val="0"/>
        <c:axPos val="r"/>
        <c:numFmt formatCode="0.0%" sourceLinked="0"/>
        <c:majorTickMark val="cross"/>
        <c:minorTickMark val="none"/>
        <c:tickLblPos val="nextTo"/>
        <c:txPr>
          <a:bodyPr rot="0" vert="horz"/>
          <a:lstStyle/>
          <a:p>
            <a:pPr>
              <a:defRPr sz="1000">
                <a:solidFill>
                  <a:schemeClr val="bg1">
                    <a:lumMod val="50000"/>
                  </a:schemeClr>
                </a:solidFill>
              </a:defRPr>
            </a:pPr>
            <a:endParaRPr lang="en-US"/>
          </a:p>
        </c:txPr>
        <c:crossAx val="-1746590736"/>
        <c:crosses val="max"/>
        <c:crossBetween val="between"/>
      </c:valAx>
      <c:spPr>
        <a:solidFill>
          <a:schemeClr val="bg1">
            <a:lumMod val="95000"/>
          </a:schemeClr>
        </a:solidFill>
        <a:ln>
          <a:solidFill>
            <a:schemeClr val="bg1">
              <a:lumMod val="65000"/>
            </a:schemeClr>
          </a:solidFill>
        </a:ln>
      </c:spPr>
    </c:plotArea>
    <c:plotVisOnly val="1"/>
    <c:dispBlanksAs val="gap"/>
    <c:showDLblsOverMax val="0"/>
  </c:chart>
  <c:spPr>
    <a:solidFill>
      <a:schemeClr val="bg1">
        <a:lumMod val="95000"/>
      </a:schemeClr>
    </a:solidFill>
    <a:ln w="3174">
      <a:solidFill>
        <a:schemeClr val="bg1">
          <a:lumMod val="50000"/>
        </a:schemeClr>
      </a:solidFill>
    </a:ln>
  </c:spPr>
  <c:externalData r:id="rId2">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theme/themeOverride1.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2.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3.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4.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5.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6.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7.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8.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9.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10.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11.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12.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13.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14.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15.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16.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17.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18.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panose="020F0302020204030204"/>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19.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panose="020F0302020204030204"/>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20.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panose="020F0302020204030204"/>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21.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panose="020F0302020204030204"/>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22.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panose="020F0302020204030204"/>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23.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panose="020F0302020204030204"/>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24.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panose="020F0302020204030204"/>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25.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panose="020F0302020204030204"/>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26.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panose="020F0302020204030204"/>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27.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FBC56E1-33C1-4473-9025-3579757BFCC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69</TotalTime>
  <Pages>1</Pages>
  <Words>29843</Words>
  <Characters>170111</Characters>
  <Application>Microsoft Office Word</Application>
  <DocSecurity>0</DocSecurity>
  <Lines>1417</Lines>
  <Paragraphs>399</Paragraphs>
  <ScaleCrop>false</ScaleCrop>
  <HeadingPairs>
    <vt:vector size="2" baseType="variant">
      <vt:variant>
        <vt:lpstr>Title</vt:lpstr>
      </vt:variant>
      <vt:variant>
        <vt:i4>1</vt:i4>
      </vt:variant>
    </vt:vector>
  </HeadingPairs>
  <TitlesOfParts>
    <vt:vector size="1" baseType="lpstr">
      <vt:lpstr>Raporti i Mes-Vitit i Buxhetit</vt:lpstr>
    </vt:vector>
  </TitlesOfParts>
  <Company/>
  <LinksUpToDate>false</LinksUpToDate>
  <CharactersWithSpaces>199555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Raporti i Mes-Vitit i Buxhetit</dc:title>
  <dc:creator>Besjon Tanuzi</dc:creator>
  <cp:lastModifiedBy>Xhoana Agolli</cp:lastModifiedBy>
  <cp:revision>22</cp:revision>
  <cp:lastPrinted>2020-06-30T11:17:00Z</cp:lastPrinted>
  <dcterms:created xsi:type="dcterms:W3CDTF">2020-06-30T08:08:00Z</dcterms:created>
  <dcterms:modified xsi:type="dcterms:W3CDTF">2020-07-03T11:12:00Z</dcterms:modified>
</cp:coreProperties>
</file>